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2.bin" ContentType="application/vnd.ms-office.activeX"/>
  <Override PartName="/word/activeX/activeX2.xml" ContentType="application/vnd.ms-office.activeX+xml"/>
  <Override PartName="/word/activeX/activeX3.bin" ContentType="application/vnd.ms-office.activeX"/>
  <Override PartName="/word/activeX/activeX3.xml" ContentType="application/vnd.ms-office.activeX+xml"/>
  <Override PartName="/word/activeX/activeX4.bin" ContentType="application/vnd.ms-office.activeX"/>
  <Override PartName="/word/activeX/activeX4.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78" w:firstLineChars="99"/>
        <w:rPr>
          <w:rFonts w:hint="eastAsia" w:asciiTheme="minorEastAsia" w:hAnsiTheme="minorEastAsia" w:eastAsiaTheme="minorEastAsia"/>
          <w:b/>
          <w:sz w:val="28"/>
          <w:szCs w:val="28"/>
          <w:lang w:eastAsia="zh-CN"/>
        </w:rPr>
      </w:pPr>
    </w:p>
    <w:p>
      <w:pPr>
        <w:spacing w:line="360" w:lineRule="auto"/>
        <w:jc w:val="center"/>
        <w:rPr>
          <w:rFonts w:hint="eastAsia" w:ascii="宋体" w:hAnsi="宋体" w:cs="Arial" w:eastAsiaTheme="minorEastAsia"/>
          <w:b/>
          <w:sz w:val="44"/>
          <w:szCs w:val="44"/>
          <w:lang w:val="en-US" w:eastAsia="zh-CN"/>
        </w:rPr>
      </w:pPr>
      <w:r>
        <w:rPr>
          <w:rFonts w:hint="eastAsia" w:ascii="宋体" w:hAnsi="宋体" w:eastAsia="宋体" w:cs="宋体"/>
          <w:b/>
          <w:bCs/>
          <w:sz w:val="44"/>
          <w:szCs w:val="44"/>
        </w:rPr>
        <w:t>吉安华润清洁能源有限公司吉安市吉福路天然气加气站工程项目</w:t>
      </w:r>
      <w:r>
        <w:rPr>
          <w:rFonts w:hint="eastAsia" w:ascii="宋体" w:hAnsi="宋体" w:eastAsia="宋体"/>
          <w:b/>
          <w:bCs/>
          <w:sz w:val="44"/>
          <w:szCs w:val="44"/>
        </w:rPr>
        <w:t>竣工环境保护</w:t>
      </w:r>
      <w:r>
        <w:rPr>
          <w:rFonts w:hint="eastAsia" w:ascii="宋体" w:hAnsi="宋体" w:cs="Arial"/>
          <w:b/>
          <w:sz w:val="44"/>
          <w:szCs w:val="44"/>
        </w:rPr>
        <w:t>验收监测报告</w:t>
      </w:r>
      <w:r>
        <w:rPr>
          <w:rFonts w:hint="eastAsia" w:ascii="宋体" w:hAnsi="宋体" w:cs="Arial"/>
          <w:b/>
          <w:sz w:val="44"/>
          <w:szCs w:val="44"/>
          <w:lang w:eastAsia="zh-CN"/>
        </w:rPr>
        <w:t>表</w:t>
      </w:r>
    </w:p>
    <w:p>
      <w:pPr>
        <w:spacing w:line="0" w:lineRule="atLeast"/>
        <w:ind w:firstLine="2530" w:firstLineChars="900"/>
        <w:rPr>
          <w:rFonts w:ascii="Times New Roman" w:hAnsi="Times New Roman"/>
          <w:sz w:val="28"/>
        </w:rPr>
      </w:pPr>
      <w:r>
        <w:rPr>
          <w:rFonts w:hint="eastAsia" w:ascii="宋体" w:hAnsi="宋体" w:eastAsia="宋体" w:cs="宋体"/>
          <w:b/>
          <w:color w:val="000000"/>
          <w:sz w:val="28"/>
          <w:szCs w:val="28"/>
        </w:rPr>
        <w:t>【</w:t>
      </w:r>
      <w:r>
        <w:rPr>
          <w:rFonts w:hint="eastAsia" w:ascii="宋体" w:hAnsi="宋体" w:eastAsia="宋体" w:cs="宋体"/>
          <w:b/>
          <w:color w:val="000000"/>
          <w:sz w:val="28"/>
          <w:szCs w:val="28"/>
          <w:lang w:val="en-US" w:eastAsia="zh-CN"/>
        </w:rPr>
        <w:t>ZM20200703（8816）01</w:t>
      </w:r>
      <w:r>
        <w:rPr>
          <w:rFonts w:hint="eastAsia" w:ascii="宋体" w:hAnsi="宋体" w:eastAsia="宋体" w:cs="宋体"/>
          <w:b/>
          <w:color w:val="000000"/>
          <w:sz w:val="28"/>
          <w:szCs w:val="28"/>
        </w:rPr>
        <w:t>】号</w:t>
      </w:r>
    </w:p>
    <w:p>
      <w:pPr>
        <w:spacing w:line="0" w:lineRule="atLeast"/>
        <w:rPr>
          <w:rFonts w:ascii="Times New Roman" w:hAnsi="Times New Roman"/>
          <w:sz w:val="28"/>
        </w:rPr>
      </w:pPr>
    </w:p>
    <w:p>
      <w:pPr>
        <w:spacing w:line="0" w:lineRule="atLeast"/>
        <w:rPr>
          <w:rFonts w:ascii="Times New Roman" w:hAnsi="Times New Roman"/>
          <w:sz w:val="28"/>
        </w:rPr>
      </w:pPr>
    </w:p>
    <w:p>
      <w:pPr>
        <w:spacing w:line="0" w:lineRule="atLeast"/>
        <w:rPr>
          <w:rFonts w:ascii="Times New Roman" w:hAnsi="Times New Roman"/>
          <w:sz w:val="32"/>
        </w:rPr>
      </w:pPr>
    </w:p>
    <w:p>
      <w:pPr>
        <w:spacing w:line="0" w:lineRule="atLeast"/>
        <w:rPr>
          <w:rFonts w:ascii="Times New Roman" w:hAnsi="Times New Roman"/>
          <w:sz w:val="32"/>
        </w:rPr>
      </w:pPr>
    </w:p>
    <w:p>
      <w:pPr>
        <w:spacing w:line="0" w:lineRule="atLeast"/>
        <w:rPr>
          <w:rFonts w:ascii="Times New Roman" w:hAnsi="Times New Roman"/>
          <w:sz w:val="32"/>
        </w:rPr>
      </w:pPr>
    </w:p>
    <w:p>
      <w:pPr>
        <w:spacing w:line="360" w:lineRule="auto"/>
        <w:ind w:firstLine="1968" w:firstLineChars="700"/>
        <w:rPr>
          <w:rFonts w:ascii="宋体" w:hAnsi="宋体" w:cs="Arial"/>
          <w:b/>
          <w:bCs/>
          <w:sz w:val="28"/>
          <w:szCs w:val="28"/>
        </w:rPr>
      </w:pPr>
      <w:r>
        <w:rPr>
          <w:rFonts w:hint="eastAsia" w:ascii="Times New Roman" w:hAnsi="Times New Roman"/>
          <w:b/>
          <w:sz w:val="28"/>
          <w:szCs w:val="28"/>
        </w:rPr>
        <w:t>建设单位</w:t>
      </w:r>
      <w:r>
        <w:rPr>
          <w:rFonts w:ascii="Times New Roman" w:hAnsi="Times New Roman"/>
          <w:b/>
          <w:sz w:val="28"/>
          <w:szCs w:val="28"/>
        </w:rPr>
        <w:t>：</w:t>
      </w:r>
      <w:r>
        <w:rPr>
          <w:rFonts w:hint="eastAsia" w:ascii="宋体" w:hAnsi="宋体" w:eastAsia="宋体" w:cs="宋体"/>
          <w:b/>
          <w:bCs/>
          <w:sz w:val="28"/>
          <w:szCs w:val="28"/>
        </w:rPr>
        <w:t>吉安华润</w:t>
      </w:r>
      <w:r>
        <w:rPr>
          <w:rFonts w:hint="eastAsia" w:ascii="宋体" w:hAnsi="宋体" w:eastAsia="宋体" w:cs="宋体"/>
          <w:b/>
          <w:bCs/>
          <w:sz w:val="28"/>
          <w:szCs w:val="28"/>
          <w:lang w:eastAsia="zh-CN"/>
        </w:rPr>
        <w:t>燃气</w:t>
      </w:r>
      <w:r>
        <w:rPr>
          <w:rFonts w:hint="eastAsia" w:ascii="宋体" w:hAnsi="宋体" w:eastAsia="宋体" w:cs="宋体"/>
          <w:b/>
          <w:bCs/>
          <w:sz w:val="28"/>
          <w:szCs w:val="28"/>
        </w:rPr>
        <w:t>有限公司</w:t>
      </w:r>
    </w:p>
    <w:p>
      <w:pPr>
        <w:spacing w:line="360" w:lineRule="auto"/>
        <w:ind w:firstLine="1968" w:firstLineChars="700"/>
        <w:rPr>
          <w:rFonts w:ascii="Times New Roman" w:hAnsi="Times New Roman"/>
          <w:b/>
          <w:color w:val="FF0000"/>
          <w:sz w:val="28"/>
          <w:szCs w:val="28"/>
        </w:rPr>
      </w:pPr>
      <w:r>
        <w:rPr>
          <w:rFonts w:hint="eastAsia" w:ascii="Times New Roman" w:hAnsi="Times New Roman"/>
          <w:b/>
          <w:sz w:val="28"/>
          <w:szCs w:val="28"/>
        </w:rPr>
        <w:t>编制单位</w:t>
      </w:r>
      <w:r>
        <w:rPr>
          <w:rFonts w:ascii="Times New Roman" w:hAnsi="Times New Roman"/>
          <w:b/>
          <w:sz w:val="28"/>
          <w:szCs w:val="28"/>
        </w:rPr>
        <w:t>：</w:t>
      </w:r>
      <w:r>
        <w:rPr>
          <w:rFonts w:hint="eastAsia"/>
          <w:b/>
          <w:bCs/>
          <w:sz w:val="28"/>
          <w:szCs w:val="28"/>
        </w:rPr>
        <w:t>江西中明环境检测有限公司</w:t>
      </w:r>
    </w:p>
    <w:p>
      <w:pPr>
        <w:spacing w:line="0" w:lineRule="atLeast"/>
        <w:rPr>
          <w:rFonts w:ascii="Times New Roman" w:hAnsi="Times New Roman"/>
          <w:sz w:val="36"/>
          <w:szCs w:val="36"/>
        </w:rPr>
      </w:pPr>
    </w:p>
    <w:p>
      <w:pPr>
        <w:spacing w:line="0" w:lineRule="atLeast"/>
        <w:rPr>
          <w:rFonts w:ascii="Times New Roman" w:hAnsi="Times New Roman"/>
          <w:sz w:val="28"/>
        </w:rPr>
      </w:pPr>
    </w:p>
    <w:p>
      <w:pPr>
        <w:spacing w:line="0" w:lineRule="atLeast"/>
        <w:rPr>
          <w:rFonts w:ascii="Times New Roman" w:hAnsi="Times New Roman"/>
          <w:sz w:val="28"/>
        </w:rPr>
      </w:pPr>
    </w:p>
    <w:p>
      <w:pPr>
        <w:spacing w:line="0" w:lineRule="atLeast"/>
        <w:jc w:val="center"/>
        <w:rPr>
          <w:rFonts w:ascii="Times New Roman" w:hAnsi="Times New Roman"/>
          <w:sz w:val="32"/>
        </w:rPr>
      </w:pPr>
    </w:p>
    <w:p>
      <w:pPr>
        <w:jc w:val="center"/>
        <w:rPr>
          <w:rFonts w:ascii="Times New Roman" w:hAnsi="Times New Roman"/>
          <w:spacing w:val="40"/>
          <w:sz w:val="36"/>
        </w:rPr>
      </w:pPr>
    </w:p>
    <w:p>
      <w:pPr>
        <w:jc w:val="center"/>
        <w:rPr>
          <w:rFonts w:ascii="Times New Roman" w:hAnsi="Times New Roman"/>
          <w:spacing w:val="40"/>
          <w:sz w:val="36"/>
        </w:rPr>
      </w:pPr>
    </w:p>
    <w:p>
      <w:pPr>
        <w:jc w:val="center"/>
        <w:rPr>
          <w:rFonts w:ascii="Times New Roman" w:hAnsi="Times New Roman"/>
          <w:spacing w:val="40"/>
          <w:sz w:val="36"/>
        </w:rPr>
      </w:pPr>
    </w:p>
    <w:p>
      <w:pPr>
        <w:pStyle w:val="11"/>
        <w:spacing w:before="312"/>
      </w:pPr>
    </w:p>
    <w:p>
      <w:pPr>
        <w:rPr>
          <w:rFonts w:ascii="Times New Roman" w:hAnsi="Times New Roman"/>
          <w:spacing w:val="40"/>
          <w:sz w:val="36"/>
        </w:rPr>
      </w:pPr>
    </w:p>
    <w:p>
      <w:pPr>
        <w:spacing w:line="720" w:lineRule="auto"/>
        <w:ind w:firstLine="3373" w:firstLineChars="1200"/>
        <w:rPr>
          <w:rFonts w:ascii="Times New Roman" w:hAnsi="Times New Roman"/>
          <w:b/>
          <w:sz w:val="28"/>
          <w:szCs w:val="28"/>
        </w:rPr>
      </w:pPr>
      <w:r>
        <w:rPr>
          <w:rFonts w:ascii="Times New Roman" w:hAnsi="Times New Roman"/>
          <w:b/>
          <w:sz w:val="28"/>
          <w:szCs w:val="28"/>
        </w:rPr>
        <w:t>二O</w:t>
      </w:r>
      <w:r>
        <w:rPr>
          <w:rFonts w:hint="eastAsia" w:ascii="Times New Roman" w:hAnsi="Times New Roman"/>
          <w:b/>
          <w:sz w:val="28"/>
          <w:szCs w:val="28"/>
        </w:rPr>
        <w:t>二</w:t>
      </w:r>
      <w:r>
        <w:rPr>
          <w:rFonts w:ascii="Times New Roman" w:hAnsi="Times New Roman"/>
          <w:b/>
          <w:sz w:val="28"/>
          <w:szCs w:val="28"/>
        </w:rPr>
        <w:t>O</w:t>
      </w:r>
      <w:r>
        <w:rPr>
          <w:rFonts w:hint="eastAsia" w:ascii="Times New Roman" w:hAnsi="Times New Roman"/>
          <w:b/>
          <w:sz w:val="28"/>
          <w:szCs w:val="28"/>
          <w:lang w:eastAsia="zh-CN"/>
        </w:rPr>
        <w:t>年八</w:t>
      </w:r>
      <w:r>
        <w:rPr>
          <w:rFonts w:ascii="Times New Roman" w:hAnsi="Times New Roman"/>
          <w:b/>
          <w:sz w:val="28"/>
          <w:szCs w:val="28"/>
        </w:rPr>
        <w:t>月</w:t>
      </w:r>
    </w:p>
    <w:p>
      <w:pPr>
        <w:rPr>
          <w:rFonts w:asciiTheme="minorEastAsia" w:hAnsiTheme="minorEastAsia"/>
          <w:b/>
          <w:sz w:val="28"/>
          <w:szCs w:val="28"/>
        </w:rPr>
      </w:pPr>
    </w:p>
    <w:p>
      <w:pPr>
        <w:pStyle w:val="13"/>
      </w:pPr>
    </w:p>
    <w:p>
      <w:pPr>
        <w:rPr>
          <w:rFonts w:asciiTheme="minorEastAsia" w:hAnsiTheme="minorEastAsia"/>
          <w:b/>
          <w:sz w:val="28"/>
          <w:szCs w:val="28"/>
        </w:rPr>
      </w:pPr>
    </w:p>
    <w:p>
      <w:pPr>
        <w:pStyle w:val="2"/>
      </w:pPr>
    </w:p>
    <w:p>
      <w:pPr>
        <w:spacing w:line="360" w:lineRule="auto"/>
        <w:ind w:left="2170" w:leftChars="286" w:hanging="1569" w:hangingChars="521"/>
        <w:rPr>
          <w:rFonts w:hint="eastAsia" w:ascii="宋体" w:hAnsi="宋体" w:eastAsia="宋体" w:cs="宋体"/>
          <w:b w:val="0"/>
          <w:bCs w:val="0"/>
          <w:sz w:val="30"/>
          <w:szCs w:val="30"/>
        </w:rPr>
      </w:pPr>
      <w:r>
        <w:rPr>
          <w:b/>
          <w:sz w:val="30"/>
          <w:szCs w:val="30"/>
        </w:rPr>
        <w:t>项目名称：</w:t>
      </w:r>
      <w:r>
        <w:rPr>
          <w:rFonts w:hint="eastAsia" w:ascii="宋体" w:hAnsi="宋体" w:eastAsia="宋体" w:cs="宋体"/>
          <w:b w:val="0"/>
          <w:bCs w:val="0"/>
          <w:sz w:val="30"/>
          <w:szCs w:val="30"/>
        </w:rPr>
        <w:t>吉安华润清洁能源有限公司吉安市吉福路天然气加气站工程项目</w:t>
      </w:r>
    </w:p>
    <w:p>
      <w:pPr>
        <w:spacing w:line="360" w:lineRule="auto"/>
        <w:ind w:left="1847" w:leftChars="287" w:hanging="1244" w:hangingChars="413"/>
        <w:rPr>
          <w:rFonts w:hint="eastAsia" w:ascii="宋体" w:hAnsi="宋体" w:eastAsia="宋体" w:cs="宋体"/>
          <w:b w:val="0"/>
          <w:bCs w:val="0"/>
          <w:sz w:val="30"/>
          <w:szCs w:val="30"/>
        </w:rPr>
      </w:pPr>
      <w:r>
        <w:rPr>
          <w:rFonts w:hint="eastAsia"/>
          <w:b/>
          <w:sz w:val="30"/>
          <w:szCs w:val="30"/>
        </w:rPr>
        <w:t>建设</w:t>
      </w:r>
      <w:r>
        <w:rPr>
          <w:b/>
          <w:sz w:val="30"/>
          <w:szCs w:val="30"/>
        </w:rPr>
        <w:t>单位：</w:t>
      </w:r>
      <w:r>
        <w:rPr>
          <w:rFonts w:hint="eastAsia" w:ascii="宋体" w:hAnsi="宋体" w:eastAsia="宋体" w:cs="宋体"/>
          <w:b w:val="0"/>
          <w:bCs w:val="0"/>
          <w:sz w:val="30"/>
          <w:szCs w:val="30"/>
        </w:rPr>
        <w:t>吉安华润清洁能源有限公司</w:t>
      </w:r>
    </w:p>
    <w:p>
      <w:pPr>
        <w:spacing w:line="360" w:lineRule="auto"/>
        <w:ind w:left="1839" w:hanging="1839" w:hangingChars="613"/>
        <w:rPr>
          <w:sz w:val="30"/>
          <w:szCs w:val="30"/>
        </w:rPr>
      </w:pPr>
    </w:p>
    <w:p>
      <w:pPr>
        <w:spacing w:line="360" w:lineRule="auto"/>
        <w:ind w:left="2476" w:leftChars="300" w:hanging="1846" w:hangingChars="613"/>
        <w:jc w:val="left"/>
        <w:rPr>
          <w:sz w:val="30"/>
          <w:szCs w:val="30"/>
        </w:rPr>
      </w:pPr>
      <w:r>
        <w:rPr>
          <w:rFonts w:hint="eastAsia"/>
          <w:b/>
          <w:sz w:val="30"/>
          <w:szCs w:val="30"/>
        </w:rPr>
        <w:t>编制</w:t>
      </w:r>
      <w:r>
        <w:rPr>
          <w:b/>
          <w:sz w:val="30"/>
          <w:szCs w:val="30"/>
        </w:rPr>
        <w:t>单位：</w:t>
      </w:r>
      <w:r>
        <w:rPr>
          <w:rFonts w:hint="eastAsia"/>
          <w:bCs/>
          <w:sz w:val="30"/>
          <w:szCs w:val="30"/>
        </w:rPr>
        <w:t>江西</w:t>
      </w:r>
      <w:r>
        <w:rPr>
          <w:rFonts w:hint="eastAsia"/>
          <w:bCs/>
          <w:sz w:val="30"/>
          <w:szCs w:val="30"/>
          <w:lang w:eastAsia="zh-CN"/>
        </w:rPr>
        <w:t>中明环境检测</w:t>
      </w:r>
      <w:r>
        <w:rPr>
          <w:rFonts w:hint="eastAsia"/>
          <w:bCs/>
          <w:sz w:val="30"/>
          <w:szCs w:val="30"/>
        </w:rPr>
        <w:t>有限公司</w:t>
      </w:r>
    </w:p>
    <w:p>
      <w:pPr>
        <w:spacing w:line="360" w:lineRule="auto"/>
        <w:ind w:left="2476" w:leftChars="300" w:hanging="1846" w:hangingChars="613"/>
        <w:jc w:val="left"/>
        <w:rPr>
          <w:rFonts w:hint="eastAsia" w:eastAsiaTheme="minorEastAsia"/>
          <w:sz w:val="30"/>
          <w:szCs w:val="30"/>
          <w:lang w:eastAsia="zh-CN"/>
        </w:rPr>
      </w:pPr>
      <w:r>
        <w:rPr>
          <w:b/>
          <w:sz w:val="30"/>
          <w:szCs w:val="30"/>
        </w:rPr>
        <w:t>法人代表：</w:t>
      </w:r>
      <w:r>
        <w:rPr>
          <w:rFonts w:hint="eastAsia"/>
          <w:sz w:val="30"/>
          <w:szCs w:val="30"/>
          <w:lang w:eastAsia="zh-CN"/>
        </w:rPr>
        <w:t>张家民</w:t>
      </w:r>
    </w:p>
    <w:p>
      <w:pPr>
        <w:spacing w:line="360" w:lineRule="auto"/>
        <w:ind w:left="2476" w:leftChars="300" w:hanging="1846" w:hangingChars="613"/>
        <w:jc w:val="left"/>
        <w:rPr>
          <w:rFonts w:hint="eastAsia" w:eastAsiaTheme="minorEastAsia"/>
          <w:b/>
          <w:sz w:val="30"/>
          <w:szCs w:val="30"/>
          <w:lang w:val="en-US" w:eastAsia="zh-CN"/>
        </w:rPr>
      </w:pPr>
      <w:r>
        <w:rPr>
          <w:b/>
          <w:sz w:val="30"/>
          <w:szCs w:val="30"/>
        </w:rPr>
        <w:t>项目负责：</w:t>
      </w:r>
      <w:r>
        <w:rPr>
          <w:rFonts w:hint="eastAsia"/>
          <w:b w:val="0"/>
          <w:bCs/>
          <w:sz w:val="30"/>
          <w:szCs w:val="30"/>
          <w:lang w:eastAsia="zh-CN"/>
        </w:rPr>
        <w:t>杨勇</w:t>
      </w:r>
    </w:p>
    <w:p>
      <w:pPr>
        <w:spacing w:line="360" w:lineRule="auto"/>
        <w:ind w:left="2494" w:leftChars="299" w:right="-483" w:rightChars="-230" w:hanging="1866" w:hangingChars="500"/>
        <w:jc w:val="left"/>
        <w:rPr>
          <w:rFonts w:hint="eastAsia" w:eastAsiaTheme="minorEastAsia"/>
          <w:b/>
          <w:color w:val="FF0000"/>
          <w:spacing w:val="36"/>
          <w:sz w:val="30"/>
          <w:szCs w:val="30"/>
          <w:lang w:eastAsia="zh-CN"/>
        </w:rPr>
      </w:pPr>
    </w:p>
    <w:p>
      <w:pPr>
        <w:rPr>
          <w:rFonts w:ascii="Times New Roman" w:hAnsi="Times New Roman"/>
          <w:b/>
          <w:sz w:val="52"/>
        </w:rPr>
      </w:pPr>
    </w:p>
    <w:p>
      <w:pPr>
        <w:rPr>
          <w:rFonts w:ascii="Times New Roman" w:hAnsi="Times New Roman"/>
          <w:b/>
          <w:sz w:val="52"/>
        </w:rPr>
      </w:pPr>
    </w:p>
    <w:p>
      <w:pPr>
        <w:pStyle w:val="24"/>
      </w:pPr>
    </w:p>
    <w:p>
      <w:pPr>
        <w:pStyle w:val="24"/>
      </w:pPr>
    </w:p>
    <w:p>
      <w:pPr>
        <w:pStyle w:val="24"/>
      </w:pPr>
    </w:p>
    <w:p>
      <w:pPr>
        <w:pStyle w:val="24"/>
      </w:pPr>
    </w:p>
    <w:tbl>
      <w:tblPr>
        <w:tblStyle w:val="20"/>
        <w:tblpPr w:leftFromText="180" w:rightFromText="180" w:vertAnchor="text" w:horzAnchor="margin" w:tblpXSpec="center" w:tblpY="460"/>
        <w:tblOverlap w:val="never"/>
        <w:tblW w:w="9820" w:type="dxa"/>
        <w:tblInd w:w="0" w:type="dxa"/>
        <w:tblLayout w:type="fixed"/>
        <w:tblCellMar>
          <w:top w:w="0" w:type="dxa"/>
          <w:left w:w="108" w:type="dxa"/>
          <w:bottom w:w="0" w:type="dxa"/>
          <w:right w:w="108" w:type="dxa"/>
        </w:tblCellMar>
      </w:tblPr>
      <w:tblGrid>
        <w:gridCol w:w="5027"/>
        <w:gridCol w:w="4793"/>
      </w:tblGrid>
      <w:tr>
        <w:tblPrEx>
          <w:tblCellMar>
            <w:top w:w="0" w:type="dxa"/>
            <w:left w:w="108" w:type="dxa"/>
            <w:bottom w:w="0" w:type="dxa"/>
            <w:right w:w="108" w:type="dxa"/>
          </w:tblCellMar>
        </w:tblPrEx>
        <w:trPr>
          <w:trHeight w:val="597" w:hRule="atLeast"/>
        </w:trPr>
        <w:tc>
          <w:tcPr>
            <w:tcW w:w="5027" w:type="dxa"/>
          </w:tcPr>
          <w:p>
            <w:pPr>
              <w:snapToGrid w:val="0"/>
              <w:ind w:right="-298" w:rightChars="-142"/>
              <w:jc w:val="left"/>
              <w:rPr>
                <w:rFonts w:hint="eastAsia" w:ascii="宋体" w:hAnsi="宋体" w:eastAsia="宋体" w:cs="宋体"/>
                <w:color w:val="000000"/>
                <w:sz w:val="24"/>
                <w:szCs w:val="24"/>
              </w:rPr>
            </w:pPr>
            <w:r>
              <w:rPr>
                <w:rFonts w:hint="eastAsia" w:ascii="宋体" w:hAnsi="宋体" w:eastAsia="宋体" w:cs="宋体"/>
                <w:color w:val="000000"/>
                <w:sz w:val="24"/>
                <w:szCs w:val="24"/>
              </w:rPr>
              <w:t>建设单位</w:t>
            </w:r>
            <w:r>
              <w:rPr>
                <w:rFonts w:hint="eastAsia" w:ascii="宋体" w:hAnsi="宋体" w:eastAsia="宋体" w:cs="宋体"/>
                <w:color w:val="000000"/>
                <w:sz w:val="24"/>
                <w:szCs w:val="24"/>
                <w:lang w:eastAsia="zh-CN"/>
              </w:rPr>
              <w:t>：</w:t>
            </w:r>
            <w:r>
              <w:rPr>
                <w:rFonts w:hint="eastAsia" w:ascii="宋体" w:hAnsi="宋体" w:eastAsia="宋体" w:cs="宋体"/>
                <w:b w:val="0"/>
                <w:bCs w:val="0"/>
                <w:sz w:val="24"/>
                <w:szCs w:val="24"/>
              </w:rPr>
              <w:t>吉安华润</w:t>
            </w:r>
            <w:r>
              <w:rPr>
                <w:rFonts w:hint="eastAsia" w:ascii="宋体" w:hAnsi="宋体" w:eastAsia="宋体" w:cs="宋体"/>
                <w:b w:val="0"/>
                <w:bCs w:val="0"/>
                <w:sz w:val="24"/>
                <w:szCs w:val="24"/>
                <w:lang w:eastAsia="zh-CN"/>
              </w:rPr>
              <w:t>燃气</w:t>
            </w:r>
            <w:r>
              <w:rPr>
                <w:rFonts w:hint="eastAsia" w:ascii="宋体" w:hAnsi="宋体" w:eastAsia="宋体" w:cs="宋体"/>
                <w:b w:val="0"/>
                <w:bCs w:val="0"/>
                <w:sz w:val="24"/>
                <w:szCs w:val="24"/>
              </w:rPr>
              <w:t>有限公司</w:t>
            </w:r>
          </w:p>
        </w:tc>
        <w:tc>
          <w:tcPr>
            <w:tcW w:w="4793" w:type="dxa"/>
          </w:tcPr>
          <w:p>
            <w:pPr>
              <w:snapToGrid w:val="0"/>
              <w:ind w:right="-298" w:rightChars="-142"/>
              <w:jc w:val="left"/>
              <w:rPr>
                <w:rFonts w:hint="eastAsia" w:ascii="宋体" w:hAnsi="宋体" w:eastAsia="宋体" w:cs="宋体"/>
                <w:sz w:val="24"/>
                <w:szCs w:val="24"/>
              </w:rPr>
            </w:pPr>
            <w:r>
              <w:rPr>
                <w:rFonts w:hint="eastAsia" w:ascii="宋体" w:hAnsi="宋体" w:eastAsia="宋体" w:cs="宋体"/>
                <w:sz w:val="24"/>
                <w:szCs w:val="24"/>
              </w:rPr>
              <w:t>编制单位：江西</w:t>
            </w:r>
            <w:r>
              <w:rPr>
                <w:rFonts w:hint="eastAsia" w:ascii="宋体" w:hAnsi="宋体" w:eastAsia="宋体" w:cs="宋体"/>
                <w:sz w:val="24"/>
                <w:szCs w:val="24"/>
                <w:lang w:eastAsia="zh-CN"/>
              </w:rPr>
              <w:t>中明环境检测</w:t>
            </w:r>
            <w:r>
              <w:rPr>
                <w:rFonts w:hint="eastAsia" w:ascii="宋体" w:hAnsi="宋体" w:eastAsia="宋体" w:cs="宋体"/>
                <w:sz w:val="24"/>
                <w:szCs w:val="24"/>
              </w:rPr>
              <w:t>有限公司</w:t>
            </w:r>
          </w:p>
        </w:tc>
      </w:tr>
      <w:tr>
        <w:tblPrEx>
          <w:tblCellMar>
            <w:top w:w="0" w:type="dxa"/>
            <w:left w:w="108" w:type="dxa"/>
            <w:bottom w:w="0" w:type="dxa"/>
            <w:right w:w="108" w:type="dxa"/>
          </w:tblCellMar>
        </w:tblPrEx>
        <w:trPr>
          <w:trHeight w:val="582" w:hRule="atLeast"/>
        </w:trPr>
        <w:tc>
          <w:tcPr>
            <w:tcW w:w="5027" w:type="dxa"/>
          </w:tcPr>
          <w:p>
            <w:pPr>
              <w:snapToGrid w:val="0"/>
              <w:ind w:right="-298" w:rightChars="-142"/>
              <w:jc w:val="left"/>
              <w:rPr>
                <w:rFonts w:hint="eastAsia" w:ascii="宋体" w:hAnsi="宋体" w:eastAsia="宋体" w:cs="宋体"/>
                <w:sz w:val="24"/>
                <w:szCs w:val="24"/>
              </w:rPr>
            </w:pPr>
            <w:r>
              <w:rPr>
                <w:rFonts w:hint="eastAsia" w:ascii="宋体" w:hAnsi="宋体" w:eastAsia="宋体" w:cs="宋体"/>
                <w:sz w:val="24"/>
                <w:szCs w:val="24"/>
              </w:rPr>
              <w:t>电    话:</w:t>
            </w:r>
            <w:r>
              <w:rPr>
                <w:rFonts w:hint="eastAsia" w:ascii="宋体" w:hAnsi="宋体" w:eastAsia="宋体" w:cs="宋体"/>
                <w:sz w:val="24"/>
              </w:rPr>
              <w:t>13155868055</w:t>
            </w:r>
          </w:p>
        </w:tc>
        <w:tc>
          <w:tcPr>
            <w:tcW w:w="4793" w:type="dxa"/>
          </w:tcPr>
          <w:p>
            <w:pPr>
              <w:snapToGrid w:val="0"/>
              <w:ind w:right="-298" w:rightChars="-142"/>
              <w:jc w:val="left"/>
              <w:rPr>
                <w:rFonts w:hint="eastAsia" w:ascii="宋体" w:hAnsi="宋体" w:eastAsia="宋体" w:cs="宋体"/>
                <w:sz w:val="24"/>
                <w:szCs w:val="24"/>
              </w:rPr>
            </w:pPr>
            <w:r>
              <w:rPr>
                <w:rFonts w:hint="eastAsia" w:ascii="宋体" w:hAnsi="宋体" w:eastAsia="宋体" w:cs="宋体"/>
                <w:sz w:val="24"/>
                <w:szCs w:val="24"/>
              </w:rPr>
              <w:t>电    话:079</w:t>
            </w:r>
            <w:r>
              <w:rPr>
                <w:rFonts w:hint="eastAsia" w:ascii="宋体" w:hAnsi="宋体" w:eastAsia="宋体" w:cs="宋体"/>
                <w:sz w:val="24"/>
                <w:szCs w:val="24"/>
                <w:lang w:val="en-US" w:eastAsia="zh-CN"/>
              </w:rPr>
              <w:t>6</w:t>
            </w:r>
            <w:r>
              <w:rPr>
                <w:rFonts w:hint="eastAsia" w:ascii="宋体" w:hAnsi="宋体" w:eastAsia="宋体" w:cs="宋体"/>
                <w:sz w:val="24"/>
                <w:szCs w:val="24"/>
              </w:rPr>
              <w:t>-</w:t>
            </w:r>
            <w:r>
              <w:rPr>
                <w:rFonts w:hint="eastAsia" w:ascii="宋体" w:hAnsi="宋体" w:eastAsia="宋体" w:cs="宋体"/>
                <w:sz w:val="24"/>
                <w:szCs w:val="24"/>
                <w:lang w:val="en-US" w:eastAsia="zh-CN"/>
              </w:rPr>
              <w:t>7197439</w:t>
            </w:r>
          </w:p>
        </w:tc>
      </w:tr>
      <w:tr>
        <w:tblPrEx>
          <w:tblCellMar>
            <w:top w:w="0" w:type="dxa"/>
            <w:left w:w="108" w:type="dxa"/>
            <w:bottom w:w="0" w:type="dxa"/>
            <w:right w:w="108" w:type="dxa"/>
          </w:tblCellMar>
        </w:tblPrEx>
        <w:trPr>
          <w:trHeight w:val="559" w:hRule="atLeast"/>
        </w:trPr>
        <w:tc>
          <w:tcPr>
            <w:tcW w:w="5027" w:type="dxa"/>
          </w:tcPr>
          <w:p>
            <w:pPr>
              <w:snapToGrid w:val="0"/>
              <w:ind w:right="-298" w:rightChars="-142"/>
              <w:jc w:val="left"/>
              <w:rPr>
                <w:rFonts w:hint="eastAsia" w:ascii="宋体" w:hAnsi="宋体" w:eastAsia="宋体" w:cs="宋体"/>
                <w:sz w:val="24"/>
                <w:szCs w:val="24"/>
                <w:lang w:val="en-US" w:eastAsia="zh-CN"/>
              </w:rPr>
            </w:pPr>
            <w:r>
              <w:rPr>
                <w:rFonts w:hint="eastAsia" w:ascii="宋体" w:hAnsi="宋体" w:eastAsia="宋体" w:cs="宋体"/>
                <w:sz w:val="24"/>
                <w:szCs w:val="24"/>
              </w:rPr>
              <w:t>邮    编:</w:t>
            </w:r>
            <w:r>
              <w:rPr>
                <w:rFonts w:hint="eastAsia" w:ascii="宋体" w:hAnsi="宋体" w:eastAsia="宋体" w:cs="宋体"/>
                <w:sz w:val="24"/>
              </w:rPr>
              <w:t>343000</w:t>
            </w:r>
          </w:p>
        </w:tc>
        <w:tc>
          <w:tcPr>
            <w:tcW w:w="4793" w:type="dxa"/>
          </w:tcPr>
          <w:p>
            <w:pPr>
              <w:snapToGrid w:val="0"/>
              <w:ind w:right="-298" w:rightChars="-142"/>
              <w:jc w:val="left"/>
              <w:rPr>
                <w:rFonts w:hint="eastAsia" w:ascii="宋体" w:hAnsi="宋体" w:eastAsia="宋体" w:cs="宋体"/>
                <w:sz w:val="24"/>
                <w:szCs w:val="24"/>
                <w:lang w:val="en-US" w:eastAsia="zh-CN"/>
              </w:rPr>
            </w:pPr>
            <w:r>
              <w:rPr>
                <w:rFonts w:hint="eastAsia" w:ascii="宋体" w:hAnsi="宋体" w:eastAsia="宋体" w:cs="宋体"/>
                <w:sz w:val="24"/>
                <w:szCs w:val="24"/>
              </w:rPr>
              <w:t>邮    编:</w:t>
            </w:r>
            <w:r>
              <w:rPr>
                <w:rFonts w:hint="eastAsia" w:ascii="宋体" w:hAnsi="宋体" w:eastAsia="宋体" w:cs="宋体"/>
                <w:sz w:val="24"/>
                <w:szCs w:val="24"/>
                <w:lang w:val="en-US" w:eastAsia="zh-CN"/>
              </w:rPr>
              <w:t>343000</w:t>
            </w:r>
          </w:p>
        </w:tc>
      </w:tr>
      <w:tr>
        <w:tblPrEx>
          <w:tblCellMar>
            <w:top w:w="0" w:type="dxa"/>
            <w:left w:w="108" w:type="dxa"/>
            <w:bottom w:w="0" w:type="dxa"/>
            <w:right w:w="108" w:type="dxa"/>
          </w:tblCellMar>
        </w:tblPrEx>
        <w:trPr>
          <w:trHeight w:val="582" w:hRule="atLeast"/>
        </w:trPr>
        <w:tc>
          <w:tcPr>
            <w:tcW w:w="5027" w:type="dxa"/>
          </w:tcPr>
          <w:p>
            <w:pPr>
              <w:snapToGrid w:val="0"/>
              <w:ind w:right="-298" w:rightChars="-142"/>
              <w:jc w:val="left"/>
              <w:rPr>
                <w:rFonts w:hint="eastAsia" w:ascii="宋体" w:hAnsi="宋体" w:eastAsia="宋体" w:cs="宋体"/>
                <w:sz w:val="24"/>
                <w:szCs w:val="24"/>
              </w:rPr>
            </w:pPr>
            <w:r>
              <w:rPr>
                <w:rFonts w:hint="eastAsia" w:ascii="宋体" w:hAnsi="宋体" w:eastAsia="宋体" w:cs="宋体"/>
                <w:sz w:val="24"/>
                <w:szCs w:val="24"/>
              </w:rPr>
              <w:t>地址:</w:t>
            </w:r>
            <w:r>
              <w:rPr>
                <w:rFonts w:hint="eastAsia"/>
                <w:sz w:val="24"/>
              </w:rPr>
              <w:t>吉安市吉福路与规划四路交叉口东南侧华润燃气气化站内</w:t>
            </w:r>
          </w:p>
        </w:tc>
        <w:tc>
          <w:tcPr>
            <w:tcW w:w="4793" w:type="dxa"/>
          </w:tcPr>
          <w:p>
            <w:pPr>
              <w:snapToGrid w:val="0"/>
              <w:ind w:right="-420" w:rightChars="-200"/>
              <w:jc w:val="left"/>
              <w:rPr>
                <w:rFonts w:hint="eastAsia" w:ascii="宋体" w:hAnsi="宋体" w:eastAsia="宋体" w:cs="宋体"/>
                <w:sz w:val="24"/>
                <w:szCs w:val="24"/>
              </w:rPr>
            </w:pPr>
            <w:r>
              <w:rPr>
                <w:rFonts w:hint="eastAsia" w:ascii="宋体" w:hAnsi="宋体" w:eastAsia="宋体" w:cs="宋体"/>
                <w:sz w:val="24"/>
                <w:szCs w:val="24"/>
              </w:rPr>
              <w:t>地址:江西省吉安市青原区河东经济开发区</w:t>
            </w:r>
          </w:p>
          <w:p>
            <w:pPr>
              <w:snapToGrid w:val="0"/>
              <w:ind w:right="-420" w:rightChars="-200"/>
              <w:jc w:val="left"/>
              <w:rPr>
                <w:rFonts w:hint="eastAsia" w:ascii="宋体" w:hAnsi="宋体" w:eastAsia="宋体" w:cs="宋体"/>
                <w:sz w:val="24"/>
                <w:szCs w:val="24"/>
              </w:rPr>
            </w:pPr>
            <w:r>
              <w:rPr>
                <w:rFonts w:hint="eastAsia" w:ascii="宋体" w:hAnsi="宋体" w:eastAsia="宋体" w:cs="宋体"/>
                <w:sz w:val="24"/>
                <w:szCs w:val="24"/>
              </w:rPr>
              <w:t>控规（修编）B18-1-1-2-3地块</w:t>
            </w:r>
          </w:p>
        </w:tc>
      </w:tr>
    </w:tbl>
    <w:p>
      <w:pPr>
        <w:ind w:firstLine="1044" w:firstLineChars="200"/>
        <w:rPr>
          <w:rFonts w:ascii="Times New Roman" w:hAnsi="Times New Roman"/>
          <w:b/>
          <w:sz w:val="52"/>
        </w:rPr>
      </w:pPr>
    </w:p>
    <w:p>
      <w:pPr>
        <w:ind w:firstLine="1044" w:firstLineChars="200"/>
        <w:rPr>
          <w:rFonts w:asciiTheme="minorEastAsia" w:hAnsiTheme="minorEastAsia"/>
          <w:b/>
          <w:sz w:val="28"/>
          <w:szCs w:val="28"/>
        </w:rPr>
      </w:pPr>
      <w:r>
        <w:rPr>
          <w:rFonts w:ascii="Times New Roman" w:hAnsi="Times New Roman"/>
          <w:b/>
          <w:sz w:val="52"/>
        </w:rPr>
        <w:br w:type="page"/>
      </w:r>
    </w:p>
    <w:p>
      <w:pPr>
        <w:pStyle w:val="18"/>
        <w:spacing w:line="240" w:lineRule="auto"/>
        <w:ind w:firstLine="241"/>
        <w:jc w:val="center"/>
        <w:rPr>
          <w:rFonts w:ascii="宋体" w:hAnsi="宋体"/>
          <w:b/>
        </w:rPr>
      </w:pPr>
    </w:p>
    <w:p>
      <w:pPr>
        <w:pStyle w:val="18"/>
        <w:spacing w:line="240" w:lineRule="auto"/>
        <w:ind w:firstLine="241"/>
        <w:jc w:val="center"/>
        <w:rPr>
          <w:rFonts w:ascii="宋体" w:hAnsi="宋体"/>
          <w:b/>
        </w:rPr>
      </w:pPr>
    </w:p>
    <w:p>
      <w:pPr>
        <w:pStyle w:val="18"/>
        <w:spacing w:line="240" w:lineRule="auto"/>
        <w:ind w:firstLine="241"/>
        <w:jc w:val="center"/>
        <w:rPr>
          <w:rFonts w:ascii="宋体" w:hAnsi="宋体"/>
          <w:b/>
          <w:sz w:val="32"/>
          <w:szCs w:val="32"/>
        </w:rPr>
      </w:pPr>
      <w:r>
        <w:rPr>
          <w:rFonts w:ascii="宋体" w:hAnsi="宋体"/>
          <w:b/>
        </w:rPr>
        <w:fldChar w:fldCharType="begin"/>
      </w:r>
      <w:r>
        <w:rPr>
          <w:rFonts w:hint="eastAsia" w:ascii="宋体" w:hAnsi="宋体"/>
        </w:rPr>
        <w:instrText xml:space="preserve">TOC \o "1-2" \h \z \u</w:instrText>
      </w:r>
      <w:r>
        <w:rPr>
          <w:rFonts w:ascii="宋体" w:hAnsi="宋体"/>
          <w:b/>
        </w:rPr>
        <w:fldChar w:fldCharType="separate"/>
      </w:r>
      <w:r>
        <w:rPr>
          <w:rFonts w:hint="eastAsia" w:ascii="宋体" w:hAnsi="宋体"/>
          <w:b/>
          <w:sz w:val="32"/>
          <w:szCs w:val="32"/>
        </w:rPr>
        <w:t>目录</w:t>
      </w:r>
    </w:p>
    <w:p/>
    <w:p>
      <w:pPr>
        <w:pStyle w:val="18"/>
        <w:spacing w:line="240" w:lineRule="auto"/>
        <w:rPr>
          <w:rFonts w:ascii="宋体" w:hAnsi="宋体"/>
        </w:rPr>
      </w:pPr>
      <w:r>
        <w:fldChar w:fldCharType="begin"/>
      </w:r>
      <w:r>
        <w:instrText xml:space="preserve"> HYPERLINK "file:///E:\\报告\\1验收报告\\29吉安开创精密机械铸造有限公司验收报告\\验收报告\\吉安开创精密机械铸造有限公司验收报告.doc" \l "_Toc446166626" </w:instrText>
      </w:r>
      <w:r>
        <w:fldChar w:fldCharType="separate"/>
      </w:r>
      <w:r>
        <w:rPr>
          <w:rStyle w:val="23"/>
          <w:rFonts w:hint="eastAsia" w:ascii="宋体" w:hAnsi="宋体"/>
        </w:rPr>
        <w:t>1</w:t>
      </w:r>
      <w:r>
        <w:rPr>
          <w:rStyle w:val="23"/>
          <w:rFonts w:hint="eastAsia" w:ascii="宋体" w:hAnsi="宋体" w:cs="Times New Roman"/>
        </w:rPr>
        <w:tab/>
      </w:r>
      <w:r>
        <w:rPr>
          <w:rFonts w:ascii="Times New Roman" w:hAnsi="Times New Roman"/>
          <w:b w:val="0"/>
          <w:bCs/>
          <w:sz w:val="24"/>
        </w:rPr>
        <w:t>建设项目概况及验收监测依据</w:t>
      </w:r>
      <w:r>
        <w:rPr>
          <w:rStyle w:val="23"/>
          <w:rFonts w:hint="eastAsia" w:ascii="宋体" w:hAnsi="宋体"/>
        </w:rPr>
        <w:tab/>
      </w:r>
      <w:r>
        <w:rPr>
          <w:rStyle w:val="23"/>
          <w:rFonts w:hint="eastAsia" w:ascii="宋体" w:hAnsi="宋体"/>
        </w:rPr>
        <w:fldChar w:fldCharType="end"/>
      </w:r>
      <w:r>
        <w:rPr>
          <w:rFonts w:hint="eastAsia" w:ascii="宋体" w:hAnsi="宋体"/>
        </w:rPr>
        <w:t>.1</w:t>
      </w:r>
    </w:p>
    <w:p>
      <w:pPr>
        <w:pStyle w:val="18"/>
        <w:spacing w:line="240" w:lineRule="auto"/>
        <w:ind w:firstLine="0" w:firstLineChars="0"/>
        <w:jc w:val="right"/>
        <w:rPr>
          <w:rFonts w:asciiTheme="minorEastAsia" w:hAnsiTheme="minorEastAsia" w:eastAsiaTheme="minorEastAsia"/>
        </w:rPr>
      </w:pPr>
    </w:p>
    <w:p>
      <w:pPr>
        <w:pStyle w:val="18"/>
        <w:spacing w:line="240" w:lineRule="auto"/>
        <w:rPr>
          <w:rFonts w:cs="Times New Roman" w:asciiTheme="minorEastAsia" w:hAnsiTheme="minorEastAsia" w:eastAsiaTheme="minorEastAsia"/>
        </w:rPr>
      </w:pPr>
      <w:r>
        <w:fldChar w:fldCharType="begin"/>
      </w:r>
      <w:r>
        <w:instrText xml:space="preserve"> HYPERLINK "file:///E:\\报告\\1验收报告\\29吉安开创精密机械铸造有限公司验收报告\\验收报告\\吉安开创精密机械铸造有限公司验收报告.doc" \l "_Toc446166628" </w:instrText>
      </w:r>
      <w:r>
        <w:fldChar w:fldCharType="separate"/>
      </w:r>
      <w:r>
        <w:rPr>
          <w:rStyle w:val="23"/>
          <w:rFonts w:hint="eastAsia" w:asciiTheme="minorEastAsia" w:hAnsiTheme="minorEastAsia" w:eastAsiaTheme="minorEastAsia"/>
        </w:rPr>
        <w:t>2</w:t>
      </w:r>
      <w:r>
        <w:rPr>
          <w:rStyle w:val="23"/>
          <w:rFonts w:hint="eastAsia" w:cs="Times New Roman" w:asciiTheme="minorEastAsia" w:hAnsiTheme="minorEastAsia" w:eastAsiaTheme="minorEastAsia"/>
        </w:rPr>
        <w:tab/>
      </w:r>
      <w:r>
        <w:rPr>
          <w:rFonts w:hint="eastAsia" w:ascii="Times New Roman" w:hAnsi="Times New Roman"/>
          <w:b w:val="0"/>
          <w:bCs w:val="0"/>
          <w:sz w:val="24"/>
        </w:rPr>
        <w:t>工程建设内容、</w:t>
      </w:r>
      <w:r>
        <w:rPr>
          <w:rFonts w:ascii="Times New Roman" w:hAnsi="Times New Roman"/>
          <w:b w:val="0"/>
          <w:bCs w:val="0"/>
          <w:sz w:val="24"/>
        </w:rPr>
        <w:t>主要</w:t>
      </w:r>
      <w:r>
        <w:rPr>
          <w:rFonts w:hint="eastAsia" w:ascii="Times New Roman" w:hAnsi="Times New Roman"/>
          <w:b w:val="0"/>
          <w:bCs w:val="0"/>
          <w:sz w:val="24"/>
        </w:rPr>
        <w:t>工艺流程及产污环节</w:t>
      </w:r>
      <w:r>
        <w:rPr>
          <w:rStyle w:val="23"/>
          <w:rFonts w:hint="eastAsia" w:asciiTheme="minorEastAsia" w:hAnsiTheme="minorEastAsia" w:eastAsiaTheme="minorEastAsia"/>
        </w:rPr>
        <w:tab/>
      </w:r>
      <w:r>
        <w:rPr>
          <w:rStyle w:val="23"/>
          <w:rFonts w:hint="eastAsia" w:asciiTheme="minorEastAsia" w:hAnsiTheme="minorEastAsia" w:eastAsiaTheme="minorEastAsia"/>
        </w:rPr>
        <w:fldChar w:fldCharType="end"/>
      </w:r>
      <w:r>
        <w:rPr>
          <w:rFonts w:hint="eastAsia" w:asciiTheme="minorEastAsia" w:hAnsiTheme="minorEastAsia" w:eastAsiaTheme="minorEastAsia"/>
        </w:rPr>
        <w:t>3</w:t>
      </w:r>
    </w:p>
    <w:p>
      <w:pPr>
        <w:pStyle w:val="18"/>
        <w:spacing w:line="240" w:lineRule="auto"/>
        <w:ind w:firstLine="0" w:firstLineChars="0"/>
        <w:rPr>
          <w:rStyle w:val="23"/>
          <w:rFonts w:asciiTheme="minorEastAsia" w:hAnsiTheme="minorEastAsia" w:eastAsiaTheme="minorEastAsia"/>
        </w:rPr>
      </w:pPr>
    </w:p>
    <w:p>
      <w:pPr>
        <w:pStyle w:val="18"/>
        <w:spacing w:line="240" w:lineRule="auto"/>
        <w:rPr>
          <w:rStyle w:val="23"/>
          <w:rFonts w:asciiTheme="minorEastAsia" w:hAnsiTheme="minorEastAsia" w:eastAsiaTheme="minorEastAsia"/>
        </w:rPr>
      </w:pPr>
      <w:r>
        <w:fldChar w:fldCharType="begin"/>
      </w:r>
      <w:r>
        <w:instrText xml:space="preserve"> HYPERLINK "file:///E:\\报告\\1验收报告\\29吉安开创精密机械铸造有限公司验收报告\\验收报告\\吉安开创精密机械铸造有限公司验收报告.doc" \l "_Toc446166629" </w:instrText>
      </w:r>
      <w:r>
        <w:fldChar w:fldCharType="separate"/>
      </w:r>
      <w:r>
        <w:rPr>
          <w:rStyle w:val="23"/>
          <w:rFonts w:hint="eastAsia" w:asciiTheme="minorEastAsia" w:hAnsiTheme="minorEastAsia" w:eastAsiaTheme="minorEastAsia"/>
        </w:rPr>
        <w:t>3</w:t>
      </w:r>
      <w:r>
        <w:rPr>
          <w:rStyle w:val="23"/>
          <w:rFonts w:hint="eastAsia" w:asciiTheme="minorEastAsia" w:hAnsiTheme="minorEastAsia" w:eastAsiaTheme="minorEastAsia"/>
        </w:rPr>
        <w:tab/>
      </w:r>
      <w:r>
        <w:rPr>
          <w:rFonts w:hint="eastAsia" w:ascii="Times New Roman" w:hAnsi="Times New Roman"/>
          <w:b w:val="0"/>
          <w:bCs/>
          <w:sz w:val="24"/>
        </w:rPr>
        <w:t>主要污染源、污染物处理和排放</w:t>
      </w:r>
      <w:r>
        <w:rPr>
          <w:rStyle w:val="23"/>
          <w:rFonts w:hint="eastAsia" w:asciiTheme="minorEastAsia" w:hAnsiTheme="minorEastAsia" w:eastAsiaTheme="minorEastAsia"/>
        </w:rPr>
        <w:tab/>
      </w:r>
      <w:r>
        <w:rPr>
          <w:rStyle w:val="23"/>
          <w:rFonts w:hint="eastAsia" w:asciiTheme="minorEastAsia" w:hAnsiTheme="minorEastAsia" w:eastAsiaTheme="minorEastAsia"/>
        </w:rPr>
        <w:fldChar w:fldCharType="end"/>
      </w:r>
      <w:r>
        <w:rPr>
          <w:rFonts w:hint="eastAsia" w:asciiTheme="minorEastAsia" w:hAnsiTheme="minorEastAsia" w:eastAsiaTheme="minorEastAsia"/>
        </w:rPr>
        <w:t>8</w:t>
      </w:r>
    </w:p>
    <w:p>
      <w:pPr>
        <w:pStyle w:val="18"/>
        <w:spacing w:line="240" w:lineRule="auto"/>
        <w:ind w:firstLine="0" w:firstLineChars="0"/>
        <w:rPr>
          <w:rStyle w:val="23"/>
          <w:rFonts w:asciiTheme="minorEastAsia" w:hAnsiTheme="minorEastAsia" w:eastAsiaTheme="minorEastAsia"/>
        </w:rPr>
      </w:pPr>
    </w:p>
    <w:p>
      <w:pPr>
        <w:pStyle w:val="18"/>
        <w:spacing w:line="240" w:lineRule="auto"/>
        <w:rPr>
          <w:rFonts w:hint="eastAsia" w:asciiTheme="minorEastAsia" w:hAnsiTheme="minorEastAsia" w:eastAsiaTheme="minorEastAsia"/>
          <w:lang w:eastAsia="zh-CN"/>
        </w:rPr>
      </w:pPr>
      <w:r>
        <w:fldChar w:fldCharType="begin"/>
      </w:r>
      <w:r>
        <w:instrText xml:space="preserve"> HYPERLINK "file:///E:\\报告\\1验收报告\\29吉安开创精密机械铸造有限公司验收报告\\验收报告\\吉安开创精密机械铸造有限公司验收报告.doc" \l "_Toc446166630" </w:instrText>
      </w:r>
      <w:r>
        <w:fldChar w:fldCharType="separate"/>
      </w:r>
      <w:r>
        <w:rPr>
          <w:rStyle w:val="23"/>
          <w:rFonts w:hint="eastAsia" w:asciiTheme="minorEastAsia" w:hAnsiTheme="minorEastAsia" w:eastAsiaTheme="minorEastAsia"/>
        </w:rPr>
        <w:t>4</w:t>
      </w:r>
      <w:r>
        <w:rPr>
          <w:rStyle w:val="23"/>
          <w:rFonts w:hint="eastAsia" w:asciiTheme="minorEastAsia" w:hAnsiTheme="minorEastAsia" w:eastAsiaTheme="minorEastAsia"/>
          <w:lang w:val="en-US" w:eastAsia="zh-CN"/>
        </w:rPr>
        <w:t xml:space="preserve">   </w:t>
      </w:r>
      <w:r>
        <w:rPr>
          <w:rFonts w:hint="eastAsia"/>
          <w:b/>
          <w:bCs/>
        </w:rPr>
        <w:t xml:space="preserve"> </w:t>
      </w:r>
      <w:r>
        <w:rPr>
          <w:rFonts w:hint="eastAsia"/>
          <w:b w:val="0"/>
          <w:bCs w:val="0"/>
        </w:rPr>
        <w:t>建设项目环境影响报告表主要结论及审批部门审批决定</w:t>
      </w:r>
      <w:r>
        <w:rPr>
          <w:rStyle w:val="23"/>
          <w:rFonts w:hint="eastAsia" w:asciiTheme="minorEastAsia" w:hAnsiTheme="minorEastAsia" w:eastAsiaTheme="minorEastAsia"/>
        </w:rPr>
        <w:tab/>
      </w:r>
      <w:r>
        <w:rPr>
          <w:rStyle w:val="23"/>
          <w:rFonts w:hint="eastAsia" w:asciiTheme="minorEastAsia" w:hAnsiTheme="minorEastAsia" w:eastAsiaTheme="minorEastAsia"/>
        </w:rPr>
        <w:fldChar w:fldCharType="end"/>
      </w:r>
      <w:r>
        <w:rPr>
          <w:rFonts w:hint="eastAsia" w:asciiTheme="minorEastAsia" w:hAnsiTheme="minorEastAsia" w:eastAsiaTheme="minorEastAsia"/>
          <w:lang w:val="en-US" w:eastAsia="zh-CN"/>
        </w:rPr>
        <w:t>9</w:t>
      </w:r>
    </w:p>
    <w:p>
      <w:pPr>
        <w:pStyle w:val="18"/>
        <w:spacing w:line="240" w:lineRule="auto"/>
        <w:rPr>
          <w:rFonts w:ascii="宋体" w:hAnsi="宋体"/>
        </w:rPr>
      </w:pPr>
    </w:p>
    <w:p>
      <w:pPr>
        <w:pStyle w:val="18"/>
        <w:spacing w:line="240" w:lineRule="auto"/>
        <w:rPr>
          <w:rFonts w:hint="eastAsia" w:ascii="宋体" w:hAnsi="宋体" w:eastAsia="宋体" w:cs="Times New Roman"/>
          <w:lang w:eastAsia="zh-CN"/>
        </w:rPr>
      </w:pPr>
      <w:r>
        <w:fldChar w:fldCharType="begin"/>
      </w:r>
      <w:r>
        <w:instrText xml:space="preserve"> HYPERLINK "file:///E:\\报告\\1验收报告\\29吉安开创精密机械铸造有限公司验收报告\\验收报告\\吉安开创精密机械铸造有限公司验收报告.doc" \l "_Toc446166631" </w:instrText>
      </w:r>
      <w:r>
        <w:fldChar w:fldCharType="separate"/>
      </w:r>
      <w:r>
        <w:rPr>
          <w:rStyle w:val="23"/>
          <w:rFonts w:hint="eastAsia" w:ascii="宋体" w:hAnsi="宋体"/>
        </w:rPr>
        <w:t>5</w:t>
      </w:r>
      <w:r>
        <w:rPr>
          <w:rStyle w:val="23"/>
          <w:rFonts w:hint="eastAsia" w:ascii="宋体" w:hAnsi="宋体" w:cs="Times New Roman"/>
        </w:rPr>
        <w:tab/>
      </w:r>
      <w:r>
        <w:rPr>
          <w:rFonts w:hint="eastAsia" w:ascii="Times New Roman" w:hAnsi="Times New Roman"/>
          <w:b w:val="0"/>
          <w:bCs/>
          <w:sz w:val="24"/>
        </w:rPr>
        <w:t>验收监测质量保证及质量控制</w:t>
      </w:r>
      <w:r>
        <w:rPr>
          <w:rStyle w:val="23"/>
          <w:rFonts w:hint="eastAsia" w:ascii="宋体" w:hAnsi="宋体"/>
        </w:rPr>
        <w:tab/>
      </w:r>
      <w:r>
        <w:rPr>
          <w:rStyle w:val="23"/>
          <w:rFonts w:hint="eastAsia" w:ascii="宋体" w:hAnsi="宋体"/>
        </w:rPr>
        <w:fldChar w:fldCharType="end"/>
      </w:r>
      <w:r>
        <w:rPr>
          <w:rFonts w:hint="eastAsia" w:ascii="宋体" w:hAnsi="宋体"/>
        </w:rPr>
        <w:t>1</w:t>
      </w:r>
      <w:r>
        <w:rPr>
          <w:rFonts w:hint="eastAsia" w:ascii="宋体" w:hAnsi="宋体"/>
          <w:lang w:val="en-US" w:eastAsia="zh-CN"/>
        </w:rPr>
        <w:t>5</w:t>
      </w:r>
    </w:p>
    <w:p>
      <w:pPr>
        <w:pStyle w:val="18"/>
        <w:spacing w:line="240" w:lineRule="auto"/>
        <w:ind w:firstLine="0" w:firstLineChars="0"/>
        <w:rPr>
          <w:rFonts w:ascii="宋体" w:hAnsi="宋体"/>
        </w:rPr>
      </w:pPr>
    </w:p>
    <w:p>
      <w:pPr>
        <w:pStyle w:val="18"/>
        <w:spacing w:line="240" w:lineRule="auto"/>
        <w:rPr>
          <w:rFonts w:hint="eastAsia" w:ascii="宋体" w:hAnsi="宋体" w:eastAsia="宋体"/>
          <w:lang w:val="en-US" w:eastAsia="zh-CN"/>
        </w:rPr>
      </w:pPr>
      <w:r>
        <w:fldChar w:fldCharType="begin"/>
      </w:r>
      <w:r>
        <w:instrText xml:space="preserve"> HYPERLINK "file:///E:\\报告\\1验收报告\\29吉安开创精密机械铸造有限公司验收报告\\验收报告\\吉安开创精密机械铸造有限公司验收报告.doc" \l "_Toc446166632" </w:instrText>
      </w:r>
      <w:r>
        <w:fldChar w:fldCharType="separate"/>
      </w:r>
      <w:r>
        <w:rPr>
          <w:rStyle w:val="23"/>
          <w:rFonts w:hint="eastAsia" w:ascii="宋体" w:hAnsi="宋体"/>
        </w:rPr>
        <w:t>6</w:t>
      </w:r>
      <w:r>
        <w:rPr>
          <w:rStyle w:val="23"/>
          <w:rFonts w:hint="eastAsia" w:ascii="宋体" w:hAnsi="宋体" w:cs="Times New Roman"/>
        </w:rPr>
        <w:tab/>
      </w:r>
      <w:r>
        <w:rPr>
          <w:rFonts w:hint="eastAsia" w:ascii="Times New Roman" w:hAnsi="Times New Roman"/>
          <w:b w:val="0"/>
          <w:bCs/>
          <w:sz w:val="24"/>
        </w:rPr>
        <w:t>验收监测内容</w:t>
      </w:r>
      <w:r>
        <w:rPr>
          <w:rStyle w:val="23"/>
          <w:rFonts w:hint="eastAsia" w:ascii="宋体" w:hAnsi="宋体"/>
        </w:rPr>
        <w:tab/>
      </w:r>
      <w:r>
        <w:rPr>
          <w:rStyle w:val="23"/>
          <w:rFonts w:hint="eastAsia" w:ascii="宋体" w:hAnsi="宋体"/>
        </w:rPr>
        <w:fldChar w:fldCharType="end"/>
      </w:r>
      <w:r>
        <w:rPr>
          <w:rFonts w:hint="eastAsia" w:ascii="宋体" w:hAnsi="宋体"/>
          <w:lang w:val="en-US" w:eastAsia="zh-CN"/>
        </w:rPr>
        <w:t>17</w:t>
      </w:r>
    </w:p>
    <w:p>
      <w:pPr>
        <w:rPr>
          <w:rFonts w:ascii="宋体" w:hAnsi="宋体"/>
          <w:sz w:val="24"/>
          <w:szCs w:val="24"/>
        </w:rPr>
      </w:pPr>
    </w:p>
    <w:p>
      <w:pPr>
        <w:pStyle w:val="18"/>
        <w:spacing w:line="240" w:lineRule="auto"/>
        <w:rPr>
          <w:rFonts w:hint="eastAsia" w:ascii="宋体" w:hAnsi="宋体" w:eastAsia="宋体"/>
          <w:lang w:val="en-US" w:eastAsia="zh-CN"/>
        </w:rPr>
      </w:pPr>
      <w:r>
        <w:fldChar w:fldCharType="begin"/>
      </w:r>
      <w:r>
        <w:instrText xml:space="preserve"> HYPERLINK "file:///E:\\报告\\1验收报告\\29吉安开创精密机械铸造有限公司验收报告\\验收报告\\吉安开创精密机械铸造有限公司验收报告.doc" \l "_Toc446166632" </w:instrText>
      </w:r>
      <w:r>
        <w:fldChar w:fldCharType="separate"/>
      </w:r>
      <w:r>
        <w:rPr>
          <w:rStyle w:val="23"/>
          <w:rFonts w:hint="eastAsia" w:ascii="宋体" w:hAnsi="宋体"/>
        </w:rPr>
        <w:t>7</w:t>
      </w:r>
      <w:r>
        <w:rPr>
          <w:rStyle w:val="23"/>
          <w:rFonts w:hint="eastAsia" w:ascii="宋体" w:hAnsi="宋体" w:cs="Times New Roman"/>
        </w:rPr>
        <w:tab/>
      </w:r>
      <w:r>
        <w:rPr>
          <w:rFonts w:hint="eastAsia" w:ascii="Times New Roman" w:hAnsi="Times New Roman"/>
          <w:b w:val="0"/>
          <w:bCs/>
          <w:sz w:val="24"/>
        </w:rPr>
        <w:t>验收监测生产工况及监测结果</w:t>
      </w:r>
      <w:r>
        <w:rPr>
          <w:rStyle w:val="23"/>
          <w:rFonts w:hint="eastAsia" w:ascii="宋体" w:hAnsi="宋体"/>
        </w:rPr>
        <w:tab/>
      </w:r>
      <w:r>
        <w:rPr>
          <w:rStyle w:val="23"/>
          <w:rFonts w:hint="eastAsia" w:ascii="宋体" w:hAnsi="宋体"/>
        </w:rPr>
        <w:fldChar w:fldCharType="end"/>
      </w:r>
      <w:r>
        <w:rPr>
          <w:rFonts w:hint="eastAsia" w:ascii="宋体" w:hAnsi="宋体"/>
          <w:lang w:val="en-US" w:eastAsia="zh-CN"/>
        </w:rPr>
        <w:t>18</w:t>
      </w:r>
    </w:p>
    <w:p>
      <w:pPr>
        <w:pStyle w:val="18"/>
        <w:spacing w:line="240" w:lineRule="auto"/>
        <w:ind w:firstLine="0" w:firstLineChars="0"/>
        <w:rPr>
          <w:rFonts w:ascii="宋体" w:hAnsi="宋体"/>
        </w:rPr>
      </w:pPr>
    </w:p>
    <w:p>
      <w:pPr>
        <w:pStyle w:val="18"/>
        <w:spacing w:line="240" w:lineRule="auto"/>
        <w:rPr>
          <w:rFonts w:hint="default" w:ascii="宋体" w:hAnsi="宋体" w:eastAsia="宋体"/>
          <w:lang w:val="en-US" w:eastAsia="zh-CN"/>
        </w:rPr>
      </w:pPr>
      <w:r>
        <w:fldChar w:fldCharType="begin"/>
      </w:r>
      <w:r>
        <w:instrText xml:space="preserve"> HYPERLINK "file:///E:\\报告\\1验收报告\\29吉安开创精密机械铸造有限公司验收报告\\验收报告\\吉安开创精密机械铸造有限公司验收报告.doc" \l "_Toc446166633" </w:instrText>
      </w:r>
      <w:r>
        <w:fldChar w:fldCharType="separate"/>
      </w:r>
      <w:r>
        <w:rPr>
          <w:rStyle w:val="23"/>
          <w:rFonts w:hint="eastAsia" w:ascii="宋体" w:hAnsi="宋体"/>
        </w:rPr>
        <w:t>8</w:t>
      </w:r>
      <w:r>
        <w:rPr>
          <w:rStyle w:val="23"/>
          <w:rFonts w:hint="eastAsia" w:ascii="宋体" w:hAnsi="宋体" w:cs="Times New Roman"/>
        </w:rPr>
        <w:tab/>
      </w:r>
      <w:r>
        <w:rPr>
          <w:rStyle w:val="23"/>
          <w:rFonts w:hint="eastAsia" w:ascii="宋体" w:hAnsi="宋体"/>
        </w:rPr>
        <w:t>验收监测结论及建议</w:t>
      </w:r>
      <w:r>
        <w:rPr>
          <w:rStyle w:val="23"/>
          <w:rFonts w:hint="eastAsia" w:ascii="宋体" w:hAnsi="宋体"/>
        </w:rPr>
        <w:tab/>
      </w:r>
      <w:r>
        <w:rPr>
          <w:rStyle w:val="23"/>
          <w:rFonts w:hint="eastAsia" w:ascii="宋体" w:hAnsi="宋体"/>
        </w:rPr>
        <w:fldChar w:fldCharType="end"/>
      </w:r>
      <w:r>
        <w:rPr>
          <w:rFonts w:hint="eastAsia" w:ascii="宋体" w:hAnsi="宋体"/>
          <w:lang w:val="en-US" w:eastAsia="zh-CN"/>
        </w:rPr>
        <w:t>19</w:t>
      </w:r>
    </w:p>
    <w:p>
      <w:pPr>
        <w:pStyle w:val="18"/>
        <w:spacing w:line="240" w:lineRule="auto"/>
        <w:ind w:firstLine="0" w:firstLineChars="0"/>
        <w:rPr>
          <w:rFonts w:ascii="宋体" w:hAnsi="宋体"/>
        </w:rPr>
      </w:pPr>
    </w:p>
    <w:p>
      <w:pPr>
        <w:rPr>
          <w:rFonts w:ascii="宋体" w:hAnsi="宋体"/>
          <w:sz w:val="24"/>
          <w:szCs w:val="24"/>
        </w:rPr>
        <w:sectPr>
          <w:headerReference r:id="rId4" w:type="first"/>
          <w:headerReference r:id="rId3" w:type="default"/>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titlePg/>
          <w:docGrid w:type="lines" w:linePitch="312" w:charSpace="0"/>
        </w:sectPr>
      </w:pPr>
    </w:p>
    <w:p>
      <w:pPr>
        <w:rPr>
          <w:rFonts w:ascii="宋体" w:hAnsi="宋体"/>
          <w:sz w:val="24"/>
          <w:szCs w:val="24"/>
        </w:rPr>
      </w:pPr>
    </w:p>
    <w:p>
      <w:pPr>
        <w:pStyle w:val="18"/>
        <w:spacing w:line="360" w:lineRule="auto"/>
        <w:ind w:firstLine="0" w:firstLineChars="0"/>
        <w:rPr>
          <w:rFonts w:ascii="宋体" w:hAnsi="宋体"/>
        </w:rPr>
      </w:pPr>
      <w:r>
        <w:rPr>
          <w:rFonts w:hint="eastAsia" w:ascii="宋体" w:hAnsi="宋体"/>
        </w:rPr>
        <w:t>附件目录：</w:t>
      </w:r>
    </w:p>
    <w:p>
      <w:pPr>
        <w:spacing w:line="360" w:lineRule="auto"/>
        <w:rPr>
          <w:rFonts w:ascii="宋体" w:hAnsi="宋体"/>
          <w:sz w:val="24"/>
          <w:szCs w:val="24"/>
        </w:rPr>
      </w:pPr>
      <w:r>
        <w:rPr>
          <w:rFonts w:ascii="宋体" w:hAnsi="宋体"/>
          <w:sz w:val="24"/>
          <w:szCs w:val="24"/>
        </w:rPr>
        <w:fldChar w:fldCharType="end"/>
      </w:r>
      <w:r>
        <w:rPr>
          <w:rFonts w:hint="eastAsia" w:ascii="宋体" w:hAnsi="宋体"/>
          <w:sz w:val="24"/>
          <w:szCs w:val="24"/>
        </w:rPr>
        <w:t>附件一、项目相关附图</w:t>
      </w:r>
    </w:p>
    <w:p>
      <w:pPr>
        <w:spacing w:line="360" w:lineRule="auto"/>
        <w:rPr>
          <w:rFonts w:ascii="宋体" w:hAnsi="宋体"/>
          <w:sz w:val="24"/>
          <w:szCs w:val="24"/>
        </w:rPr>
      </w:pPr>
      <w:r>
        <w:rPr>
          <w:rFonts w:hint="eastAsia" w:ascii="宋体" w:hAnsi="宋体"/>
          <w:sz w:val="24"/>
          <w:szCs w:val="24"/>
        </w:rPr>
        <w:t>附件二、“三同时表”表格</w:t>
      </w:r>
      <w:r>
        <w:rPr>
          <w:rFonts w:ascii="宋体" w:hAnsi="宋体"/>
          <w:sz w:val="24"/>
          <w:szCs w:val="24"/>
        </w:rPr>
        <w:tab/>
      </w:r>
    </w:p>
    <w:p>
      <w:pPr>
        <w:spacing w:line="360" w:lineRule="auto"/>
        <w:rPr>
          <w:rFonts w:ascii="宋体" w:hAnsi="宋体"/>
          <w:sz w:val="24"/>
          <w:szCs w:val="24"/>
        </w:rPr>
      </w:pPr>
      <w:r>
        <w:rPr>
          <w:rFonts w:hint="eastAsia" w:ascii="宋体" w:hAnsi="宋体"/>
          <w:sz w:val="24"/>
          <w:szCs w:val="24"/>
        </w:rPr>
        <w:t>附件三、环评批复</w:t>
      </w:r>
    </w:p>
    <w:p>
      <w:pPr>
        <w:spacing w:line="360" w:lineRule="auto"/>
        <w:rPr>
          <w:b w:val="0"/>
          <w:bCs/>
          <w:sz w:val="24"/>
          <w:szCs w:val="24"/>
        </w:rPr>
      </w:pPr>
      <w:r>
        <w:rPr>
          <w:rFonts w:hint="eastAsia" w:ascii="宋体" w:hAnsi="宋体"/>
          <w:sz w:val="24"/>
          <w:szCs w:val="24"/>
        </w:rPr>
        <w:t>附件四、</w:t>
      </w:r>
      <w:r>
        <w:rPr>
          <w:rFonts w:hint="eastAsia"/>
          <w:b w:val="0"/>
          <w:bCs/>
          <w:sz w:val="24"/>
          <w:szCs w:val="24"/>
          <w:lang w:eastAsia="zh-CN"/>
        </w:rPr>
        <w:t>规划许可</w:t>
      </w:r>
      <w:r>
        <w:rPr>
          <w:rFonts w:hint="eastAsia"/>
          <w:b w:val="0"/>
          <w:bCs/>
          <w:sz w:val="24"/>
          <w:szCs w:val="24"/>
        </w:rPr>
        <w:t>证明</w:t>
      </w:r>
      <w:r>
        <w:rPr>
          <w:rFonts w:hint="eastAsia"/>
          <w:b w:val="0"/>
          <w:bCs/>
          <w:sz w:val="24"/>
          <w:szCs w:val="24"/>
          <w:lang w:eastAsia="zh-CN"/>
        </w:rPr>
        <w:t>文件</w:t>
      </w:r>
    </w:p>
    <w:p>
      <w:pPr>
        <w:spacing w:line="360" w:lineRule="auto"/>
        <w:rPr>
          <w:rFonts w:ascii="宋体" w:hAnsi="宋体"/>
          <w:b w:val="0"/>
          <w:bCs/>
          <w:sz w:val="24"/>
          <w:szCs w:val="24"/>
        </w:rPr>
      </w:pPr>
      <w:r>
        <w:rPr>
          <w:rFonts w:hint="eastAsia" w:ascii="宋体" w:hAnsi="宋体"/>
          <w:b w:val="0"/>
          <w:bCs/>
          <w:sz w:val="24"/>
          <w:szCs w:val="24"/>
        </w:rPr>
        <w:t>附件五、</w:t>
      </w:r>
      <w:r>
        <w:rPr>
          <w:rFonts w:hint="eastAsia"/>
          <w:b w:val="0"/>
          <w:bCs/>
          <w:sz w:val="24"/>
          <w:szCs w:val="24"/>
          <w:lang w:eastAsia="zh-CN"/>
        </w:rPr>
        <w:t>设计图文件</w:t>
      </w:r>
      <w:r>
        <w:rPr>
          <w:rFonts w:ascii="宋体" w:hAnsi="宋体"/>
          <w:b w:val="0"/>
          <w:bCs/>
          <w:sz w:val="24"/>
          <w:szCs w:val="24"/>
        </w:rPr>
        <w:tab/>
      </w:r>
    </w:p>
    <w:p>
      <w:pPr>
        <w:spacing w:line="360" w:lineRule="auto"/>
        <w:rPr>
          <w:rFonts w:hint="eastAsia" w:ascii="宋体" w:hAnsi="宋体" w:eastAsiaTheme="minorEastAsia"/>
          <w:sz w:val="24"/>
          <w:szCs w:val="24"/>
          <w:lang w:val="en-US" w:eastAsia="zh-CN"/>
        </w:rPr>
      </w:pPr>
      <w:r>
        <w:rPr>
          <w:rFonts w:hint="eastAsia" w:ascii="宋体" w:hAnsi="宋体"/>
          <w:b w:val="0"/>
          <w:bCs/>
          <w:sz w:val="24"/>
          <w:szCs w:val="24"/>
        </w:rPr>
        <w:t>附件六、</w:t>
      </w:r>
      <w:r>
        <w:rPr>
          <w:rFonts w:hint="eastAsia"/>
          <w:b w:val="0"/>
          <w:bCs/>
          <w:sz w:val="24"/>
          <w:szCs w:val="24"/>
          <w:lang w:eastAsia="zh-CN"/>
        </w:rPr>
        <w:t>吉安市发展和改革委员会复函文件</w:t>
      </w:r>
    </w:p>
    <w:p>
      <w:pPr>
        <w:spacing w:line="360" w:lineRule="auto"/>
        <w:rPr>
          <w:rFonts w:hint="eastAsia" w:ascii="宋体" w:hAnsi="宋体"/>
          <w:sz w:val="24"/>
          <w:szCs w:val="24"/>
        </w:rPr>
      </w:pPr>
      <w:r>
        <w:rPr>
          <w:rFonts w:hint="eastAsia" w:ascii="宋体" w:hAnsi="宋体"/>
          <w:sz w:val="24"/>
          <w:szCs w:val="24"/>
        </w:rPr>
        <w:t>附件七、</w:t>
      </w:r>
      <w:r>
        <w:rPr>
          <w:rFonts w:hint="eastAsia"/>
          <w:b w:val="0"/>
          <w:bCs/>
          <w:sz w:val="24"/>
          <w:szCs w:val="24"/>
          <w:lang w:eastAsia="zh-CN"/>
        </w:rPr>
        <w:t>危险废物委托处置协议</w:t>
      </w:r>
    </w:p>
    <w:p>
      <w:pPr>
        <w:spacing w:line="360" w:lineRule="auto"/>
        <w:rPr>
          <w:sz w:val="24"/>
          <w:szCs w:val="24"/>
        </w:rPr>
      </w:pPr>
      <w:r>
        <w:rPr>
          <w:rFonts w:hint="eastAsia" w:ascii="宋体" w:hAnsi="宋体"/>
          <w:sz w:val="24"/>
          <w:szCs w:val="24"/>
        </w:rPr>
        <w:t>附件</w:t>
      </w:r>
      <w:r>
        <w:rPr>
          <w:rFonts w:hint="eastAsia" w:ascii="宋体" w:hAnsi="宋体"/>
          <w:sz w:val="24"/>
          <w:szCs w:val="24"/>
          <w:lang w:eastAsia="zh-CN"/>
        </w:rPr>
        <w:t>八</w:t>
      </w:r>
      <w:r>
        <w:rPr>
          <w:rFonts w:hint="eastAsia" w:ascii="宋体" w:hAnsi="宋体"/>
          <w:sz w:val="24"/>
          <w:szCs w:val="24"/>
        </w:rPr>
        <w:t>、验收组意见</w:t>
      </w:r>
    </w:p>
    <w:p>
      <w:pPr>
        <w:spacing w:line="360" w:lineRule="auto"/>
        <w:rPr>
          <w:rFonts w:ascii="宋体" w:hAnsi="宋体"/>
          <w:sz w:val="24"/>
          <w:szCs w:val="24"/>
        </w:rPr>
      </w:pPr>
      <w:r>
        <w:rPr>
          <w:rFonts w:hint="eastAsia" w:ascii="宋体" w:hAnsi="宋体"/>
          <w:sz w:val="24"/>
          <w:szCs w:val="24"/>
        </w:rPr>
        <w:t>附件</w:t>
      </w:r>
      <w:r>
        <w:rPr>
          <w:rFonts w:hint="eastAsia" w:ascii="宋体" w:hAnsi="宋体"/>
          <w:sz w:val="24"/>
          <w:szCs w:val="24"/>
          <w:lang w:eastAsia="zh-CN"/>
        </w:rPr>
        <w:t>九</w:t>
      </w:r>
      <w:r>
        <w:rPr>
          <w:rFonts w:hint="eastAsia" w:ascii="宋体" w:hAnsi="宋体"/>
          <w:sz w:val="24"/>
          <w:szCs w:val="24"/>
        </w:rPr>
        <w:t>、</w:t>
      </w:r>
      <w:r>
        <w:rPr>
          <w:rFonts w:hint="eastAsia" w:ascii="宋体" w:hAnsi="宋体"/>
          <w:sz w:val="24"/>
          <w:szCs w:val="24"/>
          <w:lang w:eastAsia="zh-CN"/>
        </w:rPr>
        <w:t>网上</w:t>
      </w:r>
      <w:r>
        <w:rPr>
          <w:rFonts w:hint="eastAsia" w:ascii="宋体" w:hAnsi="宋体"/>
          <w:sz w:val="24"/>
          <w:szCs w:val="24"/>
        </w:rPr>
        <w:t>公示图片</w:t>
      </w:r>
    </w:p>
    <w:p>
      <w:pPr>
        <w:spacing w:line="360" w:lineRule="auto"/>
        <w:rPr>
          <w:rFonts w:ascii="宋体" w:hAnsi="宋体"/>
          <w:sz w:val="24"/>
          <w:szCs w:val="24"/>
        </w:rPr>
      </w:pPr>
      <w:r>
        <w:rPr>
          <w:rFonts w:hint="eastAsia" w:ascii="宋体" w:hAnsi="宋体"/>
          <w:sz w:val="24"/>
          <w:szCs w:val="24"/>
        </w:rPr>
        <w:t>附件</w:t>
      </w:r>
      <w:r>
        <w:rPr>
          <w:rFonts w:hint="eastAsia" w:ascii="宋体" w:hAnsi="宋体"/>
          <w:sz w:val="24"/>
          <w:szCs w:val="24"/>
          <w:lang w:eastAsia="zh-CN"/>
        </w:rPr>
        <w:t>十</w:t>
      </w:r>
      <w:r>
        <w:rPr>
          <w:rFonts w:hint="eastAsia" w:ascii="宋体" w:hAnsi="宋体"/>
          <w:sz w:val="24"/>
          <w:szCs w:val="24"/>
        </w:rPr>
        <w:t>、</w:t>
      </w:r>
      <w:r>
        <w:rPr>
          <w:rFonts w:hint="eastAsia"/>
          <w:sz w:val="24"/>
          <w:szCs w:val="24"/>
          <w:lang w:val="en-US" w:eastAsia="zh-CN"/>
        </w:rPr>
        <w:t>检测报告扫描件</w:t>
      </w:r>
    </w:p>
    <w:p/>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rPr>
          <w:rFonts w:asciiTheme="minorEastAsia" w:hAnsiTheme="minorEastAsia"/>
          <w:b/>
          <w:sz w:val="28"/>
          <w:szCs w:val="28"/>
        </w:rPr>
      </w:pPr>
    </w:p>
    <w:p>
      <w:pPr>
        <w:spacing w:line="360" w:lineRule="auto"/>
        <w:ind w:firstLine="472" w:firstLineChars="196"/>
        <w:jc w:val="left"/>
        <w:rPr>
          <w:rFonts w:ascii="Times New Roman" w:hAnsi="Times New Roman"/>
          <w:b/>
          <w:sz w:val="24"/>
        </w:rPr>
        <w:sectPr>
          <w:headerReference r:id="rId6" w:type="default"/>
          <w:footerReference r:id="rId7" w:type="default"/>
          <w:pgSz w:w="11906" w:h="16838"/>
          <w:pgMar w:top="720" w:right="720" w:bottom="720" w:left="720" w:header="851" w:footer="992" w:gutter="0"/>
          <w:pgBorders>
            <w:top w:val="none" w:sz="0" w:space="0"/>
            <w:left w:val="none" w:sz="0" w:space="0"/>
            <w:bottom w:val="none" w:sz="0" w:space="0"/>
            <w:right w:val="none" w:sz="0" w:space="0"/>
          </w:pgBorders>
          <w:pgNumType w:fmt="decimal" w:start="0"/>
          <w:cols w:space="425" w:num="1"/>
          <w:docGrid w:type="lines" w:linePitch="312" w:charSpace="0"/>
        </w:sectPr>
      </w:pPr>
    </w:p>
    <w:p>
      <w:pPr>
        <w:spacing w:line="360" w:lineRule="auto"/>
        <w:ind w:firstLine="472" w:firstLineChars="196"/>
        <w:jc w:val="left"/>
        <w:rPr>
          <w:rFonts w:ascii="Times New Roman" w:hAnsi="Times New Roman"/>
          <w:b/>
          <w:sz w:val="24"/>
        </w:rPr>
      </w:pPr>
      <w:r>
        <w:rPr>
          <w:rFonts w:ascii="Times New Roman" w:hAnsi="Times New Roman"/>
          <w:b/>
          <w:sz w:val="24"/>
        </w:rPr>
        <w:t>表一  建设项目概况及验收监测依据</w:t>
      </w:r>
    </w:p>
    <w:tbl>
      <w:tblPr>
        <w:tblStyle w:val="20"/>
        <w:tblW w:w="101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7"/>
        <w:gridCol w:w="1755"/>
        <w:gridCol w:w="1157"/>
        <w:gridCol w:w="495"/>
        <w:gridCol w:w="1550"/>
        <w:gridCol w:w="221"/>
        <w:gridCol w:w="913"/>
        <w:gridCol w:w="2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建设项目名称</w:t>
            </w:r>
          </w:p>
        </w:tc>
        <w:tc>
          <w:tcPr>
            <w:tcW w:w="8114" w:type="dxa"/>
            <w:gridSpan w:val="7"/>
            <w:noWrap w:val="0"/>
            <w:vAlign w:val="center"/>
          </w:tcPr>
          <w:p>
            <w:pPr>
              <w:spacing w:line="240" w:lineRule="exact"/>
              <w:ind w:right="641"/>
              <w:rPr>
                <w:rFonts w:hint="eastAsia" w:ascii="Times New Roman" w:hAnsi="Times New Roman"/>
                <w:sz w:val="24"/>
                <w:szCs w:val="24"/>
              </w:rPr>
            </w:pPr>
            <w:r>
              <w:rPr>
                <w:rFonts w:hint="eastAsia" w:ascii="宋体" w:hAnsi="宋体" w:eastAsia="宋体" w:cs="宋体"/>
                <w:b w:val="0"/>
                <w:bCs w:val="0"/>
                <w:sz w:val="24"/>
                <w:szCs w:val="24"/>
              </w:rPr>
              <w:t>吉安华润清洁能源有限公司吉安市吉福路天然气加气站工程项目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建设单位名称</w:t>
            </w:r>
          </w:p>
        </w:tc>
        <w:tc>
          <w:tcPr>
            <w:tcW w:w="8114" w:type="dxa"/>
            <w:gridSpan w:val="7"/>
            <w:noWrap w:val="0"/>
            <w:vAlign w:val="center"/>
          </w:tcPr>
          <w:p>
            <w:pPr>
              <w:spacing w:line="240" w:lineRule="exact"/>
              <w:ind w:right="641"/>
              <w:rPr>
                <w:rFonts w:hint="eastAsia" w:ascii="Times New Roman" w:hAnsi="Times New Roman"/>
                <w:sz w:val="24"/>
                <w:szCs w:val="24"/>
              </w:rPr>
            </w:pPr>
            <w:r>
              <w:rPr>
                <w:rFonts w:hint="eastAsia" w:ascii="宋体" w:hAnsi="宋体" w:eastAsia="宋体" w:cs="宋体"/>
                <w:b w:val="0"/>
                <w:bCs w:val="0"/>
                <w:sz w:val="24"/>
                <w:szCs w:val="24"/>
              </w:rPr>
              <w:t>吉安华润</w:t>
            </w:r>
            <w:r>
              <w:rPr>
                <w:rFonts w:hint="eastAsia" w:ascii="宋体" w:hAnsi="宋体" w:eastAsia="宋体" w:cs="宋体"/>
                <w:b w:val="0"/>
                <w:bCs w:val="0"/>
                <w:sz w:val="24"/>
                <w:szCs w:val="24"/>
                <w:lang w:eastAsia="zh-CN"/>
              </w:rPr>
              <w:t>燃气</w:t>
            </w:r>
            <w:r>
              <w:rPr>
                <w:rFonts w:hint="eastAsia" w:ascii="宋体" w:hAnsi="宋体" w:eastAsia="宋体" w:cs="宋体"/>
                <w:b w:val="0"/>
                <w:bCs w:val="0"/>
                <w:sz w:val="24"/>
                <w:szCs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建设项目性质</w:t>
            </w:r>
          </w:p>
        </w:tc>
        <w:tc>
          <w:tcPr>
            <w:tcW w:w="8114" w:type="dxa"/>
            <w:gridSpan w:val="7"/>
            <w:noWrap w:val="0"/>
            <w:vAlign w:val="center"/>
          </w:tcPr>
          <w:p>
            <w:pPr>
              <w:spacing w:line="240" w:lineRule="exact"/>
              <w:ind w:right="641"/>
              <w:rPr>
                <w:rFonts w:hint="eastAsia" w:ascii="Times New Roman" w:hAnsi="Times New Roman"/>
                <w:sz w:val="24"/>
                <w:szCs w:val="24"/>
              </w:rPr>
            </w:pPr>
            <w:r>
              <w:rPr>
                <w:rFonts w:hint="eastAsia" w:ascii="Times New Roman" w:hAnsi="Times New Roman" w:cs="宋体"/>
                <w:sz w:val="24"/>
                <w:szCs w:val="24"/>
              </w:rPr>
              <w:pict>
                <v:shape id="CheckBox4" o:spid="_x0000_s2085" o:spt="201" alt="" type="#_x0000_t201" style="position:absolute;left:0pt;margin-left:155.05pt;margin-top:1.55pt;height:23.6pt;width:38.15pt;z-index:251696128;mso-width-relative:page;mso-height-relative:page;" o:ole="t" filled="f" o:preferrelative="t" stroked="f" coordsize="21600,21600">
                  <v:path/>
                  <v:fill on="f" focussize="0,0"/>
                  <v:stroke on="f"/>
                  <v:imagedata r:id="rId22" o:title=""/>
                  <o:lock v:ext="edit" aspectratio="f"/>
                </v:shape>
                <w:control r:id="rId21" w:name="CheckBox4" w:shapeid="CheckBox4"/>
              </w:pict>
            </w:r>
            <w:r>
              <w:rPr>
                <w:rFonts w:hint="eastAsia" w:ascii="Times New Roman" w:hAnsi="Times New Roman" w:cs="宋体"/>
                <w:sz w:val="24"/>
                <w:szCs w:val="24"/>
              </w:rPr>
              <w:pict>
                <v:shape id="CheckBox3" o:spid="_x0000_s2086" o:spt="201" alt="" type="#_x0000_t201" style="position:absolute;left:0pt;margin-left:107.05pt;margin-top:1.55pt;height:23.25pt;width:38.25pt;z-index:251695104;mso-width-relative:page;mso-height-relative:page;" o:ole="t" filled="f" o:preferrelative="t" stroked="f" coordsize="21600,21600">
                  <v:path/>
                  <v:fill on="f" focussize="0,0"/>
                  <v:stroke on="f"/>
                  <v:imagedata r:id="rId24" o:title=""/>
                  <o:lock v:ext="edit" aspectratio="f"/>
                </v:shape>
                <w:control r:id="rId23" w:name="CheckBox3" w:shapeid="CheckBox3"/>
              </w:pict>
            </w:r>
            <w:r>
              <w:rPr>
                <w:rFonts w:hint="eastAsia" w:ascii="Times New Roman" w:hAnsi="Times New Roman" w:cs="宋体"/>
                <w:sz w:val="24"/>
                <w:szCs w:val="24"/>
              </w:rPr>
              <w:pict>
                <v:shape id="CheckBox2" o:spid="_x0000_s2087" o:spt="201" alt="" type="#_x0000_t201" style="position:absolute;left:0pt;margin-left:49pt;margin-top:2.55pt;height:22.5pt;width:52.5pt;z-index:251694080;mso-width-relative:page;mso-height-relative:page;" o:ole="t" filled="f" o:preferrelative="t" stroked="f" coordsize="21600,21600">
                  <v:path/>
                  <v:fill on="f" focussize="0,0"/>
                  <v:stroke on="f"/>
                  <v:imagedata r:id="rId26" o:title=""/>
                  <o:lock v:ext="edit" aspectratio="f"/>
                </v:shape>
                <w:control r:id="rId25" w:name="CheckBox2" w:shapeid="CheckBox2"/>
              </w:pict>
            </w:r>
            <w:r>
              <w:rPr>
                <w:rFonts w:hint="eastAsia" w:ascii="Times New Roman" w:hAnsi="Times New Roman" w:cs="宋体"/>
                <w:sz w:val="24"/>
                <w:szCs w:val="24"/>
              </w:rPr>
              <w:pict>
                <v:shape id="CheckBox1" o:spid="_x0000_s2088" o:spt="201" alt="" type="#_x0000_t201" style="position:absolute;left:0pt;margin-left:0.55pt;margin-top:1.55pt;height:23.6pt;width:38.15pt;z-index:251693056;mso-width-relative:page;mso-height-relative:page;" o:ole="t" filled="f" o:preferrelative="t" stroked="f" coordsize="21600,21600">
                  <v:path/>
                  <v:fill on="f" focussize="0,0"/>
                  <v:stroke on="f"/>
                  <v:imagedata r:id="rId28" o:title=""/>
                  <o:lock v:ext="edit" aspectratio="f"/>
                </v:shape>
                <w:control r:id="rId27" w:name="CheckBox1" w:shapeid="CheckBox1"/>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hint="eastAsia" w:ascii="Times New Roman" w:hAnsi="Times New Roman"/>
                <w:sz w:val="24"/>
                <w:szCs w:val="24"/>
              </w:rPr>
            </w:pPr>
            <w:r>
              <w:rPr>
                <w:rFonts w:hint="eastAsia" w:ascii="Times New Roman" w:hAnsi="Times New Roman"/>
                <w:sz w:val="24"/>
                <w:szCs w:val="24"/>
              </w:rPr>
              <w:t>建设地点</w:t>
            </w:r>
          </w:p>
        </w:tc>
        <w:tc>
          <w:tcPr>
            <w:tcW w:w="8114" w:type="dxa"/>
            <w:gridSpan w:val="7"/>
            <w:noWrap w:val="0"/>
            <w:vAlign w:val="center"/>
          </w:tcPr>
          <w:p>
            <w:pPr>
              <w:spacing w:line="240" w:lineRule="exact"/>
              <w:ind w:right="641"/>
              <w:rPr>
                <w:rFonts w:hint="eastAsia" w:ascii="Times New Roman" w:hAnsi="Times New Roman" w:cs="宋体"/>
                <w:sz w:val="24"/>
                <w:szCs w:val="24"/>
              </w:rPr>
            </w:pPr>
            <w:r>
              <w:rPr>
                <w:rFonts w:hint="eastAsia"/>
                <w:sz w:val="24"/>
              </w:rPr>
              <w:t>吉安市吉福路与规划四路交叉口东南侧华润燃气气化站内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057" w:type="dxa"/>
            <w:noWrap w:val="0"/>
            <w:vAlign w:val="center"/>
          </w:tcPr>
          <w:p>
            <w:pPr>
              <w:spacing w:line="240" w:lineRule="exact"/>
              <w:ind w:right="-7488"/>
              <w:jc w:val="left"/>
              <w:rPr>
                <w:rFonts w:ascii="Times New Roman" w:hAnsi="Times New Roman"/>
                <w:sz w:val="24"/>
                <w:szCs w:val="24"/>
              </w:rPr>
            </w:pPr>
            <w:r>
              <w:rPr>
                <w:rFonts w:ascii="Times New Roman" w:hAnsi="Times New Roman"/>
                <w:sz w:val="24"/>
                <w:szCs w:val="24"/>
              </w:rPr>
              <w:t>主要产品名称</w:t>
            </w:r>
          </w:p>
        </w:tc>
        <w:tc>
          <w:tcPr>
            <w:tcW w:w="8114" w:type="dxa"/>
            <w:gridSpan w:val="7"/>
            <w:noWrap w:val="0"/>
            <w:vAlign w:val="center"/>
          </w:tcPr>
          <w:p>
            <w:pPr>
              <w:rPr>
                <w:rFonts w:hint="eastAsia" w:ascii="Times New Roman" w:hAnsi="Times New Roman" w:eastAsia="宋体"/>
                <w:sz w:val="24"/>
                <w:szCs w:val="24"/>
                <w:lang w:eastAsia="zh-CN"/>
              </w:rPr>
            </w:pPr>
            <w:r>
              <w:rPr>
                <w:rFonts w:hint="eastAsia" w:hAnsi="宋体"/>
                <w:sz w:val="24"/>
              </w:rPr>
              <w:t>天然气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057" w:type="dxa"/>
            <w:noWrap w:val="0"/>
            <w:vAlign w:val="center"/>
          </w:tcPr>
          <w:p>
            <w:pPr>
              <w:spacing w:line="240" w:lineRule="exact"/>
              <w:ind w:right="-7488"/>
              <w:jc w:val="left"/>
              <w:rPr>
                <w:rFonts w:ascii="Times New Roman" w:hAnsi="Times New Roman"/>
                <w:sz w:val="24"/>
                <w:szCs w:val="24"/>
              </w:rPr>
            </w:pPr>
            <w:r>
              <w:rPr>
                <w:rFonts w:ascii="Times New Roman" w:hAnsi="Times New Roman"/>
                <w:sz w:val="24"/>
                <w:szCs w:val="24"/>
              </w:rPr>
              <w:t>设计</w:t>
            </w:r>
            <w:r>
              <w:rPr>
                <w:rFonts w:hint="eastAsia" w:ascii="Times New Roman" w:hAnsi="Times New Roman"/>
                <w:sz w:val="24"/>
                <w:szCs w:val="24"/>
              </w:rPr>
              <w:t>销售</w:t>
            </w:r>
            <w:r>
              <w:rPr>
                <w:rFonts w:ascii="Times New Roman" w:hAnsi="Times New Roman"/>
                <w:sz w:val="24"/>
                <w:szCs w:val="24"/>
              </w:rPr>
              <w:t>能力</w:t>
            </w:r>
          </w:p>
        </w:tc>
        <w:tc>
          <w:tcPr>
            <w:tcW w:w="8114" w:type="dxa"/>
            <w:gridSpan w:val="7"/>
            <w:noWrap w:val="0"/>
            <w:vAlign w:val="center"/>
          </w:tcPr>
          <w:p>
            <w:pPr>
              <w:rPr>
                <w:rFonts w:hint="eastAsia" w:ascii="Times New Roman" w:hAnsi="Times New Roman"/>
                <w:sz w:val="24"/>
                <w:szCs w:val="24"/>
              </w:rPr>
            </w:pPr>
            <w:r>
              <w:rPr>
                <w:rFonts w:hAnsi="宋体"/>
                <w:sz w:val="24"/>
              </w:rPr>
              <w:t>CNG</w:t>
            </w:r>
            <w:r>
              <w:rPr>
                <w:rFonts w:hint="eastAsia" w:hAnsi="宋体"/>
                <w:sz w:val="24"/>
                <w:lang w:eastAsia="zh-CN"/>
              </w:rPr>
              <w:t>（气态）</w:t>
            </w:r>
            <w:r>
              <w:rPr>
                <w:rFonts w:hAnsi="宋体"/>
                <w:sz w:val="24"/>
              </w:rPr>
              <w:t>加气能力：</w:t>
            </w:r>
            <w:r>
              <w:rPr>
                <w:rFonts w:hint="eastAsia" w:hAnsi="宋体"/>
                <w:sz w:val="24"/>
              </w:rPr>
              <w:t>15</w:t>
            </w:r>
            <w:r>
              <w:rPr>
                <w:rFonts w:hAnsi="宋体"/>
                <w:sz w:val="24"/>
              </w:rPr>
              <w:t>000Nm</w:t>
            </w:r>
            <w:r>
              <w:rPr>
                <w:rFonts w:hAnsi="宋体"/>
                <w:sz w:val="24"/>
                <w:vertAlign w:val="superscript"/>
              </w:rPr>
              <w:t>3</w:t>
            </w:r>
            <w:r>
              <w:rPr>
                <w:rFonts w:hAnsi="宋体"/>
                <w:sz w:val="24"/>
              </w:rPr>
              <w:t>/d</w:t>
            </w:r>
            <w:r>
              <w:rPr>
                <w:rFonts w:hint="eastAsia" w:hAnsi="宋体"/>
                <w:sz w:val="24"/>
              </w:rPr>
              <w:t>，</w:t>
            </w:r>
            <w:r>
              <w:rPr>
                <w:rFonts w:hAnsi="宋体"/>
                <w:sz w:val="24"/>
              </w:rPr>
              <w:t>LNG</w:t>
            </w:r>
            <w:r>
              <w:rPr>
                <w:rFonts w:hint="eastAsia" w:hAnsi="宋体"/>
                <w:sz w:val="24"/>
                <w:lang w:val="en-US" w:eastAsia="zh-CN"/>
              </w:rPr>
              <w:t>（液态）</w:t>
            </w:r>
            <w:r>
              <w:rPr>
                <w:rFonts w:hAnsi="宋体"/>
                <w:sz w:val="24"/>
              </w:rPr>
              <w:t>加气站加气规模：1</w:t>
            </w:r>
            <w:r>
              <w:rPr>
                <w:rFonts w:hint="eastAsia" w:hAnsi="宋体"/>
                <w:sz w:val="24"/>
              </w:rPr>
              <w:t>2</w:t>
            </w:r>
            <w:r>
              <w:rPr>
                <w:rFonts w:hAnsi="宋体"/>
                <w:sz w:val="24"/>
              </w:rPr>
              <w:t>000Nm</w:t>
            </w:r>
            <w:r>
              <w:rPr>
                <w:rFonts w:hAnsi="宋体"/>
                <w:sz w:val="24"/>
                <w:vertAlign w:val="superscript"/>
              </w:rPr>
              <w:t>3</w:t>
            </w:r>
            <w:r>
              <w:rPr>
                <w:rFonts w:hAnsi="宋体"/>
                <w:sz w:val="24"/>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实际</w:t>
            </w:r>
            <w:r>
              <w:rPr>
                <w:rFonts w:hint="eastAsia" w:ascii="Times New Roman" w:hAnsi="Times New Roman"/>
                <w:sz w:val="24"/>
                <w:szCs w:val="24"/>
              </w:rPr>
              <w:t>销售</w:t>
            </w:r>
            <w:r>
              <w:rPr>
                <w:rFonts w:ascii="Times New Roman" w:hAnsi="Times New Roman"/>
                <w:sz w:val="24"/>
                <w:szCs w:val="24"/>
              </w:rPr>
              <w:t>能力</w:t>
            </w:r>
          </w:p>
        </w:tc>
        <w:tc>
          <w:tcPr>
            <w:tcW w:w="8114" w:type="dxa"/>
            <w:gridSpan w:val="7"/>
            <w:noWrap w:val="0"/>
            <w:vAlign w:val="center"/>
          </w:tcPr>
          <w:p>
            <w:pPr>
              <w:rPr>
                <w:rFonts w:hint="eastAsia" w:ascii="Times New Roman" w:hAnsi="Times New Roman"/>
                <w:color w:val="000000"/>
                <w:sz w:val="24"/>
                <w:szCs w:val="24"/>
              </w:rPr>
            </w:pPr>
            <w:r>
              <w:rPr>
                <w:rFonts w:hAnsi="宋体"/>
                <w:sz w:val="24"/>
              </w:rPr>
              <w:t>CNG</w:t>
            </w:r>
            <w:r>
              <w:rPr>
                <w:rFonts w:hint="eastAsia" w:hAnsi="宋体"/>
                <w:sz w:val="24"/>
                <w:lang w:eastAsia="zh-CN"/>
              </w:rPr>
              <w:t>（气态）</w:t>
            </w:r>
            <w:r>
              <w:rPr>
                <w:rFonts w:hAnsi="宋体"/>
                <w:sz w:val="24"/>
              </w:rPr>
              <w:t>加气能力：</w:t>
            </w:r>
            <w:r>
              <w:rPr>
                <w:rFonts w:hint="eastAsia" w:hAnsi="宋体"/>
                <w:sz w:val="24"/>
              </w:rPr>
              <w:t>15</w:t>
            </w:r>
            <w:r>
              <w:rPr>
                <w:rFonts w:hAnsi="宋体"/>
                <w:sz w:val="24"/>
              </w:rPr>
              <w:t>000Nm</w:t>
            </w:r>
            <w:r>
              <w:rPr>
                <w:rFonts w:hAnsi="宋体"/>
                <w:sz w:val="24"/>
                <w:vertAlign w:val="superscript"/>
              </w:rPr>
              <w:t>3</w:t>
            </w:r>
            <w:r>
              <w:rPr>
                <w:rFonts w:hAnsi="宋体"/>
                <w:sz w:val="24"/>
              </w:rPr>
              <w:t>/d</w:t>
            </w:r>
            <w:r>
              <w:rPr>
                <w:rFonts w:hint="eastAsia" w:hAnsi="宋体"/>
                <w:sz w:val="24"/>
              </w:rPr>
              <w:t>，</w:t>
            </w:r>
            <w:r>
              <w:rPr>
                <w:rFonts w:hAnsi="宋体"/>
                <w:sz w:val="24"/>
              </w:rPr>
              <w:t>LN</w:t>
            </w:r>
            <w:r>
              <w:rPr>
                <w:rFonts w:hint="eastAsia" w:hAnsi="宋体"/>
                <w:sz w:val="24"/>
                <w:lang w:eastAsia="zh-CN"/>
              </w:rPr>
              <w:t>（气态）</w:t>
            </w:r>
            <w:r>
              <w:rPr>
                <w:rFonts w:hAnsi="宋体"/>
                <w:sz w:val="24"/>
              </w:rPr>
              <w:t>G加气站加气规模：1</w:t>
            </w:r>
            <w:r>
              <w:rPr>
                <w:rFonts w:hint="eastAsia" w:hAnsi="宋体"/>
                <w:sz w:val="24"/>
              </w:rPr>
              <w:t>2</w:t>
            </w:r>
            <w:r>
              <w:rPr>
                <w:rFonts w:hAnsi="宋体"/>
                <w:sz w:val="24"/>
              </w:rPr>
              <w:t>000Nm</w:t>
            </w:r>
            <w:r>
              <w:rPr>
                <w:rFonts w:hAnsi="宋体"/>
                <w:sz w:val="24"/>
                <w:vertAlign w:val="superscript"/>
              </w:rPr>
              <w:t>3</w:t>
            </w:r>
            <w:r>
              <w:rPr>
                <w:rFonts w:hAnsi="宋体"/>
                <w:sz w:val="24"/>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hint="eastAsia" w:ascii="Times New Roman" w:hAnsi="Times New Roman"/>
                <w:sz w:val="24"/>
                <w:szCs w:val="24"/>
              </w:rPr>
              <w:t>建设项目</w:t>
            </w:r>
            <w:r>
              <w:rPr>
                <w:rFonts w:ascii="Times New Roman" w:hAnsi="Times New Roman"/>
                <w:sz w:val="24"/>
                <w:szCs w:val="24"/>
              </w:rPr>
              <w:t>环评时间</w:t>
            </w:r>
          </w:p>
        </w:tc>
        <w:tc>
          <w:tcPr>
            <w:tcW w:w="2912" w:type="dxa"/>
            <w:gridSpan w:val="2"/>
            <w:noWrap w:val="0"/>
            <w:vAlign w:val="center"/>
          </w:tcPr>
          <w:p>
            <w:pPr>
              <w:spacing w:line="240" w:lineRule="exact"/>
              <w:jc w:val="center"/>
              <w:rPr>
                <w:rFonts w:hint="eastAsia" w:ascii="Times New Roman" w:hAnsi="Times New Roman"/>
                <w:sz w:val="24"/>
                <w:szCs w:val="24"/>
              </w:rPr>
            </w:pPr>
            <w:r>
              <w:rPr>
                <w:rFonts w:hint="eastAsia" w:ascii="宋体" w:hAnsi="宋体"/>
                <w:sz w:val="24"/>
                <w:szCs w:val="24"/>
              </w:rPr>
              <w:t>20</w:t>
            </w:r>
            <w:r>
              <w:rPr>
                <w:rFonts w:hint="eastAsia" w:ascii="宋体" w:hAnsi="宋体"/>
                <w:sz w:val="24"/>
                <w:szCs w:val="24"/>
                <w:lang w:val="en-US" w:eastAsia="zh-CN"/>
              </w:rPr>
              <w:t>14</w:t>
            </w:r>
            <w:r>
              <w:rPr>
                <w:rFonts w:hint="eastAsia" w:ascii="宋体" w:hAnsi="宋体"/>
                <w:sz w:val="24"/>
                <w:szCs w:val="24"/>
              </w:rPr>
              <w:t>年</w:t>
            </w:r>
            <w:r>
              <w:rPr>
                <w:rFonts w:hint="eastAsia" w:ascii="宋体" w:hAnsi="宋体"/>
                <w:sz w:val="24"/>
                <w:szCs w:val="24"/>
                <w:lang w:val="en-US" w:eastAsia="zh-CN"/>
              </w:rPr>
              <w:t>6</w:t>
            </w:r>
            <w:r>
              <w:rPr>
                <w:rFonts w:hint="eastAsia" w:ascii="宋体" w:hAnsi="宋体"/>
                <w:sz w:val="24"/>
                <w:szCs w:val="24"/>
              </w:rPr>
              <w:t>月</w:t>
            </w:r>
          </w:p>
        </w:tc>
        <w:tc>
          <w:tcPr>
            <w:tcW w:w="2045" w:type="dxa"/>
            <w:gridSpan w:val="2"/>
            <w:noWrap w:val="0"/>
            <w:vAlign w:val="center"/>
          </w:tcPr>
          <w:p>
            <w:pPr>
              <w:spacing w:line="240" w:lineRule="exact"/>
              <w:ind w:right="-2628" w:firstLine="480" w:firstLineChars="200"/>
              <w:rPr>
                <w:rFonts w:ascii="Times New Roman" w:hAnsi="Times New Roman"/>
                <w:sz w:val="24"/>
                <w:szCs w:val="24"/>
              </w:rPr>
            </w:pPr>
            <w:r>
              <w:rPr>
                <w:rFonts w:ascii="Times New Roman" w:hAnsi="Times New Roman"/>
                <w:sz w:val="24"/>
                <w:szCs w:val="24"/>
              </w:rPr>
              <w:t>开工</w:t>
            </w:r>
            <w:r>
              <w:rPr>
                <w:rFonts w:hint="eastAsia" w:ascii="Times New Roman" w:hAnsi="Times New Roman"/>
                <w:sz w:val="24"/>
                <w:szCs w:val="24"/>
              </w:rPr>
              <w:t>建设时间</w:t>
            </w:r>
          </w:p>
        </w:tc>
        <w:tc>
          <w:tcPr>
            <w:tcW w:w="3157" w:type="dxa"/>
            <w:gridSpan w:val="3"/>
            <w:noWrap w:val="0"/>
            <w:vAlign w:val="center"/>
          </w:tcPr>
          <w:p>
            <w:pPr>
              <w:spacing w:line="240" w:lineRule="exact"/>
              <w:ind w:right="641"/>
              <w:jc w:val="center"/>
              <w:rPr>
                <w:rFonts w:hint="eastAsia" w:ascii="Times New Roman" w:hAnsi="Times New Roman"/>
                <w:color w:val="000000"/>
                <w:sz w:val="24"/>
                <w:szCs w:val="24"/>
              </w:rPr>
            </w:pPr>
            <w:r>
              <w:rPr>
                <w:rFonts w:hint="eastAsia" w:ascii="宋体" w:hAnsi="宋体"/>
                <w:sz w:val="24"/>
                <w:szCs w:val="24"/>
              </w:rPr>
              <w:t>201</w:t>
            </w:r>
            <w:r>
              <w:rPr>
                <w:rFonts w:hint="eastAsia" w:ascii="宋体" w:hAnsi="宋体"/>
                <w:sz w:val="24"/>
                <w:szCs w:val="24"/>
                <w:lang w:val="en-US" w:eastAsia="zh-CN"/>
              </w:rPr>
              <w:t>4</w:t>
            </w:r>
            <w:r>
              <w:rPr>
                <w:rFonts w:hint="eastAsia" w:ascii="宋体" w:hAnsi="宋体"/>
                <w:sz w:val="24"/>
                <w:szCs w:val="24"/>
              </w:rPr>
              <w:t>年</w:t>
            </w:r>
            <w:r>
              <w:rPr>
                <w:rFonts w:hint="eastAsia" w:ascii="宋体" w:hAnsi="宋体"/>
                <w:sz w:val="24"/>
                <w:szCs w:val="24"/>
                <w:lang w:val="en-US" w:eastAsia="zh-CN"/>
              </w:rPr>
              <w:t>6</w:t>
            </w:r>
            <w:r>
              <w:rPr>
                <w:rFonts w:hint="eastAsia" w:ascii="宋体" w:hAnsi="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hint="eastAsia" w:ascii="Times New Roman" w:hAnsi="Times New Roman"/>
                <w:sz w:val="24"/>
                <w:szCs w:val="24"/>
              </w:rPr>
            </w:pPr>
            <w:r>
              <w:rPr>
                <w:rFonts w:hint="eastAsia" w:ascii="Times New Roman" w:hAnsi="Times New Roman"/>
                <w:sz w:val="24"/>
                <w:szCs w:val="24"/>
              </w:rPr>
              <w:t>试生产时间</w:t>
            </w:r>
          </w:p>
        </w:tc>
        <w:tc>
          <w:tcPr>
            <w:tcW w:w="2912" w:type="dxa"/>
            <w:gridSpan w:val="2"/>
            <w:noWrap w:val="0"/>
            <w:vAlign w:val="center"/>
          </w:tcPr>
          <w:p>
            <w:pPr>
              <w:spacing w:line="240" w:lineRule="exact"/>
              <w:jc w:val="center"/>
              <w:rPr>
                <w:rFonts w:hint="eastAsia" w:ascii="Times New Roman" w:hAnsi="Times New Roman"/>
                <w:color w:val="000000"/>
                <w:sz w:val="24"/>
                <w:szCs w:val="24"/>
              </w:rPr>
            </w:pPr>
            <w:r>
              <w:rPr>
                <w:rFonts w:hint="eastAsia" w:ascii="宋体" w:hAnsi="宋体"/>
                <w:sz w:val="24"/>
                <w:szCs w:val="24"/>
              </w:rPr>
              <w:t>201</w:t>
            </w:r>
            <w:r>
              <w:rPr>
                <w:rFonts w:hint="eastAsia" w:ascii="宋体" w:hAnsi="宋体"/>
                <w:sz w:val="24"/>
                <w:szCs w:val="24"/>
                <w:lang w:val="en-US" w:eastAsia="zh-CN"/>
              </w:rPr>
              <w:t>5</w:t>
            </w:r>
            <w:r>
              <w:rPr>
                <w:rFonts w:hint="eastAsia" w:ascii="宋体" w:hAnsi="宋体"/>
                <w:sz w:val="24"/>
                <w:szCs w:val="24"/>
              </w:rPr>
              <w:t>年</w:t>
            </w:r>
            <w:r>
              <w:rPr>
                <w:rFonts w:hint="eastAsia" w:ascii="宋体" w:hAnsi="宋体"/>
                <w:sz w:val="24"/>
                <w:szCs w:val="24"/>
                <w:lang w:val="en-US" w:eastAsia="zh-CN"/>
              </w:rPr>
              <w:t>2</w:t>
            </w:r>
            <w:r>
              <w:rPr>
                <w:rFonts w:hint="eastAsia" w:ascii="宋体" w:hAnsi="宋体"/>
                <w:sz w:val="24"/>
                <w:szCs w:val="24"/>
              </w:rPr>
              <w:t>月</w:t>
            </w:r>
          </w:p>
        </w:tc>
        <w:tc>
          <w:tcPr>
            <w:tcW w:w="2045" w:type="dxa"/>
            <w:gridSpan w:val="2"/>
            <w:noWrap w:val="0"/>
            <w:vAlign w:val="center"/>
          </w:tcPr>
          <w:p>
            <w:pPr>
              <w:spacing w:line="240" w:lineRule="exact"/>
              <w:ind w:right="-2628"/>
              <w:rPr>
                <w:rFonts w:hint="eastAsia" w:ascii="Times New Roman" w:hAnsi="Times New Roman"/>
                <w:sz w:val="24"/>
                <w:szCs w:val="24"/>
              </w:rPr>
            </w:pPr>
            <w:r>
              <w:rPr>
                <w:rFonts w:hint="eastAsia" w:ascii="Times New Roman" w:hAnsi="Times New Roman"/>
                <w:sz w:val="24"/>
                <w:szCs w:val="24"/>
              </w:rPr>
              <w:t xml:space="preserve">验收现场监测时间   </w:t>
            </w:r>
          </w:p>
        </w:tc>
        <w:tc>
          <w:tcPr>
            <w:tcW w:w="3157" w:type="dxa"/>
            <w:gridSpan w:val="3"/>
            <w:noWrap w:val="0"/>
            <w:vAlign w:val="center"/>
          </w:tcPr>
          <w:p>
            <w:pPr>
              <w:spacing w:line="240" w:lineRule="exact"/>
              <w:ind w:right="641"/>
              <w:jc w:val="center"/>
              <w:rPr>
                <w:rFonts w:hint="eastAsia" w:ascii="Times New Roman" w:hAnsi="Times New Roman"/>
                <w:color w:val="000000"/>
                <w:sz w:val="24"/>
                <w:szCs w:val="24"/>
              </w:rPr>
            </w:pPr>
            <w:r>
              <w:rPr>
                <w:rFonts w:hint="eastAsia" w:ascii="Times New Roman" w:hAnsi="Times New Roman"/>
                <w:color w:val="000000"/>
                <w:sz w:val="24"/>
                <w:szCs w:val="24"/>
              </w:rPr>
              <w:t>20</w:t>
            </w:r>
            <w:r>
              <w:rPr>
                <w:rFonts w:hint="eastAsia" w:ascii="Times New Roman" w:hAnsi="Times New Roman"/>
                <w:color w:val="000000"/>
                <w:sz w:val="24"/>
                <w:szCs w:val="24"/>
                <w:lang w:val="en-US" w:eastAsia="zh-CN"/>
              </w:rPr>
              <w:t>20</w:t>
            </w:r>
            <w:r>
              <w:rPr>
                <w:rFonts w:hint="eastAsia" w:ascii="Times New Roman" w:hAnsi="Times New Roman"/>
                <w:color w:val="000000"/>
                <w:sz w:val="24"/>
                <w:szCs w:val="24"/>
              </w:rPr>
              <w:t>年</w:t>
            </w:r>
            <w:r>
              <w:rPr>
                <w:rFonts w:hint="eastAsia" w:ascii="Times New Roman" w:hAnsi="Times New Roman"/>
                <w:color w:val="000000"/>
                <w:sz w:val="24"/>
                <w:szCs w:val="24"/>
                <w:lang w:val="en-US" w:eastAsia="zh-CN"/>
              </w:rPr>
              <w:t>7</w:t>
            </w:r>
            <w:r>
              <w:rPr>
                <w:rFonts w:hint="eastAsia" w:ascii="Times New Roman" w:hAnsi="Times New Roman"/>
                <w:color w:val="000000"/>
                <w:sz w:val="24"/>
                <w:szCs w:val="24"/>
              </w:rPr>
              <w:t>月</w:t>
            </w:r>
            <w:r>
              <w:rPr>
                <w:rFonts w:hint="eastAsia" w:ascii="Times New Roman" w:hAnsi="Times New Roman"/>
                <w:color w:val="000000"/>
                <w:sz w:val="24"/>
                <w:szCs w:val="24"/>
                <w:lang w:val="en-US" w:eastAsia="zh-CN"/>
              </w:rPr>
              <w:t>13</w:t>
            </w:r>
            <w:r>
              <w:rPr>
                <w:rFonts w:hint="eastAsia" w:ascii="Times New Roman" w:hAnsi="Times New Roman"/>
                <w:color w:val="000000"/>
                <w:sz w:val="24"/>
                <w:szCs w:val="24"/>
              </w:rPr>
              <w:t>-</w:t>
            </w:r>
            <w:r>
              <w:rPr>
                <w:rFonts w:hint="eastAsia" w:ascii="Times New Roman" w:hAnsi="Times New Roman"/>
                <w:color w:val="000000"/>
                <w:sz w:val="24"/>
                <w:szCs w:val="24"/>
                <w:lang w:val="en-US" w:eastAsia="zh-CN"/>
              </w:rPr>
              <w:t>14</w:t>
            </w:r>
            <w:r>
              <w:rPr>
                <w:rFonts w:hint="eastAsia" w:ascii="Times New Roman" w:hAnsi="Times New Roman"/>
                <w:color w:val="000000"/>
                <w:sz w:val="24"/>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环评报告表审批部门</w:t>
            </w:r>
          </w:p>
        </w:tc>
        <w:tc>
          <w:tcPr>
            <w:tcW w:w="2912" w:type="dxa"/>
            <w:gridSpan w:val="2"/>
            <w:noWrap w:val="0"/>
            <w:vAlign w:val="center"/>
          </w:tcPr>
          <w:p>
            <w:pPr>
              <w:spacing w:line="240" w:lineRule="exact"/>
              <w:ind w:right="-192"/>
              <w:rPr>
                <w:rFonts w:hint="eastAsia" w:ascii="Times New Roman" w:hAnsi="Times New Roman" w:eastAsiaTheme="minorEastAsia"/>
                <w:sz w:val="24"/>
                <w:szCs w:val="24"/>
                <w:lang w:eastAsia="zh-CN"/>
              </w:rPr>
            </w:pPr>
            <w:r>
              <w:rPr>
                <w:rFonts w:hint="eastAsia" w:ascii="宋体" w:hAnsi="宋体"/>
                <w:sz w:val="24"/>
                <w:szCs w:val="24"/>
                <w:lang w:eastAsia="zh-CN"/>
              </w:rPr>
              <w:t>吉安市生态环境</w:t>
            </w:r>
            <w:r>
              <w:rPr>
                <w:rFonts w:hint="eastAsia" w:ascii="宋体" w:hAnsi="宋体"/>
                <w:sz w:val="24"/>
                <w:szCs w:val="24"/>
              </w:rPr>
              <w:t>局</w:t>
            </w:r>
            <w:r>
              <w:rPr>
                <w:rFonts w:hint="eastAsia" w:ascii="宋体" w:hAnsi="宋体"/>
                <w:sz w:val="24"/>
                <w:szCs w:val="24"/>
                <w:lang w:eastAsia="zh-CN"/>
              </w:rPr>
              <w:t>（原吉安市环境保护局）</w:t>
            </w:r>
          </w:p>
        </w:tc>
        <w:tc>
          <w:tcPr>
            <w:tcW w:w="2045" w:type="dxa"/>
            <w:gridSpan w:val="2"/>
            <w:noWrap w:val="0"/>
            <w:vAlign w:val="center"/>
          </w:tcPr>
          <w:p>
            <w:pPr>
              <w:spacing w:line="240" w:lineRule="exact"/>
              <w:ind w:right="-2628"/>
              <w:rPr>
                <w:rFonts w:ascii="Times New Roman" w:hAnsi="Times New Roman"/>
                <w:sz w:val="24"/>
                <w:szCs w:val="24"/>
              </w:rPr>
            </w:pPr>
            <w:r>
              <w:rPr>
                <w:rFonts w:ascii="Times New Roman" w:hAnsi="Times New Roman"/>
                <w:sz w:val="24"/>
                <w:szCs w:val="24"/>
              </w:rPr>
              <w:t>环评报告表编制</w:t>
            </w:r>
          </w:p>
        </w:tc>
        <w:tc>
          <w:tcPr>
            <w:tcW w:w="3157" w:type="dxa"/>
            <w:gridSpan w:val="3"/>
            <w:noWrap w:val="0"/>
            <w:vAlign w:val="center"/>
          </w:tcPr>
          <w:p>
            <w:pPr>
              <w:spacing w:line="220" w:lineRule="exact"/>
              <w:rPr>
                <w:rFonts w:hint="eastAsia" w:ascii="Times New Roman" w:hAnsi="Times New Roman" w:eastAsiaTheme="minorEastAsia"/>
                <w:sz w:val="24"/>
                <w:szCs w:val="24"/>
                <w:lang w:eastAsia="zh-CN"/>
              </w:rPr>
            </w:pPr>
            <w:r>
              <w:rPr>
                <w:rFonts w:hint="eastAsia"/>
                <w:sz w:val="24"/>
                <w:szCs w:val="24"/>
                <w:lang w:eastAsia="zh-CN"/>
              </w:rPr>
              <w:t>吉安市科达环保技术有限公司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环保设施设计单位</w:t>
            </w:r>
          </w:p>
        </w:tc>
        <w:tc>
          <w:tcPr>
            <w:tcW w:w="2912" w:type="dxa"/>
            <w:gridSpan w:val="2"/>
            <w:noWrap w:val="0"/>
            <w:vAlign w:val="center"/>
          </w:tcPr>
          <w:p>
            <w:pPr>
              <w:pStyle w:val="45"/>
              <w:spacing w:line="240" w:lineRule="exact"/>
              <w:jc w:val="center"/>
              <w:rPr>
                <w:rFonts w:hint="eastAsia" w:ascii="Times New Roman" w:hAnsi="Times New Roman"/>
                <w:sz w:val="24"/>
                <w:szCs w:val="24"/>
              </w:rPr>
            </w:pPr>
            <w:r>
              <w:rPr>
                <w:rFonts w:hint="eastAsia" w:ascii="宋体" w:hAnsi="宋体" w:eastAsia="宋体" w:cs="宋体"/>
                <w:b w:val="0"/>
                <w:bCs w:val="0"/>
                <w:sz w:val="24"/>
                <w:szCs w:val="24"/>
              </w:rPr>
              <w:t>华润</w:t>
            </w:r>
            <w:r>
              <w:rPr>
                <w:rFonts w:hint="eastAsia" w:ascii="宋体" w:hAnsi="宋体" w:eastAsia="宋体" w:cs="宋体"/>
                <w:b w:val="0"/>
                <w:bCs w:val="0"/>
                <w:sz w:val="24"/>
                <w:szCs w:val="24"/>
                <w:lang w:eastAsia="zh-CN"/>
              </w:rPr>
              <w:t>（南京）市政设计</w:t>
            </w:r>
            <w:r>
              <w:rPr>
                <w:rFonts w:hint="eastAsia" w:ascii="宋体" w:hAnsi="宋体" w:eastAsia="宋体" w:cs="宋体"/>
                <w:b w:val="0"/>
                <w:bCs w:val="0"/>
                <w:sz w:val="24"/>
                <w:szCs w:val="24"/>
              </w:rPr>
              <w:t>有限公司</w:t>
            </w:r>
          </w:p>
        </w:tc>
        <w:tc>
          <w:tcPr>
            <w:tcW w:w="2045" w:type="dxa"/>
            <w:gridSpan w:val="2"/>
            <w:noWrap w:val="0"/>
            <w:vAlign w:val="center"/>
          </w:tcPr>
          <w:p>
            <w:pPr>
              <w:spacing w:line="240" w:lineRule="exact"/>
              <w:ind w:right="-2628"/>
              <w:rPr>
                <w:rFonts w:ascii="Times New Roman" w:hAnsi="Times New Roman"/>
                <w:sz w:val="24"/>
                <w:szCs w:val="24"/>
              </w:rPr>
            </w:pPr>
            <w:r>
              <w:rPr>
                <w:rFonts w:ascii="Times New Roman" w:hAnsi="Times New Roman"/>
                <w:sz w:val="24"/>
                <w:szCs w:val="24"/>
              </w:rPr>
              <w:t>环保设施施工单位</w:t>
            </w:r>
          </w:p>
        </w:tc>
        <w:tc>
          <w:tcPr>
            <w:tcW w:w="3157" w:type="dxa"/>
            <w:gridSpan w:val="3"/>
            <w:noWrap w:val="0"/>
            <w:vAlign w:val="center"/>
          </w:tcPr>
          <w:p>
            <w:pPr>
              <w:pStyle w:val="45"/>
              <w:spacing w:line="240" w:lineRule="exact"/>
              <w:jc w:val="center"/>
              <w:rPr>
                <w:rFonts w:hint="eastAsia" w:ascii="Times New Roman" w:hAnsi="Times New Roman"/>
                <w:sz w:val="24"/>
                <w:szCs w:val="24"/>
              </w:rPr>
            </w:pPr>
            <w:r>
              <w:rPr>
                <w:rFonts w:hint="eastAsia" w:ascii="宋体" w:hAnsi="宋体" w:eastAsia="宋体" w:cs="宋体"/>
                <w:b w:val="0"/>
                <w:bCs w:val="0"/>
                <w:sz w:val="24"/>
                <w:szCs w:val="24"/>
              </w:rPr>
              <w:t>华润</w:t>
            </w:r>
            <w:r>
              <w:rPr>
                <w:rFonts w:hint="eastAsia" w:ascii="宋体" w:hAnsi="宋体" w:eastAsia="宋体" w:cs="宋体"/>
                <w:b w:val="0"/>
                <w:bCs w:val="0"/>
                <w:sz w:val="24"/>
                <w:szCs w:val="24"/>
                <w:lang w:eastAsia="zh-CN"/>
              </w:rPr>
              <w:t>（南京）市政设计</w:t>
            </w:r>
            <w:r>
              <w:rPr>
                <w:rFonts w:hint="eastAsia" w:ascii="宋体" w:hAnsi="宋体" w:eastAsia="宋体" w:cs="宋体"/>
                <w:b w:val="0"/>
                <w:bCs w:val="0"/>
                <w:sz w:val="24"/>
                <w:szCs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488"/>
              <w:rPr>
                <w:rFonts w:ascii="Times New Roman" w:hAnsi="Times New Roman"/>
                <w:sz w:val="24"/>
                <w:szCs w:val="24"/>
              </w:rPr>
            </w:pPr>
            <w:r>
              <w:rPr>
                <w:rFonts w:ascii="Times New Roman" w:hAnsi="Times New Roman"/>
                <w:sz w:val="24"/>
                <w:szCs w:val="24"/>
              </w:rPr>
              <w:t>投资总概算</w:t>
            </w:r>
          </w:p>
        </w:tc>
        <w:tc>
          <w:tcPr>
            <w:tcW w:w="1755" w:type="dxa"/>
            <w:noWrap w:val="0"/>
            <w:vAlign w:val="center"/>
          </w:tcPr>
          <w:p>
            <w:pPr>
              <w:spacing w:line="240" w:lineRule="exact"/>
              <w:ind w:right="-5713"/>
              <w:jc w:val="left"/>
              <w:rPr>
                <w:rFonts w:hint="eastAsia" w:ascii="Times New Roman" w:hAnsi="Times New Roman"/>
                <w:sz w:val="24"/>
                <w:szCs w:val="24"/>
              </w:rPr>
            </w:pPr>
            <w:r>
              <w:rPr>
                <w:rFonts w:hint="eastAsia" w:ascii="Times New Roman" w:hAnsi="Times New Roman"/>
                <w:sz w:val="24"/>
                <w:szCs w:val="24"/>
                <w:lang w:val="en-US" w:eastAsia="zh-CN"/>
              </w:rPr>
              <w:t>1135</w:t>
            </w:r>
            <w:r>
              <w:rPr>
                <w:rFonts w:hint="eastAsia" w:ascii="Times New Roman" w:hAnsi="Times New Roman"/>
                <w:sz w:val="24"/>
                <w:szCs w:val="24"/>
              </w:rPr>
              <w:t>万元</w:t>
            </w:r>
          </w:p>
        </w:tc>
        <w:tc>
          <w:tcPr>
            <w:tcW w:w="1652" w:type="dxa"/>
            <w:gridSpan w:val="2"/>
            <w:noWrap w:val="0"/>
            <w:vAlign w:val="center"/>
          </w:tcPr>
          <w:p>
            <w:pPr>
              <w:tabs>
                <w:tab w:val="left" w:pos="1592"/>
              </w:tabs>
              <w:spacing w:line="240" w:lineRule="exact"/>
              <w:ind w:right="-3905"/>
              <w:rPr>
                <w:rFonts w:ascii="Times New Roman" w:hAnsi="Times New Roman"/>
                <w:sz w:val="24"/>
                <w:szCs w:val="24"/>
              </w:rPr>
            </w:pPr>
            <w:r>
              <w:rPr>
                <w:rFonts w:ascii="Times New Roman" w:hAnsi="Times New Roman"/>
                <w:sz w:val="24"/>
                <w:szCs w:val="24"/>
              </w:rPr>
              <w:t>环保总概算</w:t>
            </w:r>
          </w:p>
        </w:tc>
        <w:tc>
          <w:tcPr>
            <w:tcW w:w="1771" w:type="dxa"/>
            <w:gridSpan w:val="2"/>
            <w:noWrap w:val="0"/>
            <w:vAlign w:val="center"/>
          </w:tcPr>
          <w:p>
            <w:pPr>
              <w:spacing w:line="240" w:lineRule="exact"/>
              <w:ind w:right="-5713"/>
              <w:rPr>
                <w:rFonts w:hint="eastAsia" w:ascii="Times New Roman" w:hAnsi="Times New Roman"/>
                <w:sz w:val="24"/>
                <w:szCs w:val="24"/>
              </w:rPr>
            </w:pPr>
            <w:r>
              <w:rPr>
                <w:rFonts w:hint="eastAsia" w:ascii="Times New Roman" w:hAnsi="Times New Roman"/>
                <w:sz w:val="24"/>
                <w:szCs w:val="24"/>
                <w:lang w:val="en-US" w:eastAsia="zh-CN"/>
              </w:rPr>
              <w:t>50</w:t>
            </w:r>
            <w:r>
              <w:rPr>
                <w:rFonts w:hint="eastAsia" w:ascii="Times New Roman" w:hAnsi="Times New Roman"/>
                <w:sz w:val="24"/>
                <w:szCs w:val="24"/>
              </w:rPr>
              <w:t>万元</w:t>
            </w:r>
          </w:p>
        </w:tc>
        <w:tc>
          <w:tcPr>
            <w:tcW w:w="913" w:type="dxa"/>
            <w:noWrap w:val="0"/>
            <w:vAlign w:val="center"/>
          </w:tcPr>
          <w:p>
            <w:pPr>
              <w:tabs>
                <w:tab w:val="left" w:pos="872"/>
              </w:tabs>
              <w:spacing w:line="240" w:lineRule="exact"/>
              <w:ind w:right="-1025" w:firstLine="120" w:firstLineChars="50"/>
              <w:rPr>
                <w:rFonts w:ascii="Times New Roman" w:hAnsi="Times New Roman"/>
                <w:sz w:val="24"/>
                <w:szCs w:val="24"/>
              </w:rPr>
            </w:pPr>
            <w:r>
              <w:rPr>
                <w:rFonts w:ascii="Times New Roman" w:hAnsi="Times New Roman"/>
                <w:sz w:val="24"/>
                <w:szCs w:val="24"/>
              </w:rPr>
              <w:t>比例</w:t>
            </w:r>
          </w:p>
        </w:tc>
        <w:tc>
          <w:tcPr>
            <w:tcW w:w="2023" w:type="dxa"/>
            <w:noWrap w:val="0"/>
            <w:vAlign w:val="center"/>
          </w:tcPr>
          <w:p>
            <w:pPr>
              <w:spacing w:line="240" w:lineRule="exact"/>
              <w:ind w:right="-108"/>
              <w:jc w:val="center"/>
              <w:rPr>
                <w:rFonts w:hint="eastAsia" w:ascii="Times New Roman" w:hAnsi="Times New Roman"/>
                <w:sz w:val="24"/>
                <w:szCs w:val="24"/>
              </w:rPr>
            </w:pPr>
            <w:r>
              <w:rPr>
                <w:rFonts w:hint="eastAsia" w:ascii="Times New Roman" w:hAnsi="Times New Roman"/>
                <w:sz w:val="24"/>
                <w:szCs w:val="24"/>
                <w:lang w:val="en-US" w:eastAsia="zh-CN"/>
              </w:rPr>
              <w:t>0.10</w:t>
            </w:r>
            <w:r>
              <w:rPr>
                <w:rFonts w:hint="eastAsia" w:ascii="Times New Roman" w:hAnsi="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641"/>
              <w:rPr>
                <w:rFonts w:ascii="Times New Roman" w:hAnsi="Times New Roman"/>
                <w:color w:val="000000"/>
                <w:sz w:val="24"/>
                <w:szCs w:val="24"/>
              </w:rPr>
            </w:pPr>
            <w:r>
              <w:rPr>
                <w:rFonts w:ascii="Times New Roman" w:hAnsi="Times New Roman"/>
                <w:color w:val="000000"/>
                <w:sz w:val="24"/>
                <w:szCs w:val="24"/>
              </w:rPr>
              <w:t>实际总投资</w:t>
            </w:r>
          </w:p>
        </w:tc>
        <w:tc>
          <w:tcPr>
            <w:tcW w:w="1755" w:type="dxa"/>
            <w:noWrap w:val="0"/>
            <w:vAlign w:val="center"/>
          </w:tcPr>
          <w:p>
            <w:pPr>
              <w:spacing w:line="240" w:lineRule="exact"/>
              <w:ind w:right="-5713"/>
              <w:jc w:val="left"/>
              <w:rPr>
                <w:rFonts w:hint="eastAsia" w:ascii="Times New Roman" w:hAnsi="Times New Roman"/>
                <w:color w:val="000000"/>
                <w:sz w:val="24"/>
                <w:szCs w:val="24"/>
              </w:rPr>
            </w:pPr>
            <w:r>
              <w:rPr>
                <w:rFonts w:hint="eastAsia" w:ascii="Times New Roman" w:hAnsi="Times New Roman"/>
                <w:color w:val="000000"/>
                <w:sz w:val="24"/>
                <w:szCs w:val="24"/>
                <w:lang w:val="en-US" w:eastAsia="zh-CN"/>
              </w:rPr>
              <w:t>1135</w:t>
            </w:r>
            <w:r>
              <w:rPr>
                <w:rFonts w:hint="eastAsia" w:ascii="Times New Roman" w:hAnsi="Times New Roman"/>
                <w:color w:val="000000"/>
                <w:sz w:val="24"/>
                <w:szCs w:val="24"/>
              </w:rPr>
              <w:t>万元</w:t>
            </w:r>
          </w:p>
        </w:tc>
        <w:tc>
          <w:tcPr>
            <w:tcW w:w="1652" w:type="dxa"/>
            <w:gridSpan w:val="2"/>
            <w:noWrap w:val="0"/>
            <w:vAlign w:val="center"/>
          </w:tcPr>
          <w:p>
            <w:pPr>
              <w:tabs>
                <w:tab w:val="left" w:pos="1592"/>
              </w:tabs>
              <w:spacing w:line="240" w:lineRule="exact"/>
              <w:ind w:right="-3905"/>
              <w:rPr>
                <w:rFonts w:hint="eastAsia" w:ascii="Times New Roman" w:hAnsi="Times New Roman" w:eastAsia="宋体"/>
                <w:color w:val="000000"/>
                <w:sz w:val="24"/>
                <w:szCs w:val="24"/>
                <w:lang w:eastAsia="zh-CN"/>
              </w:rPr>
            </w:pPr>
            <w:r>
              <w:rPr>
                <w:rFonts w:ascii="Times New Roman" w:hAnsi="Times New Roman"/>
                <w:color w:val="000000"/>
                <w:sz w:val="24"/>
                <w:szCs w:val="24"/>
              </w:rPr>
              <w:t>环保总</w:t>
            </w:r>
            <w:r>
              <w:rPr>
                <w:rFonts w:hint="eastAsia" w:ascii="Times New Roman" w:hAnsi="Times New Roman"/>
                <w:color w:val="000000"/>
                <w:sz w:val="24"/>
                <w:szCs w:val="24"/>
                <w:lang w:eastAsia="zh-CN"/>
              </w:rPr>
              <w:t>投资</w:t>
            </w:r>
          </w:p>
        </w:tc>
        <w:tc>
          <w:tcPr>
            <w:tcW w:w="1771" w:type="dxa"/>
            <w:gridSpan w:val="2"/>
            <w:noWrap w:val="0"/>
            <w:vAlign w:val="center"/>
          </w:tcPr>
          <w:p>
            <w:pPr>
              <w:spacing w:line="240" w:lineRule="exact"/>
              <w:ind w:right="-5713"/>
              <w:rPr>
                <w:rFonts w:hint="eastAsia" w:ascii="Times New Roman" w:hAnsi="Times New Roman"/>
                <w:color w:val="000000"/>
                <w:sz w:val="24"/>
                <w:szCs w:val="24"/>
              </w:rPr>
            </w:pPr>
            <w:r>
              <w:rPr>
                <w:rFonts w:hint="eastAsia" w:ascii="Times New Roman" w:hAnsi="Times New Roman"/>
                <w:color w:val="000000"/>
                <w:sz w:val="24"/>
                <w:szCs w:val="24"/>
                <w:lang w:val="en-US" w:eastAsia="zh-CN"/>
              </w:rPr>
              <w:t>60</w:t>
            </w:r>
            <w:r>
              <w:rPr>
                <w:rFonts w:hint="eastAsia" w:ascii="Times New Roman" w:hAnsi="Times New Roman"/>
                <w:color w:val="000000"/>
                <w:sz w:val="24"/>
                <w:szCs w:val="24"/>
              </w:rPr>
              <w:t>万元</w:t>
            </w:r>
          </w:p>
        </w:tc>
        <w:tc>
          <w:tcPr>
            <w:tcW w:w="913" w:type="dxa"/>
            <w:noWrap w:val="0"/>
            <w:vAlign w:val="center"/>
          </w:tcPr>
          <w:p>
            <w:pPr>
              <w:tabs>
                <w:tab w:val="left" w:pos="872"/>
              </w:tabs>
              <w:spacing w:line="240" w:lineRule="exact"/>
              <w:ind w:right="-1025" w:firstLine="120" w:firstLineChars="50"/>
              <w:rPr>
                <w:rFonts w:ascii="Times New Roman" w:hAnsi="Times New Roman"/>
                <w:color w:val="000000"/>
                <w:sz w:val="24"/>
                <w:szCs w:val="24"/>
              </w:rPr>
            </w:pPr>
            <w:r>
              <w:rPr>
                <w:rFonts w:ascii="Times New Roman" w:hAnsi="Times New Roman"/>
                <w:color w:val="000000"/>
                <w:sz w:val="24"/>
                <w:szCs w:val="24"/>
              </w:rPr>
              <w:t>比例</w:t>
            </w:r>
          </w:p>
        </w:tc>
        <w:tc>
          <w:tcPr>
            <w:tcW w:w="2023" w:type="dxa"/>
            <w:noWrap w:val="0"/>
            <w:vAlign w:val="center"/>
          </w:tcPr>
          <w:p>
            <w:pPr>
              <w:spacing w:line="240" w:lineRule="exact"/>
              <w:ind w:right="-108"/>
              <w:jc w:val="center"/>
              <w:rPr>
                <w:rFonts w:hint="eastAsia" w:ascii="Times New Roman" w:hAnsi="Times New Roman"/>
                <w:color w:val="000000"/>
                <w:sz w:val="24"/>
                <w:szCs w:val="24"/>
              </w:rPr>
            </w:pPr>
            <w:r>
              <w:rPr>
                <w:rFonts w:hint="eastAsia" w:ascii="Times New Roman" w:hAnsi="Times New Roman"/>
                <w:color w:val="000000"/>
                <w:sz w:val="24"/>
                <w:szCs w:val="24"/>
                <w:lang w:val="en-US" w:eastAsia="zh-CN"/>
              </w:rPr>
              <w:t>0.11</w:t>
            </w:r>
            <w:r>
              <w:rPr>
                <w:rFonts w:hint="eastAsia" w:ascii="Times New Roman" w:hAnsi="Times New Roman"/>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057" w:type="dxa"/>
            <w:noWrap w:val="0"/>
            <w:vAlign w:val="center"/>
          </w:tcPr>
          <w:p>
            <w:pPr>
              <w:spacing w:line="240" w:lineRule="exact"/>
              <w:ind w:right="-7308" w:firstLine="240" w:firstLineChars="100"/>
              <w:rPr>
                <w:rFonts w:ascii="Times New Roman" w:hAnsi="Times New Roman"/>
                <w:sz w:val="24"/>
                <w:szCs w:val="24"/>
              </w:rPr>
            </w:pPr>
            <w:r>
              <w:rPr>
                <w:rFonts w:ascii="Times New Roman" w:hAnsi="Times New Roman"/>
                <w:sz w:val="24"/>
                <w:szCs w:val="24"/>
              </w:rPr>
              <w:t>验收监测依据</w:t>
            </w:r>
          </w:p>
        </w:tc>
        <w:tc>
          <w:tcPr>
            <w:tcW w:w="8114" w:type="dxa"/>
            <w:gridSpan w:val="7"/>
            <w:noWrap w:val="0"/>
            <w:vAlign w:val="center"/>
          </w:tcPr>
          <w:p>
            <w:pPr>
              <w:spacing w:line="360" w:lineRule="auto"/>
              <w:ind w:firstLine="480" w:firstLineChars="200"/>
              <w:rPr>
                <w:rFonts w:ascii="宋体" w:hAnsi="宋体" w:eastAsia="宋体"/>
                <w:sz w:val="24"/>
                <w:szCs w:val="24"/>
              </w:rPr>
            </w:pPr>
            <w:r>
              <w:rPr>
                <w:rFonts w:hint="eastAsia" w:ascii="宋体" w:hAnsi="宋体" w:eastAsia="宋体"/>
                <w:sz w:val="24"/>
                <w:szCs w:val="24"/>
              </w:rPr>
              <w:t>（1）国务院第682号令《建设项目环境保护管理条例》（2017.10.1）；</w:t>
            </w:r>
          </w:p>
          <w:p>
            <w:pPr>
              <w:spacing w:line="460" w:lineRule="exact"/>
              <w:ind w:firstLine="480" w:firstLineChars="200"/>
              <w:rPr>
                <w:rFonts w:ascii="Times New Roman" w:hAnsi="Times New Roman"/>
                <w:color w:val="000000"/>
                <w:sz w:val="24"/>
                <w:szCs w:val="24"/>
              </w:rPr>
            </w:pPr>
            <w:r>
              <w:rPr>
                <w:rFonts w:hint="eastAsia" w:ascii="宋体" w:hAnsi="宋体" w:eastAsia="宋体"/>
                <w:sz w:val="24"/>
                <w:szCs w:val="24"/>
              </w:rPr>
              <w:t>（</w:t>
            </w:r>
            <w:r>
              <w:rPr>
                <w:rFonts w:hint="eastAsia" w:ascii="宋体" w:hAnsi="宋体" w:eastAsia="宋体"/>
                <w:sz w:val="24"/>
                <w:szCs w:val="24"/>
                <w:lang w:val="en-US" w:eastAsia="zh-CN"/>
              </w:rPr>
              <w:t>2</w:t>
            </w:r>
            <w:r>
              <w:rPr>
                <w:rFonts w:hint="eastAsia" w:ascii="宋体" w:hAnsi="宋体" w:eastAsia="宋体"/>
                <w:sz w:val="24"/>
                <w:szCs w:val="24"/>
              </w:rPr>
              <w:t>）</w:t>
            </w:r>
            <w:r>
              <w:rPr>
                <w:rFonts w:hint="eastAsia" w:ascii="宋体" w:hAnsi="宋体"/>
                <w:sz w:val="24"/>
                <w:szCs w:val="24"/>
              </w:rPr>
              <w:t>《建设项目竣工环境保护验收指南 污染影响类》生态环境保护部（公告[2018]9号）</w:t>
            </w:r>
            <w:r>
              <w:rPr>
                <w:rFonts w:hint="eastAsia" w:ascii="Times New Roman" w:hAnsi="Times New Roman"/>
                <w:color w:val="000000"/>
                <w:sz w:val="24"/>
                <w:szCs w:val="24"/>
              </w:rPr>
              <w:t>；</w:t>
            </w:r>
          </w:p>
          <w:p>
            <w:pPr>
              <w:spacing w:line="460" w:lineRule="exact"/>
              <w:ind w:firstLine="480" w:firstLineChars="200"/>
              <w:rPr>
                <w:rFonts w:ascii="Times New Roman" w:hAnsi="Times New Roman"/>
                <w:color w:val="000000"/>
                <w:sz w:val="24"/>
                <w:szCs w:val="24"/>
              </w:rPr>
            </w:pPr>
            <w:r>
              <w:rPr>
                <w:rFonts w:hint="eastAsia" w:ascii="宋体" w:hAnsi="宋体" w:eastAsia="宋体"/>
                <w:sz w:val="24"/>
                <w:szCs w:val="24"/>
              </w:rPr>
              <w:t>（</w:t>
            </w:r>
            <w:r>
              <w:rPr>
                <w:rFonts w:hint="eastAsia" w:ascii="宋体" w:hAnsi="宋体" w:eastAsia="宋体"/>
                <w:sz w:val="24"/>
                <w:szCs w:val="24"/>
                <w:lang w:val="en-US" w:eastAsia="zh-CN"/>
              </w:rPr>
              <w:t>3</w:t>
            </w:r>
            <w:r>
              <w:rPr>
                <w:rFonts w:hint="eastAsia" w:ascii="宋体" w:hAnsi="宋体" w:eastAsia="宋体"/>
                <w:sz w:val="24"/>
                <w:szCs w:val="24"/>
              </w:rPr>
              <w:t>）《</w:t>
            </w:r>
            <w:r>
              <w:rPr>
                <w:rFonts w:hint="eastAsia" w:ascii="宋体" w:hAnsi="宋体" w:eastAsia="宋体" w:cs="宋体"/>
                <w:b w:val="0"/>
                <w:bCs w:val="0"/>
                <w:sz w:val="24"/>
                <w:szCs w:val="24"/>
              </w:rPr>
              <w:t>吉安华润清洁能源有限公司吉安市吉福路天然气加气站工程项目</w:t>
            </w:r>
            <w:r>
              <w:rPr>
                <w:rFonts w:hint="eastAsia" w:ascii="宋体" w:hAnsi="宋体"/>
                <w:sz w:val="24"/>
                <w:szCs w:val="24"/>
              </w:rPr>
              <w:t>环境影响报告表</w:t>
            </w:r>
            <w:r>
              <w:rPr>
                <w:rFonts w:hint="eastAsia" w:ascii="宋体" w:hAnsi="宋体" w:eastAsia="宋体"/>
                <w:sz w:val="24"/>
                <w:szCs w:val="24"/>
              </w:rPr>
              <w:t>》；</w:t>
            </w:r>
          </w:p>
          <w:p>
            <w:pPr>
              <w:spacing w:line="360" w:lineRule="auto"/>
              <w:ind w:firstLine="480" w:firstLineChars="200"/>
              <w:rPr>
                <w:rFonts w:ascii="宋体" w:hAnsi="宋体" w:eastAsia="宋体"/>
                <w:sz w:val="24"/>
                <w:szCs w:val="24"/>
              </w:rPr>
            </w:pPr>
            <w:r>
              <w:rPr>
                <w:rFonts w:hint="eastAsia" w:ascii="宋体" w:hAnsi="宋体" w:eastAsia="宋体"/>
                <w:sz w:val="24"/>
                <w:szCs w:val="24"/>
              </w:rPr>
              <w:t>（</w:t>
            </w:r>
            <w:r>
              <w:rPr>
                <w:rFonts w:hint="eastAsia" w:ascii="宋体" w:hAnsi="宋体" w:eastAsia="宋体"/>
                <w:sz w:val="24"/>
                <w:szCs w:val="24"/>
                <w:lang w:val="en-US" w:eastAsia="zh-CN"/>
              </w:rPr>
              <w:t>4</w:t>
            </w:r>
            <w:r>
              <w:rPr>
                <w:rFonts w:hint="eastAsia" w:ascii="宋体" w:hAnsi="宋体" w:eastAsia="宋体"/>
                <w:sz w:val="24"/>
                <w:szCs w:val="24"/>
              </w:rPr>
              <w:t>）</w:t>
            </w:r>
            <w:r>
              <w:rPr>
                <w:rFonts w:hint="eastAsia" w:ascii="宋体" w:hAnsi="宋体"/>
                <w:sz w:val="24"/>
                <w:szCs w:val="24"/>
                <w:lang w:eastAsia="zh-CN"/>
              </w:rPr>
              <w:t>吉安市生态环境</w:t>
            </w:r>
            <w:r>
              <w:rPr>
                <w:rFonts w:hint="eastAsia" w:ascii="宋体" w:hAnsi="宋体"/>
                <w:sz w:val="24"/>
                <w:szCs w:val="24"/>
              </w:rPr>
              <w:t>局</w:t>
            </w:r>
            <w:r>
              <w:rPr>
                <w:rFonts w:hint="eastAsia" w:ascii="宋体" w:hAnsi="宋体"/>
                <w:sz w:val="24"/>
                <w:szCs w:val="24"/>
                <w:lang w:eastAsia="zh-CN"/>
              </w:rPr>
              <w:t>（原吉安市环境保护局）</w:t>
            </w:r>
            <w:r>
              <w:rPr>
                <w:rFonts w:hint="eastAsia" w:ascii="宋体" w:hAnsi="宋体"/>
                <w:color w:val="000000" w:themeColor="text1"/>
                <w:sz w:val="24"/>
                <w:szCs w:val="24"/>
                <w:lang w:eastAsia="zh-CN"/>
              </w:rPr>
              <w:t>吉市环评</w:t>
            </w:r>
            <w:r>
              <w:rPr>
                <w:rFonts w:hint="eastAsia" w:ascii="宋体" w:hAnsi="宋体"/>
                <w:color w:val="000000" w:themeColor="text1"/>
                <w:sz w:val="24"/>
                <w:szCs w:val="24"/>
              </w:rPr>
              <w:t>字［20</w:t>
            </w:r>
            <w:r>
              <w:rPr>
                <w:rFonts w:hint="eastAsia" w:ascii="宋体" w:hAnsi="宋体"/>
                <w:color w:val="000000" w:themeColor="text1"/>
                <w:sz w:val="24"/>
                <w:szCs w:val="24"/>
                <w:lang w:val="en-US" w:eastAsia="zh-CN"/>
              </w:rPr>
              <w:t>14</w:t>
            </w:r>
            <w:r>
              <w:rPr>
                <w:rFonts w:hint="eastAsia" w:ascii="宋体" w:hAnsi="宋体"/>
                <w:color w:val="000000" w:themeColor="text1"/>
                <w:sz w:val="24"/>
                <w:szCs w:val="24"/>
              </w:rPr>
              <w:t>］</w:t>
            </w:r>
            <w:r>
              <w:rPr>
                <w:rFonts w:hint="eastAsia" w:ascii="宋体" w:hAnsi="宋体"/>
                <w:color w:val="000000" w:themeColor="text1"/>
                <w:sz w:val="24"/>
                <w:szCs w:val="24"/>
                <w:lang w:val="en-US" w:eastAsia="zh-CN"/>
              </w:rPr>
              <w:t>69</w:t>
            </w:r>
            <w:r>
              <w:rPr>
                <w:rFonts w:hint="eastAsia" w:ascii="宋体" w:hAnsi="宋体"/>
                <w:color w:val="000000" w:themeColor="text1"/>
                <w:sz w:val="24"/>
                <w:szCs w:val="24"/>
              </w:rPr>
              <w:t>号</w:t>
            </w:r>
            <w:r>
              <w:rPr>
                <w:rFonts w:hint="eastAsia" w:ascii="宋体" w:hAnsi="宋体" w:eastAsia="宋体"/>
                <w:sz w:val="24"/>
                <w:szCs w:val="24"/>
              </w:rPr>
              <w:t>《</w:t>
            </w:r>
            <w:r>
              <w:rPr>
                <w:rFonts w:hint="eastAsia" w:ascii="宋体" w:hAnsi="宋体" w:eastAsia="宋体" w:cs="宋体"/>
                <w:b w:val="0"/>
                <w:bCs w:val="0"/>
                <w:sz w:val="24"/>
                <w:szCs w:val="24"/>
              </w:rPr>
              <w:t>吉安华润清洁能源有限公司吉安市吉福路天然气加气站工程项目</w:t>
            </w:r>
            <w:r>
              <w:rPr>
                <w:rFonts w:hint="eastAsia" w:ascii="宋体" w:hAnsi="宋体"/>
                <w:sz w:val="24"/>
                <w:szCs w:val="24"/>
              </w:rPr>
              <w:t>环境影响报告表</w:t>
            </w:r>
            <w:r>
              <w:rPr>
                <w:rFonts w:hint="eastAsia" w:ascii="宋体" w:hAnsi="宋体" w:eastAsia="宋体"/>
                <w:sz w:val="24"/>
                <w:szCs w:val="24"/>
              </w:rPr>
              <w:t>的批复》；</w:t>
            </w:r>
          </w:p>
          <w:p>
            <w:pPr>
              <w:spacing w:line="460" w:lineRule="exact"/>
              <w:ind w:firstLine="480" w:firstLineChars="200"/>
              <w:rPr>
                <w:rFonts w:ascii="Times New Roman" w:hAnsi="Times New Roman"/>
                <w:color w:val="FF0000"/>
                <w:sz w:val="24"/>
                <w:szCs w:val="24"/>
              </w:rPr>
            </w:pPr>
            <w:r>
              <w:rPr>
                <w:rFonts w:hint="eastAsia" w:ascii="宋体" w:hAnsi="宋体" w:eastAsia="宋体"/>
                <w:sz w:val="24"/>
                <w:szCs w:val="24"/>
              </w:rPr>
              <w:t>（</w:t>
            </w:r>
            <w:r>
              <w:rPr>
                <w:rFonts w:hint="eastAsia" w:ascii="宋体" w:hAnsi="宋体" w:eastAsia="宋体"/>
                <w:sz w:val="24"/>
                <w:szCs w:val="24"/>
                <w:lang w:val="en-US" w:eastAsia="zh-CN"/>
              </w:rPr>
              <w:t>5</w:t>
            </w:r>
            <w:r>
              <w:rPr>
                <w:rFonts w:hint="eastAsia" w:ascii="宋体" w:hAnsi="宋体" w:eastAsia="宋体"/>
                <w:sz w:val="24"/>
                <w:szCs w:val="24"/>
              </w:rPr>
              <w:t>）</w:t>
            </w:r>
            <w:r>
              <w:rPr>
                <w:rFonts w:hint="eastAsia" w:ascii="宋体" w:hAnsi="宋体" w:eastAsia="宋体" w:cs="宋体"/>
                <w:b w:val="0"/>
                <w:bCs w:val="0"/>
                <w:sz w:val="24"/>
                <w:szCs w:val="24"/>
              </w:rPr>
              <w:t>吉安华润</w:t>
            </w:r>
            <w:r>
              <w:rPr>
                <w:rFonts w:hint="eastAsia" w:ascii="宋体" w:hAnsi="宋体" w:eastAsia="宋体" w:cs="宋体"/>
                <w:b w:val="0"/>
                <w:bCs w:val="0"/>
                <w:sz w:val="24"/>
                <w:szCs w:val="24"/>
                <w:lang w:eastAsia="zh-CN"/>
              </w:rPr>
              <w:t>燃气</w:t>
            </w:r>
            <w:r>
              <w:rPr>
                <w:rFonts w:hint="eastAsia" w:ascii="宋体" w:hAnsi="宋体" w:eastAsia="宋体" w:cs="宋体"/>
                <w:b w:val="0"/>
                <w:bCs w:val="0"/>
                <w:sz w:val="24"/>
                <w:szCs w:val="24"/>
              </w:rPr>
              <w:t>有限公司</w:t>
            </w:r>
            <w:r>
              <w:rPr>
                <w:rFonts w:hint="eastAsia" w:ascii="Times New Roman" w:hAnsi="Times New Roman"/>
                <w:color w:val="000000"/>
                <w:sz w:val="24"/>
                <w:szCs w:val="24"/>
              </w:rPr>
              <w:t>委托江西</w:t>
            </w:r>
            <w:r>
              <w:rPr>
                <w:rFonts w:hint="eastAsia" w:ascii="Times New Roman" w:hAnsi="Times New Roman"/>
                <w:color w:val="000000"/>
                <w:sz w:val="24"/>
                <w:szCs w:val="24"/>
                <w:lang w:eastAsia="zh-CN"/>
              </w:rPr>
              <w:t>中明环境检测</w:t>
            </w:r>
            <w:r>
              <w:rPr>
                <w:rFonts w:hint="eastAsia" w:ascii="Times New Roman" w:hAnsi="Times New Roman"/>
                <w:color w:val="000000"/>
                <w:sz w:val="24"/>
                <w:szCs w:val="24"/>
              </w:rPr>
              <w:t>有限公司对该项目竣工进行环境保护验收监测的函；</w:t>
            </w:r>
          </w:p>
          <w:p>
            <w:pPr>
              <w:spacing w:line="360" w:lineRule="auto"/>
              <w:ind w:firstLine="480" w:firstLineChars="200"/>
              <w:rPr>
                <w:rFonts w:ascii="Times New Roman" w:hAnsi="Times New Roman"/>
                <w:sz w:val="24"/>
                <w:szCs w:val="24"/>
              </w:rPr>
            </w:pPr>
            <w:r>
              <w:rPr>
                <w:rFonts w:hint="eastAsia" w:ascii="宋体" w:hAnsi="宋体" w:eastAsia="宋体"/>
                <w:sz w:val="24"/>
                <w:szCs w:val="24"/>
              </w:rPr>
              <w:t>（</w:t>
            </w:r>
            <w:r>
              <w:rPr>
                <w:rFonts w:hint="eastAsia" w:ascii="宋体" w:hAnsi="宋体" w:eastAsia="宋体"/>
                <w:sz w:val="24"/>
                <w:szCs w:val="24"/>
                <w:lang w:val="en-US" w:eastAsia="zh-CN"/>
              </w:rPr>
              <w:t>6</w:t>
            </w:r>
            <w:r>
              <w:rPr>
                <w:rFonts w:hint="eastAsia" w:ascii="宋体" w:hAnsi="宋体" w:eastAsia="宋体"/>
                <w:sz w:val="24"/>
                <w:szCs w:val="24"/>
              </w:rPr>
              <w:t>）</w:t>
            </w:r>
            <w:r>
              <w:rPr>
                <w:rFonts w:hint="eastAsia" w:ascii="宋体" w:hAnsi="宋体" w:eastAsia="宋体" w:cs="宋体"/>
                <w:b w:val="0"/>
                <w:bCs w:val="0"/>
                <w:sz w:val="24"/>
                <w:szCs w:val="24"/>
              </w:rPr>
              <w:t>吉安华润</w:t>
            </w:r>
            <w:r>
              <w:rPr>
                <w:rFonts w:hint="eastAsia" w:ascii="宋体" w:hAnsi="宋体" w:eastAsia="宋体" w:cs="宋体"/>
                <w:b w:val="0"/>
                <w:bCs w:val="0"/>
                <w:sz w:val="24"/>
                <w:szCs w:val="24"/>
                <w:lang w:eastAsia="zh-CN"/>
              </w:rPr>
              <w:t>燃气</w:t>
            </w:r>
            <w:r>
              <w:rPr>
                <w:rFonts w:hint="eastAsia" w:ascii="宋体" w:hAnsi="宋体" w:eastAsia="宋体" w:cs="宋体"/>
                <w:b w:val="0"/>
                <w:bCs w:val="0"/>
                <w:sz w:val="24"/>
                <w:szCs w:val="24"/>
              </w:rPr>
              <w:t>有限公司</w:t>
            </w:r>
            <w:r>
              <w:rPr>
                <w:rFonts w:hint="eastAsia" w:ascii="Times New Roman" w:hAnsi="Times New Roman"/>
                <w:color w:val="000000"/>
                <w:spacing w:val="-8"/>
                <w:sz w:val="24"/>
                <w:szCs w:val="24"/>
              </w:rPr>
              <w:t>关于</w:t>
            </w:r>
            <w:r>
              <w:rPr>
                <w:rFonts w:hint="eastAsia" w:ascii="Times New Roman" w:hAnsi="Times New Roman"/>
                <w:color w:val="000000"/>
                <w:sz w:val="24"/>
                <w:szCs w:val="24"/>
              </w:rPr>
              <w:t>《</w:t>
            </w:r>
            <w:r>
              <w:rPr>
                <w:rFonts w:hint="eastAsia" w:ascii="宋体" w:hAnsi="宋体" w:eastAsia="宋体" w:cs="宋体"/>
                <w:b w:val="0"/>
                <w:bCs w:val="0"/>
                <w:sz w:val="24"/>
                <w:szCs w:val="24"/>
              </w:rPr>
              <w:t>吉安华润清洁能源有限公司吉安市吉福路天然气加气站工程项目</w:t>
            </w:r>
            <w:r>
              <w:rPr>
                <w:rFonts w:hint="eastAsia" w:ascii="Times New Roman" w:hAnsi="Times New Roman"/>
                <w:color w:val="000000"/>
                <w:sz w:val="24"/>
                <w:szCs w:val="24"/>
              </w:rPr>
              <w:t>竣工环境保护验收监测方案</w:t>
            </w:r>
            <w:r>
              <w:rPr>
                <w:rFonts w:hint="eastAsia" w:ascii="Times New Roman" w:hAnsi="Times New Roman"/>
                <w:color w:val="000000"/>
                <w:spacing w:val="-8"/>
                <w:sz w:val="24"/>
                <w:szCs w:val="24"/>
              </w:rPr>
              <w:t>》。</w:t>
            </w:r>
          </w:p>
        </w:tc>
      </w:tr>
    </w:tbl>
    <w:p>
      <w:pPr>
        <w:spacing w:line="360" w:lineRule="auto"/>
        <w:ind w:firstLine="482" w:firstLineChars="200"/>
        <w:rPr>
          <w:rFonts w:ascii="Times New Roman" w:hAnsi="Times New Roman"/>
          <w:b/>
          <w:color w:val="000000"/>
          <w:sz w:val="24"/>
        </w:rPr>
      </w:pPr>
      <w:r>
        <w:rPr>
          <w:rFonts w:ascii="Times New Roman" w:hAnsi="Times New Roman"/>
          <w:b/>
          <w:color w:val="000000"/>
          <w:sz w:val="24"/>
        </w:rPr>
        <w:br w:type="page"/>
      </w:r>
    </w:p>
    <w:tbl>
      <w:tblPr>
        <w:tblStyle w:val="20"/>
        <w:tblW w:w="9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84" w:type="dxa"/>
            <w:noWrap w:val="0"/>
            <w:vAlign w:val="top"/>
          </w:tcPr>
          <w:p>
            <w:pPr>
              <w:spacing w:line="360" w:lineRule="auto"/>
              <w:ind w:firstLine="480" w:firstLineChars="200"/>
              <w:rPr>
                <w:rFonts w:ascii="Times New Roman" w:hAnsi="Times New Roman"/>
                <w:sz w:val="24"/>
                <w:szCs w:val="24"/>
              </w:rPr>
            </w:pPr>
            <w:bookmarkStart w:id="0" w:name="_Toc418512616"/>
            <w:bookmarkStart w:id="1" w:name="_Toc447746309"/>
            <w:bookmarkStart w:id="2" w:name="_Toc504573149"/>
            <w:bookmarkStart w:id="3" w:name="_Toc27574"/>
            <w:r>
              <w:rPr>
                <w:rFonts w:hint="eastAsia" w:ascii="Times New Roman" w:hAnsi="Times New Roman"/>
                <w:sz w:val="24"/>
                <w:szCs w:val="24"/>
              </w:rPr>
              <w:t>根据本项目环境影响报告表及</w:t>
            </w:r>
            <w:r>
              <w:rPr>
                <w:rFonts w:hint="eastAsia" w:ascii="宋体" w:hAnsi="宋体"/>
                <w:sz w:val="24"/>
                <w:szCs w:val="24"/>
                <w:lang w:eastAsia="zh-CN"/>
              </w:rPr>
              <w:t>吉安市生态环境</w:t>
            </w:r>
            <w:r>
              <w:rPr>
                <w:rFonts w:hint="eastAsia" w:ascii="宋体" w:hAnsi="宋体"/>
                <w:sz w:val="24"/>
                <w:szCs w:val="24"/>
              </w:rPr>
              <w:t>局</w:t>
            </w:r>
            <w:r>
              <w:rPr>
                <w:rFonts w:hint="eastAsia" w:ascii="宋体" w:hAnsi="宋体"/>
                <w:sz w:val="24"/>
                <w:szCs w:val="24"/>
                <w:lang w:eastAsia="zh-CN"/>
              </w:rPr>
              <w:t>（原吉安市环境保护局）</w:t>
            </w:r>
            <w:r>
              <w:rPr>
                <w:rFonts w:hint="eastAsia" w:ascii="Times New Roman" w:hAnsi="Times New Roman"/>
                <w:sz w:val="24"/>
                <w:szCs w:val="24"/>
              </w:rPr>
              <w:t>对本项目下达的执行环境标准中相关内容，以及结合项目验收期间实际情况，本次验收监测执行以下标准。</w:t>
            </w:r>
            <w:bookmarkEnd w:id="0"/>
            <w:bookmarkEnd w:id="1"/>
            <w:bookmarkEnd w:id="2"/>
            <w:bookmarkEnd w:id="3"/>
          </w:p>
          <w:p>
            <w:pPr>
              <w:spacing w:line="320" w:lineRule="exact"/>
              <w:ind w:left="-108" w:right="-102"/>
              <w:jc w:val="center"/>
              <w:rPr>
                <w:rFonts w:hint="eastAsia" w:ascii="宋体" w:hAnsi="宋体" w:eastAsia="宋体" w:cs="宋体"/>
                <w:sz w:val="24"/>
                <w:szCs w:val="24"/>
              </w:rPr>
            </w:pPr>
            <w:r>
              <w:rPr>
                <w:rFonts w:hint="eastAsia" w:ascii="Times New Roman" w:hAnsi="Times New Roman"/>
                <w:sz w:val="24"/>
                <w:szCs w:val="24"/>
                <w:lang w:val="en-US" w:eastAsia="zh-CN"/>
              </w:rPr>
              <w:t>1、</w:t>
            </w:r>
            <w:r>
              <w:rPr>
                <w:rFonts w:ascii="Times New Roman" w:hAnsi="Times New Roman"/>
                <w:sz w:val="24"/>
                <w:szCs w:val="24"/>
              </w:rPr>
              <w:t>运营过程中，</w:t>
            </w:r>
            <w:r>
              <w:rPr>
                <w:rFonts w:hint="eastAsia" w:ascii="Times New Roman" w:hAnsi="Times New Roman"/>
                <w:sz w:val="24"/>
                <w:szCs w:val="24"/>
                <w:lang w:eastAsia="zh-CN"/>
              </w:rPr>
              <w:t>生产废水</w:t>
            </w:r>
            <w:r>
              <w:rPr>
                <w:rFonts w:ascii="Times New Roman" w:hAnsi="Times New Roman"/>
                <w:sz w:val="24"/>
                <w:szCs w:val="24"/>
              </w:rPr>
              <w:t>排放的浓度执行</w:t>
            </w:r>
            <w:r>
              <w:rPr>
                <w:rFonts w:hint="eastAsia" w:ascii="宋体" w:hAnsi="宋体" w:eastAsia="宋体" w:cs="宋体"/>
                <w:sz w:val="24"/>
                <w:szCs w:val="24"/>
              </w:rPr>
              <w:t>《污水综合排放标准》(GB8978-1996)</w:t>
            </w:r>
          </w:p>
          <w:p>
            <w:pPr>
              <w:spacing w:line="360" w:lineRule="auto"/>
              <w:ind w:firstLine="480" w:firstLineChars="200"/>
              <w:rPr>
                <w:rFonts w:ascii="Times New Roman" w:hAnsi="Times New Roman"/>
                <w:sz w:val="24"/>
                <w:szCs w:val="24"/>
              </w:rPr>
            </w:pPr>
            <w:r>
              <w:rPr>
                <w:rFonts w:hint="eastAsia" w:ascii="宋体" w:hAnsi="宋体" w:eastAsia="宋体" w:cs="宋体"/>
                <w:sz w:val="24"/>
                <w:szCs w:val="24"/>
              </w:rPr>
              <w:t>表4中三级标准</w:t>
            </w:r>
            <w:r>
              <w:rPr>
                <w:rFonts w:hint="eastAsia" w:ascii="Times New Roman" w:hAnsi="Times New Roman"/>
                <w:sz w:val="24"/>
                <w:szCs w:val="24"/>
                <w:lang w:eastAsia="zh-CN"/>
              </w:rPr>
              <w:t>限</w:t>
            </w:r>
            <w:r>
              <w:rPr>
                <w:rFonts w:ascii="Times New Roman" w:hAnsi="Times New Roman"/>
                <w:sz w:val="24"/>
                <w:szCs w:val="24"/>
              </w:rPr>
              <w:t>值</w:t>
            </w:r>
            <w:r>
              <w:rPr>
                <w:rFonts w:hint="eastAsia" w:ascii="Times New Roman" w:hAnsi="Times New Roman"/>
                <w:sz w:val="24"/>
                <w:szCs w:val="24"/>
                <w:lang w:eastAsia="zh-CN"/>
              </w:rPr>
              <w:t>及吉安市</w:t>
            </w:r>
            <w:r>
              <w:rPr>
                <w:rFonts w:hint="eastAsia" w:hAnsi="宋体"/>
                <w:sz w:val="24"/>
              </w:rPr>
              <w:t>新源污水处理厂接管标准</w:t>
            </w:r>
            <w:r>
              <w:rPr>
                <w:rFonts w:hint="eastAsia"/>
                <w:sz w:val="24"/>
              </w:rPr>
              <w:t>后</w:t>
            </w:r>
            <w:r>
              <w:rPr>
                <w:rFonts w:hint="eastAsia" w:ascii="Times New Roman" w:hAnsi="Times New Roman"/>
                <w:sz w:val="24"/>
                <w:szCs w:val="24"/>
              </w:rPr>
              <w:t>，</w:t>
            </w:r>
            <w:r>
              <w:rPr>
                <w:rFonts w:ascii="Times New Roman" w:hAnsi="Times New Roman"/>
                <w:sz w:val="24"/>
                <w:szCs w:val="24"/>
              </w:rPr>
              <w:t>见表</w:t>
            </w:r>
            <w:r>
              <w:rPr>
                <w:rFonts w:hint="eastAsia" w:ascii="Times New Roman" w:hAnsi="Times New Roman"/>
                <w:sz w:val="24"/>
                <w:szCs w:val="24"/>
                <w:lang w:val="en-US" w:eastAsia="zh-CN"/>
              </w:rPr>
              <w:t>1</w:t>
            </w:r>
            <w:r>
              <w:rPr>
                <w:rFonts w:ascii="Times New Roman" w:hAnsi="Times New Roman"/>
                <w:sz w:val="24"/>
                <w:szCs w:val="24"/>
              </w:rPr>
              <w:t>-</w:t>
            </w:r>
            <w:r>
              <w:rPr>
                <w:rFonts w:hint="eastAsia" w:ascii="Times New Roman" w:hAnsi="Times New Roman"/>
                <w:sz w:val="24"/>
                <w:szCs w:val="24"/>
                <w:lang w:val="en-US" w:eastAsia="zh-CN"/>
              </w:rPr>
              <w:t>1</w:t>
            </w:r>
            <w:r>
              <w:rPr>
                <w:rFonts w:ascii="Times New Roman" w:hAnsi="Times New Roman"/>
                <w:sz w:val="24"/>
                <w:szCs w:val="24"/>
              </w:rPr>
              <w:t>。</w:t>
            </w:r>
          </w:p>
          <w:p>
            <w:pPr>
              <w:pStyle w:val="46"/>
              <w:spacing w:beforeLines="0"/>
              <w:ind w:firstLine="482" w:firstLineChars="200"/>
              <w:rPr>
                <w:rFonts w:ascii="Times New Roman" w:hAnsi="Times New Roman" w:cs="宋体"/>
                <w:sz w:val="24"/>
                <w:szCs w:val="24"/>
              </w:rPr>
            </w:pPr>
            <w:r>
              <w:rPr>
                <w:rFonts w:ascii="Times New Roman" w:hAnsi="Times New Roman" w:cs="宋体"/>
                <w:sz w:val="24"/>
                <w:szCs w:val="24"/>
              </w:rPr>
              <w:t>表</w:t>
            </w:r>
            <w:r>
              <w:rPr>
                <w:rFonts w:hint="eastAsia" w:ascii="Times New Roman" w:hAnsi="Times New Roman" w:cs="宋体"/>
                <w:sz w:val="24"/>
                <w:szCs w:val="24"/>
                <w:lang w:val="en-US" w:eastAsia="zh-CN"/>
              </w:rPr>
              <w:t>1</w:t>
            </w:r>
            <w:r>
              <w:rPr>
                <w:rFonts w:hint="eastAsia" w:ascii="Times New Roman" w:hAnsi="Times New Roman" w:cs="宋体"/>
                <w:sz w:val="24"/>
                <w:szCs w:val="24"/>
              </w:rPr>
              <w:t>-</w:t>
            </w:r>
            <w:r>
              <w:rPr>
                <w:rFonts w:hint="eastAsia" w:ascii="Times New Roman" w:hAnsi="Times New Roman" w:cs="宋体"/>
                <w:sz w:val="24"/>
                <w:szCs w:val="24"/>
                <w:lang w:val="en-US" w:eastAsia="zh-CN"/>
              </w:rPr>
              <w:t>1</w:t>
            </w:r>
            <w:r>
              <w:rPr>
                <w:rFonts w:hint="eastAsia" w:ascii="Times New Roman" w:hAnsi="Times New Roman" w:cs="宋体"/>
                <w:sz w:val="24"/>
                <w:szCs w:val="24"/>
              </w:rPr>
              <w:t xml:space="preserve"> </w:t>
            </w:r>
            <w:r>
              <w:rPr>
                <w:rFonts w:ascii="Times New Roman" w:hAnsi="Times New Roman" w:cs="宋体"/>
                <w:sz w:val="24"/>
                <w:szCs w:val="24"/>
              </w:rPr>
              <w:t xml:space="preserve"> 本项目</w:t>
            </w:r>
            <w:r>
              <w:rPr>
                <w:rFonts w:hint="eastAsia" w:ascii="Times New Roman" w:hAnsi="Times New Roman" w:cs="宋体"/>
                <w:sz w:val="24"/>
                <w:szCs w:val="24"/>
                <w:lang w:eastAsia="zh-CN"/>
              </w:rPr>
              <w:t>废水</w:t>
            </w:r>
            <w:r>
              <w:rPr>
                <w:rFonts w:hint="eastAsia" w:ascii="Times New Roman" w:hAnsi="Times New Roman" w:cs="宋体"/>
                <w:sz w:val="24"/>
                <w:szCs w:val="24"/>
              </w:rPr>
              <w:t>污染物排放</w:t>
            </w:r>
            <w:r>
              <w:rPr>
                <w:rFonts w:ascii="Times New Roman" w:hAnsi="Times New Roman" w:cs="宋体"/>
                <w:sz w:val="24"/>
                <w:szCs w:val="24"/>
              </w:rPr>
              <w:t>标准</w:t>
            </w:r>
          </w:p>
          <w:tbl>
            <w:tblPr>
              <w:tblStyle w:val="20"/>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38"/>
              <w:gridCol w:w="1444"/>
              <w:gridCol w:w="1424"/>
              <w:gridCol w:w="3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10" w:hRule="atLeast"/>
                <w:jc w:val="center"/>
              </w:trPr>
              <w:tc>
                <w:tcPr>
                  <w:tcW w:w="2538"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标准名称</w:t>
                  </w:r>
                </w:p>
              </w:tc>
              <w:tc>
                <w:tcPr>
                  <w:tcW w:w="1444"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适用</w:t>
                  </w:r>
                </w:p>
                <w:p>
                  <w:pPr>
                    <w:pStyle w:val="47"/>
                    <w:spacing w:line="300" w:lineRule="exact"/>
                    <w:rPr>
                      <w:rFonts w:ascii="Times New Roman" w:hAnsi="Times New Roman"/>
                      <w:b/>
                      <w:bCs/>
                      <w:sz w:val="24"/>
                      <w:szCs w:val="24"/>
                    </w:rPr>
                  </w:pPr>
                  <w:r>
                    <w:rPr>
                      <w:rFonts w:ascii="Times New Roman" w:hAnsi="Times New Roman"/>
                      <w:b/>
                      <w:bCs/>
                      <w:sz w:val="24"/>
                      <w:szCs w:val="24"/>
                    </w:rPr>
                    <w:t>类别</w:t>
                  </w:r>
                </w:p>
              </w:tc>
              <w:tc>
                <w:tcPr>
                  <w:tcW w:w="1424"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污染因子</w:t>
                  </w:r>
                </w:p>
              </w:tc>
              <w:tc>
                <w:tcPr>
                  <w:tcW w:w="3665"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9" w:hRule="atLeast"/>
                <w:jc w:val="center"/>
              </w:trPr>
              <w:tc>
                <w:tcPr>
                  <w:tcW w:w="2538" w:type="dxa"/>
                  <w:vMerge w:val="restart"/>
                  <w:noWrap w:val="0"/>
                  <w:vAlign w:val="center"/>
                </w:tcPr>
                <w:p>
                  <w:pPr>
                    <w:spacing w:line="320" w:lineRule="exact"/>
                    <w:ind w:left="-108" w:right="-102"/>
                    <w:jc w:val="center"/>
                    <w:rPr>
                      <w:rFonts w:hint="eastAsia" w:ascii="宋体" w:hAnsi="宋体" w:eastAsia="宋体" w:cs="宋体"/>
                      <w:sz w:val="24"/>
                      <w:szCs w:val="24"/>
                      <w:lang w:eastAsia="zh-CN"/>
                    </w:rPr>
                  </w:pPr>
                  <w:r>
                    <w:rPr>
                      <w:rFonts w:hint="eastAsia" w:ascii="宋体" w:hAnsi="宋体" w:eastAsia="宋体" w:cs="宋体"/>
                      <w:sz w:val="24"/>
                      <w:szCs w:val="24"/>
                    </w:rPr>
                    <w:t>《污水综合排放标准》(GB8978-1996)表4中三级标准</w:t>
                  </w:r>
                  <w:r>
                    <w:rPr>
                      <w:rFonts w:hint="eastAsia" w:ascii="宋体" w:hAnsi="宋体" w:eastAsia="宋体" w:cs="宋体"/>
                      <w:sz w:val="24"/>
                      <w:szCs w:val="24"/>
                      <w:lang w:eastAsia="zh-CN"/>
                    </w:rPr>
                    <w:t>；</w:t>
                  </w:r>
                  <w:r>
                    <w:rPr>
                      <w:rFonts w:hint="eastAsia" w:ascii="Times New Roman" w:hAnsi="Times New Roman"/>
                      <w:sz w:val="24"/>
                      <w:szCs w:val="24"/>
                      <w:lang w:eastAsia="zh-CN"/>
                    </w:rPr>
                    <w:t>吉安市</w:t>
                  </w:r>
                  <w:r>
                    <w:rPr>
                      <w:rFonts w:hint="eastAsia" w:hAnsi="宋体"/>
                      <w:sz w:val="24"/>
                    </w:rPr>
                    <w:t>新源污水处理厂接管标准</w:t>
                  </w:r>
                </w:p>
                <w:p>
                  <w:pPr>
                    <w:pStyle w:val="47"/>
                    <w:spacing w:line="300" w:lineRule="exact"/>
                    <w:rPr>
                      <w:rFonts w:hint="eastAsia" w:ascii="宋体" w:hAnsi="宋体" w:eastAsia="宋体" w:cs="宋体"/>
                      <w:sz w:val="24"/>
                      <w:szCs w:val="24"/>
                    </w:rPr>
                  </w:pPr>
                </w:p>
              </w:tc>
              <w:tc>
                <w:tcPr>
                  <w:tcW w:w="1444" w:type="dxa"/>
                  <w:vMerge w:val="restart"/>
                  <w:noWrap w:val="0"/>
                  <w:vAlign w:val="center"/>
                </w:tcPr>
                <w:p>
                  <w:pPr>
                    <w:pStyle w:val="47"/>
                    <w:spacing w:line="300" w:lineRule="exact"/>
                    <w:rPr>
                      <w:rFonts w:hint="default" w:ascii="宋体" w:hAnsi="宋体" w:eastAsia="宋体" w:cs="宋体"/>
                      <w:sz w:val="24"/>
                      <w:szCs w:val="24"/>
                      <w:lang w:val="en-US" w:eastAsia="zh-CN"/>
                    </w:rPr>
                  </w:pPr>
                  <w:r>
                    <w:rPr>
                      <w:rFonts w:hint="eastAsia" w:eastAsia="宋体" w:cs="宋体"/>
                      <w:sz w:val="24"/>
                      <w:szCs w:val="24"/>
                      <w:lang w:val="en-US" w:eastAsia="zh-CN"/>
                    </w:rPr>
                    <w:t>/</w:t>
                  </w:r>
                </w:p>
              </w:tc>
              <w:tc>
                <w:tcPr>
                  <w:tcW w:w="1424" w:type="dxa"/>
                  <w:noWrap w:val="0"/>
                  <w:vAlign w:val="center"/>
                </w:tcPr>
                <w:p>
                  <w:pPr>
                    <w:pStyle w:val="25"/>
                    <w:jc w:val="center"/>
                    <w:rPr>
                      <w:rFonts w:hint="eastAsia" w:ascii="Times New Roman" w:hAnsi="Times New Roman" w:eastAsia="宋体"/>
                      <w:sz w:val="24"/>
                      <w:szCs w:val="24"/>
                      <w:lang w:eastAsia="zh-CN"/>
                    </w:rPr>
                  </w:pPr>
                  <w:r>
                    <w:rPr>
                      <w:rFonts w:hint="eastAsia" w:ascii="Times New Roman" w:hAnsi="Times New Roman"/>
                      <w:sz w:val="24"/>
                      <w:szCs w:val="24"/>
                    </w:rPr>
                    <w:t>pH</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25"/>
                    <w:jc w:val="center"/>
                    <w:rPr>
                      <w:rFonts w:hint="eastAsia" w:ascii="Times New Roman" w:hAnsi="Times New Roman"/>
                      <w:sz w:val="24"/>
                      <w:szCs w:val="24"/>
                      <w:lang w:eastAsia="zh-CN"/>
                    </w:rPr>
                  </w:pPr>
                  <w:r>
                    <w:rPr>
                      <w:rFonts w:hint="eastAsia" w:ascii="Times New Roman" w:hAnsi="Times New Roman"/>
                      <w:sz w:val="24"/>
                      <w:szCs w:val="24"/>
                    </w:rPr>
                    <w:t>化学需氧量</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25"/>
                    <w:jc w:val="center"/>
                    <w:rPr>
                      <w:rFonts w:hint="eastAsia" w:ascii="Times New Roman" w:hAnsi="Times New Roman"/>
                      <w:sz w:val="24"/>
                      <w:szCs w:val="24"/>
                      <w:lang w:eastAsia="zh-CN"/>
                    </w:rPr>
                  </w:pPr>
                  <w:r>
                    <w:rPr>
                      <w:rFonts w:hint="eastAsia" w:ascii="Times New Roman" w:hAnsi="Times New Roman"/>
                      <w:sz w:val="24"/>
                      <w:szCs w:val="24"/>
                    </w:rPr>
                    <w:t>悬浮物</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25"/>
                    <w:jc w:val="center"/>
                    <w:rPr>
                      <w:rFonts w:hint="eastAsia" w:ascii="Times New Roman" w:hAnsi="Times New Roman"/>
                      <w:sz w:val="24"/>
                      <w:szCs w:val="24"/>
                      <w:lang w:eastAsia="zh-CN"/>
                    </w:rPr>
                  </w:pPr>
                  <w:r>
                    <w:rPr>
                      <w:rFonts w:hint="eastAsia" w:ascii="Times New Roman" w:hAnsi="Times New Roman"/>
                      <w:sz w:val="24"/>
                      <w:szCs w:val="24"/>
                      <w:lang w:eastAsia="zh-CN"/>
                    </w:rPr>
                    <w:t>生化需氧量</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25"/>
                    <w:jc w:val="center"/>
                    <w:rPr>
                      <w:rFonts w:hint="eastAsia" w:ascii="Times New Roman" w:hAnsi="Times New Roman"/>
                      <w:sz w:val="24"/>
                      <w:szCs w:val="24"/>
                      <w:lang w:eastAsia="zh-CN"/>
                    </w:rPr>
                  </w:pPr>
                  <w:r>
                    <w:rPr>
                      <w:rFonts w:hint="eastAsia" w:ascii="Times New Roman" w:hAnsi="Times New Roman"/>
                      <w:sz w:val="24"/>
                      <w:szCs w:val="24"/>
                      <w:lang w:eastAsia="zh-CN"/>
                    </w:rPr>
                    <w:t>石油类</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9"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25"/>
                    <w:jc w:val="center"/>
                    <w:rPr>
                      <w:rFonts w:hint="eastAsia" w:ascii="Times New Roman" w:hAnsi="Times New Roman"/>
                      <w:sz w:val="24"/>
                      <w:szCs w:val="24"/>
                      <w:lang w:eastAsia="zh-CN"/>
                    </w:rPr>
                  </w:pPr>
                  <w:r>
                    <w:rPr>
                      <w:rFonts w:hint="eastAsia" w:ascii="Times New Roman" w:hAnsi="Times New Roman"/>
                      <w:sz w:val="24"/>
                      <w:szCs w:val="24"/>
                      <w:lang w:eastAsia="zh-CN"/>
                    </w:rPr>
                    <w:t>氨氮</w:t>
                  </w:r>
                </w:p>
              </w:tc>
              <w:tc>
                <w:tcPr>
                  <w:tcW w:w="3665" w:type="dxa"/>
                  <w:noWrap w:val="0"/>
                  <w:vAlign w:val="center"/>
                </w:tcPr>
                <w:p>
                  <w:pPr>
                    <w:pStyle w:val="25"/>
                    <w:jc w:val="center"/>
                    <w:rPr>
                      <w:rFonts w:hint="default" w:ascii="Times New Roman" w:hAnsi="Times New Roman" w:eastAsia="宋体"/>
                      <w:color w:val="000000" w:themeColor="text1"/>
                      <w:sz w:val="24"/>
                      <w:szCs w:val="24"/>
                      <w:lang w:val="en-US" w:eastAsia="zh-CN"/>
                    </w:rPr>
                  </w:pPr>
                  <w:r>
                    <w:rPr>
                      <w:rFonts w:hint="eastAsia" w:ascii="Times New Roman" w:hAnsi="Times New Roman"/>
                      <w:color w:val="000000" w:themeColor="text1"/>
                      <w:sz w:val="24"/>
                      <w:szCs w:val="24"/>
                      <w:lang w:val="en-US" w:eastAsia="zh-CN"/>
                    </w:rPr>
                    <w:t>23</w:t>
                  </w:r>
                </w:p>
              </w:tc>
            </w:tr>
          </w:tbl>
          <w:p>
            <w:pPr>
              <w:spacing w:line="360" w:lineRule="auto"/>
              <w:ind w:firstLine="480" w:firstLineChars="200"/>
              <w:rPr>
                <w:rFonts w:ascii="Times New Roman" w:hAnsi="Times New Roman"/>
                <w:sz w:val="24"/>
                <w:szCs w:val="24"/>
              </w:rPr>
            </w:pPr>
            <w:r>
              <w:rPr>
                <w:rFonts w:hint="eastAsia" w:ascii="Times New Roman" w:hAnsi="Times New Roman"/>
                <w:sz w:val="24"/>
                <w:szCs w:val="24"/>
              </w:rPr>
              <w:t>2、</w:t>
            </w:r>
            <w:r>
              <w:rPr>
                <w:rFonts w:ascii="Times New Roman" w:hAnsi="Times New Roman"/>
                <w:sz w:val="24"/>
                <w:szCs w:val="24"/>
              </w:rPr>
              <w:t>运营过程中，无组织</w:t>
            </w:r>
            <w:r>
              <w:rPr>
                <w:rFonts w:hint="eastAsia" w:ascii="Times New Roman" w:hAnsi="Times New Roman"/>
                <w:sz w:val="24"/>
                <w:szCs w:val="24"/>
                <w:lang w:eastAsia="zh-CN"/>
              </w:rPr>
              <w:t>废气</w:t>
            </w:r>
            <w:r>
              <w:rPr>
                <w:rFonts w:ascii="Times New Roman" w:hAnsi="Times New Roman"/>
                <w:sz w:val="24"/>
                <w:szCs w:val="24"/>
              </w:rPr>
              <w:t>排放的浓度执行《大气污染物综合排放标准》（GB16297-1996）表2中厂界标准限值</w:t>
            </w:r>
            <w:r>
              <w:rPr>
                <w:rFonts w:hint="eastAsia" w:ascii="Times New Roman" w:hAnsi="Times New Roman"/>
                <w:sz w:val="24"/>
                <w:szCs w:val="24"/>
              </w:rPr>
              <w:t>，</w:t>
            </w:r>
            <w:r>
              <w:rPr>
                <w:rFonts w:ascii="Times New Roman" w:hAnsi="Times New Roman"/>
                <w:sz w:val="24"/>
                <w:szCs w:val="24"/>
              </w:rPr>
              <w:t>见表</w:t>
            </w:r>
            <w:r>
              <w:rPr>
                <w:rFonts w:hint="eastAsia" w:ascii="Times New Roman" w:hAnsi="Times New Roman"/>
                <w:sz w:val="24"/>
                <w:szCs w:val="24"/>
                <w:lang w:val="en-US" w:eastAsia="zh-CN"/>
              </w:rPr>
              <w:t>2</w:t>
            </w:r>
            <w:r>
              <w:rPr>
                <w:rFonts w:ascii="Times New Roman" w:hAnsi="Times New Roman"/>
                <w:sz w:val="24"/>
                <w:szCs w:val="24"/>
              </w:rPr>
              <w:t>-</w:t>
            </w:r>
            <w:r>
              <w:rPr>
                <w:rFonts w:hint="eastAsia" w:ascii="Times New Roman" w:hAnsi="Times New Roman"/>
                <w:sz w:val="24"/>
                <w:szCs w:val="24"/>
                <w:lang w:val="en-US" w:eastAsia="zh-CN"/>
              </w:rPr>
              <w:t>1</w:t>
            </w:r>
            <w:r>
              <w:rPr>
                <w:rFonts w:ascii="Times New Roman" w:hAnsi="Times New Roman"/>
                <w:sz w:val="24"/>
                <w:szCs w:val="24"/>
              </w:rPr>
              <w:t>。</w:t>
            </w:r>
          </w:p>
          <w:p>
            <w:pPr>
              <w:pStyle w:val="46"/>
              <w:spacing w:beforeLines="0"/>
              <w:ind w:firstLine="482" w:firstLineChars="200"/>
              <w:rPr>
                <w:rFonts w:ascii="Times New Roman" w:hAnsi="Times New Roman" w:cs="宋体"/>
                <w:sz w:val="24"/>
                <w:szCs w:val="24"/>
              </w:rPr>
            </w:pPr>
            <w:r>
              <w:rPr>
                <w:rFonts w:ascii="Times New Roman" w:hAnsi="Times New Roman" w:cs="宋体"/>
                <w:sz w:val="24"/>
                <w:szCs w:val="24"/>
              </w:rPr>
              <w:t>表</w:t>
            </w:r>
            <w:r>
              <w:rPr>
                <w:rFonts w:hint="eastAsia" w:ascii="Times New Roman" w:hAnsi="Times New Roman" w:cs="宋体"/>
                <w:sz w:val="24"/>
                <w:szCs w:val="24"/>
                <w:lang w:val="en-US" w:eastAsia="zh-CN"/>
              </w:rPr>
              <w:t>2</w:t>
            </w:r>
            <w:r>
              <w:rPr>
                <w:rFonts w:hint="eastAsia" w:ascii="Times New Roman" w:hAnsi="Times New Roman" w:cs="宋体"/>
                <w:sz w:val="24"/>
                <w:szCs w:val="24"/>
              </w:rPr>
              <w:t>-</w:t>
            </w:r>
            <w:r>
              <w:rPr>
                <w:rFonts w:hint="eastAsia" w:ascii="Times New Roman" w:hAnsi="Times New Roman" w:cs="宋体"/>
                <w:sz w:val="24"/>
                <w:szCs w:val="24"/>
                <w:lang w:val="en-US" w:eastAsia="zh-CN"/>
              </w:rPr>
              <w:t>1</w:t>
            </w:r>
            <w:r>
              <w:rPr>
                <w:rFonts w:hint="eastAsia" w:ascii="Times New Roman" w:hAnsi="Times New Roman" w:cs="宋体"/>
                <w:sz w:val="24"/>
                <w:szCs w:val="24"/>
              </w:rPr>
              <w:t xml:space="preserve"> </w:t>
            </w:r>
            <w:r>
              <w:rPr>
                <w:rFonts w:ascii="Times New Roman" w:hAnsi="Times New Roman" w:cs="宋体"/>
                <w:sz w:val="24"/>
                <w:szCs w:val="24"/>
              </w:rPr>
              <w:t xml:space="preserve"> 本项目</w:t>
            </w:r>
            <w:r>
              <w:rPr>
                <w:rFonts w:hint="eastAsia" w:ascii="Times New Roman" w:hAnsi="Times New Roman" w:cs="宋体"/>
                <w:sz w:val="24"/>
                <w:szCs w:val="24"/>
              </w:rPr>
              <w:t>大气污染物排放</w:t>
            </w:r>
            <w:r>
              <w:rPr>
                <w:rFonts w:ascii="Times New Roman" w:hAnsi="Times New Roman" w:cs="宋体"/>
                <w:sz w:val="24"/>
                <w:szCs w:val="24"/>
              </w:rPr>
              <w:t>标准</w:t>
            </w:r>
          </w:p>
          <w:tbl>
            <w:tblPr>
              <w:tblStyle w:val="20"/>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38"/>
              <w:gridCol w:w="1444"/>
              <w:gridCol w:w="1424"/>
              <w:gridCol w:w="36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10" w:hRule="atLeast"/>
                <w:jc w:val="center"/>
              </w:trPr>
              <w:tc>
                <w:tcPr>
                  <w:tcW w:w="2538"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标准名称</w:t>
                  </w:r>
                </w:p>
              </w:tc>
              <w:tc>
                <w:tcPr>
                  <w:tcW w:w="1444"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适用</w:t>
                  </w:r>
                </w:p>
                <w:p>
                  <w:pPr>
                    <w:pStyle w:val="47"/>
                    <w:spacing w:line="300" w:lineRule="exact"/>
                    <w:rPr>
                      <w:rFonts w:ascii="Times New Roman" w:hAnsi="Times New Roman"/>
                      <w:b/>
                      <w:bCs/>
                      <w:sz w:val="24"/>
                      <w:szCs w:val="24"/>
                    </w:rPr>
                  </w:pPr>
                  <w:r>
                    <w:rPr>
                      <w:rFonts w:ascii="Times New Roman" w:hAnsi="Times New Roman"/>
                      <w:b/>
                      <w:bCs/>
                      <w:sz w:val="24"/>
                      <w:szCs w:val="24"/>
                    </w:rPr>
                    <w:t>类别</w:t>
                  </w:r>
                </w:p>
              </w:tc>
              <w:tc>
                <w:tcPr>
                  <w:tcW w:w="1424"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污染因子</w:t>
                  </w:r>
                </w:p>
              </w:tc>
              <w:tc>
                <w:tcPr>
                  <w:tcW w:w="3665"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2538" w:type="dxa"/>
                  <w:vMerge w:val="restart"/>
                  <w:noWrap w:val="0"/>
                  <w:vAlign w:val="center"/>
                </w:tcPr>
                <w:p>
                  <w:pPr>
                    <w:pStyle w:val="47"/>
                    <w:spacing w:line="300" w:lineRule="exact"/>
                    <w:rPr>
                      <w:rFonts w:ascii="Times New Roman" w:hAnsi="Times New Roman"/>
                      <w:sz w:val="24"/>
                      <w:szCs w:val="24"/>
                    </w:rPr>
                  </w:pPr>
                  <w:r>
                    <w:rPr>
                      <w:rFonts w:ascii="Times New Roman" w:hAnsi="Times New Roman"/>
                      <w:sz w:val="24"/>
                      <w:szCs w:val="24"/>
                    </w:rPr>
                    <w:t>《大气污染物综合排放标准》（GB16297-1996）</w:t>
                  </w:r>
                </w:p>
              </w:tc>
              <w:tc>
                <w:tcPr>
                  <w:tcW w:w="1444" w:type="dxa"/>
                  <w:vMerge w:val="restart"/>
                  <w:noWrap w:val="0"/>
                  <w:vAlign w:val="center"/>
                </w:tcPr>
                <w:p>
                  <w:pPr>
                    <w:pStyle w:val="3"/>
                    <w:spacing w:line="360" w:lineRule="exact"/>
                    <w:ind w:left="0" w:leftChars="0" w:firstLine="0" w:firstLineChars="0"/>
                    <w:rPr>
                      <w:rFonts w:hint="eastAsia" w:ascii="宋体" w:hAnsi="宋体" w:eastAsia="宋体" w:cs="宋体"/>
                      <w:b w:val="0"/>
                      <w:bCs w:val="0"/>
                      <w:kern w:val="2"/>
                      <w:sz w:val="24"/>
                      <w:szCs w:val="24"/>
                    </w:rPr>
                  </w:pPr>
                  <w:r>
                    <w:rPr>
                      <w:rFonts w:hint="eastAsia" w:ascii="宋体" w:hAnsi="宋体" w:eastAsia="宋体" w:cs="宋体"/>
                      <w:b w:val="0"/>
                      <w:bCs w:val="0"/>
                      <w:sz w:val="24"/>
                      <w:szCs w:val="24"/>
                    </w:rPr>
                    <w:t>表2</w:t>
                  </w:r>
                  <w:r>
                    <w:rPr>
                      <w:rFonts w:hint="eastAsia" w:ascii="宋体" w:hAnsi="宋体" w:eastAsia="宋体" w:cs="宋体"/>
                      <w:b w:val="0"/>
                      <w:bCs w:val="0"/>
                      <w:sz w:val="24"/>
                      <w:szCs w:val="24"/>
                      <w:lang w:eastAsia="zh-CN"/>
                    </w:rPr>
                    <w:t>中</w:t>
                  </w:r>
                  <w:r>
                    <w:rPr>
                      <w:rFonts w:hint="eastAsia" w:ascii="宋体" w:hAnsi="宋体" w:eastAsia="宋体" w:cs="宋体"/>
                      <w:b w:val="0"/>
                      <w:bCs w:val="0"/>
                      <w:sz w:val="24"/>
                      <w:szCs w:val="24"/>
                    </w:rPr>
                    <w:t>二级标准</w:t>
                  </w:r>
                </w:p>
                <w:p>
                  <w:pPr>
                    <w:pStyle w:val="47"/>
                    <w:spacing w:line="300" w:lineRule="exact"/>
                    <w:rPr>
                      <w:rFonts w:hint="eastAsia" w:ascii="宋体" w:hAnsi="宋体" w:eastAsia="宋体" w:cs="宋体"/>
                      <w:b w:val="0"/>
                      <w:bCs w:val="0"/>
                      <w:sz w:val="24"/>
                      <w:szCs w:val="24"/>
                      <w:lang w:val="en-US" w:eastAsia="zh-CN"/>
                    </w:rPr>
                  </w:pPr>
                </w:p>
              </w:tc>
              <w:tc>
                <w:tcPr>
                  <w:tcW w:w="1424" w:type="dxa"/>
                  <w:noWrap w:val="0"/>
                  <w:vAlign w:val="center"/>
                </w:tcPr>
                <w:p>
                  <w:pPr>
                    <w:pStyle w:val="47"/>
                    <w:spacing w:line="300" w:lineRule="exact"/>
                    <w:rPr>
                      <w:rFonts w:hint="eastAsia" w:ascii="Times New Roman" w:hAnsi="Times New Roman" w:eastAsia="宋体"/>
                      <w:sz w:val="24"/>
                      <w:szCs w:val="24"/>
                      <w:lang w:eastAsia="zh-CN"/>
                    </w:rPr>
                  </w:pPr>
                  <w:r>
                    <w:rPr>
                      <w:rFonts w:hint="eastAsia" w:ascii="Times New Roman" w:hAnsi="Times New Roman"/>
                      <w:sz w:val="24"/>
                      <w:szCs w:val="24"/>
                      <w:lang w:eastAsia="zh-CN"/>
                    </w:rPr>
                    <w:t>颗粒物</w:t>
                  </w:r>
                </w:p>
              </w:tc>
              <w:tc>
                <w:tcPr>
                  <w:tcW w:w="3665" w:type="dxa"/>
                  <w:noWrap w:val="0"/>
                  <w:vAlign w:val="center"/>
                </w:tcPr>
                <w:p>
                  <w:pPr>
                    <w:pStyle w:val="47"/>
                    <w:spacing w:line="300" w:lineRule="exact"/>
                    <w:rPr>
                      <w:rFonts w:ascii="Times New Roman" w:hAnsi="Times New Roman"/>
                      <w:sz w:val="24"/>
                      <w:szCs w:val="24"/>
                    </w:rPr>
                  </w:pPr>
                  <w:r>
                    <w:rPr>
                      <w:rFonts w:ascii="Times New Roman" w:hAnsi="Times New Roman"/>
                      <w:sz w:val="24"/>
                      <w:szCs w:val="24"/>
                    </w:rPr>
                    <w:t>周界外浓度最高点</w:t>
                  </w:r>
                  <w:r>
                    <w:rPr>
                      <w:rFonts w:hint="eastAsia" w:ascii="Times New Roman" w:hAnsi="Times New Roman"/>
                      <w:sz w:val="24"/>
                      <w:szCs w:val="24"/>
                      <w:lang w:val="en-US" w:eastAsia="zh-CN"/>
                    </w:rPr>
                    <w:t>1.0</w:t>
                  </w:r>
                  <w:r>
                    <w:rPr>
                      <w:rFonts w:ascii="Times New Roman" w:hAnsi="Times New Roman"/>
                      <w:sz w:val="24"/>
                      <w:szCs w:val="24"/>
                    </w:rPr>
                    <w:t>mg/m</w:t>
                  </w:r>
                  <w:r>
                    <w:rPr>
                      <w:rFonts w:ascii="Times New Roman" w:hAnsi="Times New Roman"/>
                      <w:sz w:val="24"/>
                      <w:szCs w:val="24"/>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2538" w:type="dxa"/>
                  <w:vMerge w:val="continue"/>
                  <w:noWrap w:val="0"/>
                  <w:vAlign w:val="center"/>
                </w:tcPr>
                <w:p>
                  <w:pPr>
                    <w:pStyle w:val="47"/>
                    <w:spacing w:line="300" w:lineRule="exact"/>
                    <w:rPr>
                      <w:rFonts w:ascii="Times New Roman" w:hAnsi="Times New Roman"/>
                      <w:sz w:val="24"/>
                      <w:szCs w:val="24"/>
                    </w:rPr>
                  </w:pPr>
                </w:p>
              </w:tc>
              <w:tc>
                <w:tcPr>
                  <w:tcW w:w="1444" w:type="dxa"/>
                  <w:vMerge w:val="continue"/>
                  <w:noWrap w:val="0"/>
                  <w:vAlign w:val="center"/>
                </w:tcPr>
                <w:p>
                  <w:pPr>
                    <w:pStyle w:val="47"/>
                    <w:spacing w:line="300" w:lineRule="exact"/>
                    <w:rPr>
                      <w:rFonts w:ascii="Times New Roman" w:hAnsi="Times New Roman"/>
                      <w:sz w:val="24"/>
                      <w:szCs w:val="24"/>
                    </w:rPr>
                  </w:pPr>
                </w:p>
              </w:tc>
              <w:tc>
                <w:tcPr>
                  <w:tcW w:w="1424" w:type="dxa"/>
                  <w:noWrap w:val="0"/>
                  <w:vAlign w:val="center"/>
                </w:tcPr>
                <w:p>
                  <w:pPr>
                    <w:pStyle w:val="47"/>
                    <w:spacing w:line="300" w:lineRule="exact"/>
                    <w:rPr>
                      <w:rFonts w:hint="eastAsia" w:ascii="Times New Roman" w:hAnsi="Times New Roman" w:eastAsiaTheme="minorEastAsia"/>
                      <w:sz w:val="24"/>
                      <w:szCs w:val="24"/>
                      <w:lang w:val="en-US" w:eastAsia="zh-CN"/>
                    </w:rPr>
                  </w:pPr>
                  <w:r>
                    <w:rPr>
                      <w:rFonts w:hint="eastAsia" w:ascii="Times New Roman" w:hAnsi="Times New Roman"/>
                      <w:sz w:val="24"/>
                      <w:szCs w:val="24"/>
                      <w:lang w:val="en-US" w:eastAsia="zh-CN"/>
                    </w:rPr>
                    <w:t>非甲烷总烃</w:t>
                  </w:r>
                </w:p>
              </w:tc>
              <w:tc>
                <w:tcPr>
                  <w:tcW w:w="3665" w:type="dxa"/>
                  <w:noWrap w:val="0"/>
                  <w:vAlign w:val="center"/>
                </w:tcPr>
                <w:p>
                  <w:pPr>
                    <w:pStyle w:val="47"/>
                    <w:spacing w:line="300" w:lineRule="exact"/>
                    <w:rPr>
                      <w:rFonts w:ascii="Times New Roman" w:hAnsi="Times New Roman"/>
                      <w:sz w:val="24"/>
                      <w:szCs w:val="24"/>
                    </w:rPr>
                  </w:pPr>
                  <w:r>
                    <w:rPr>
                      <w:rFonts w:ascii="Times New Roman" w:hAnsi="Times New Roman"/>
                      <w:sz w:val="24"/>
                      <w:szCs w:val="24"/>
                    </w:rPr>
                    <w:t>周界外浓度最高点</w:t>
                  </w:r>
                  <w:r>
                    <w:rPr>
                      <w:rFonts w:hint="eastAsia" w:ascii="Times New Roman" w:hAnsi="Times New Roman"/>
                      <w:sz w:val="24"/>
                      <w:szCs w:val="24"/>
                      <w:lang w:val="en-US" w:eastAsia="zh-CN"/>
                    </w:rPr>
                    <w:t>4.0</w:t>
                  </w:r>
                  <w:r>
                    <w:rPr>
                      <w:rFonts w:ascii="Times New Roman" w:hAnsi="Times New Roman"/>
                      <w:sz w:val="24"/>
                      <w:szCs w:val="24"/>
                    </w:rPr>
                    <w:t>mg/m</w:t>
                  </w:r>
                  <w:r>
                    <w:rPr>
                      <w:rFonts w:ascii="Times New Roman" w:hAnsi="Times New Roman"/>
                      <w:sz w:val="24"/>
                      <w:szCs w:val="24"/>
                      <w:vertAlign w:val="superscript"/>
                    </w:rPr>
                    <w:t>3</w:t>
                  </w:r>
                </w:p>
              </w:tc>
            </w:tr>
          </w:tbl>
          <w:p>
            <w:pPr>
              <w:numPr>
                <w:ilvl w:val="0"/>
                <w:numId w:val="1"/>
              </w:numPr>
              <w:spacing w:line="360" w:lineRule="auto"/>
              <w:ind w:firstLine="480" w:firstLineChars="200"/>
              <w:rPr>
                <w:rFonts w:ascii="Times New Roman" w:hAnsi="Times New Roman"/>
                <w:sz w:val="24"/>
                <w:szCs w:val="24"/>
              </w:rPr>
            </w:pPr>
            <w:r>
              <w:rPr>
                <w:rFonts w:ascii="Times New Roman" w:hAnsi="Times New Roman"/>
                <w:sz w:val="24"/>
                <w:szCs w:val="24"/>
              </w:rPr>
              <w:t>营运期噪声执行《工业企业厂界环境噪声排放标准》（GB12348-2008）中</w:t>
            </w:r>
            <w:r>
              <w:rPr>
                <w:rFonts w:hint="eastAsia" w:ascii="Times New Roman" w:hAnsi="Times New Roman"/>
                <w:sz w:val="24"/>
                <w:szCs w:val="24"/>
                <w:lang w:val="en-US" w:eastAsia="zh-CN"/>
              </w:rPr>
              <w:t>2</w:t>
            </w:r>
            <w:r>
              <w:rPr>
                <w:rFonts w:ascii="Times New Roman" w:hAnsi="Times New Roman"/>
                <w:sz w:val="24"/>
                <w:szCs w:val="24"/>
              </w:rPr>
              <w:t>类标准</w:t>
            </w:r>
            <w:r>
              <w:rPr>
                <w:rFonts w:hint="eastAsia" w:ascii="Times New Roman" w:hAnsi="Times New Roman"/>
                <w:sz w:val="24"/>
                <w:szCs w:val="24"/>
              </w:rPr>
              <w:t>，</w:t>
            </w:r>
            <w:r>
              <w:rPr>
                <w:rFonts w:ascii="Times New Roman" w:hAnsi="Times New Roman"/>
                <w:sz w:val="24"/>
                <w:szCs w:val="24"/>
              </w:rPr>
              <w:t>具体内容见表</w:t>
            </w:r>
            <w:r>
              <w:rPr>
                <w:rFonts w:hint="eastAsia" w:ascii="Times New Roman" w:hAnsi="Times New Roman"/>
                <w:sz w:val="24"/>
                <w:szCs w:val="24"/>
                <w:lang w:val="en-US" w:eastAsia="zh-CN"/>
              </w:rPr>
              <w:t>3</w:t>
            </w:r>
            <w:r>
              <w:rPr>
                <w:rFonts w:ascii="Times New Roman" w:hAnsi="Times New Roman"/>
                <w:sz w:val="24"/>
                <w:szCs w:val="24"/>
              </w:rPr>
              <w:t>-</w:t>
            </w:r>
            <w:r>
              <w:rPr>
                <w:rFonts w:hint="eastAsia" w:ascii="Times New Roman" w:hAnsi="Times New Roman"/>
                <w:sz w:val="24"/>
                <w:szCs w:val="24"/>
                <w:lang w:val="en-US" w:eastAsia="zh-CN"/>
              </w:rPr>
              <w:t>1</w:t>
            </w:r>
            <w:r>
              <w:rPr>
                <w:rFonts w:hint="eastAsia" w:ascii="Times New Roman" w:hAnsi="Times New Roman"/>
                <w:sz w:val="24"/>
                <w:szCs w:val="24"/>
              </w:rPr>
              <w:t>。</w:t>
            </w:r>
          </w:p>
          <w:p>
            <w:pPr>
              <w:spacing w:line="360" w:lineRule="auto"/>
              <w:ind w:firstLine="482" w:firstLineChars="200"/>
              <w:jc w:val="center"/>
              <w:rPr>
                <w:rFonts w:ascii="Times New Roman" w:hAnsi="Times New Roman"/>
                <w:b/>
                <w:sz w:val="24"/>
                <w:szCs w:val="24"/>
              </w:rPr>
            </w:pPr>
            <w:r>
              <w:rPr>
                <w:rFonts w:ascii="Times New Roman" w:hAnsi="Times New Roman"/>
                <w:b/>
                <w:sz w:val="24"/>
                <w:szCs w:val="24"/>
              </w:rPr>
              <w:t>表</w:t>
            </w:r>
            <w:r>
              <w:rPr>
                <w:rFonts w:hint="eastAsia" w:ascii="Times New Roman" w:hAnsi="Times New Roman"/>
                <w:b/>
                <w:sz w:val="24"/>
                <w:szCs w:val="24"/>
                <w:lang w:val="en-US" w:eastAsia="zh-CN"/>
              </w:rPr>
              <w:t>3</w:t>
            </w:r>
            <w:r>
              <w:rPr>
                <w:rFonts w:ascii="Times New Roman" w:hAnsi="Times New Roman"/>
                <w:b/>
                <w:sz w:val="24"/>
                <w:szCs w:val="24"/>
              </w:rPr>
              <w:t>-</w:t>
            </w:r>
            <w:r>
              <w:rPr>
                <w:rFonts w:hint="eastAsia" w:ascii="Times New Roman" w:hAnsi="Times New Roman"/>
                <w:b/>
                <w:sz w:val="24"/>
                <w:szCs w:val="24"/>
                <w:lang w:val="en-US" w:eastAsia="zh-CN"/>
              </w:rPr>
              <w:t>1</w:t>
            </w:r>
            <w:r>
              <w:rPr>
                <w:rFonts w:ascii="Times New Roman" w:hAnsi="Times New Roman"/>
                <w:b/>
                <w:sz w:val="24"/>
                <w:szCs w:val="24"/>
              </w:rPr>
              <w:t xml:space="preserve">  </w:t>
            </w:r>
            <w:r>
              <w:rPr>
                <w:rFonts w:hint="eastAsia" w:ascii="Times New Roman" w:hAnsi="Times New Roman"/>
                <w:b/>
                <w:sz w:val="24"/>
                <w:szCs w:val="24"/>
              </w:rPr>
              <w:t>厂</w:t>
            </w:r>
            <w:r>
              <w:rPr>
                <w:rFonts w:ascii="Times New Roman" w:hAnsi="Times New Roman"/>
                <w:b/>
                <w:sz w:val="24"/>
                <w:szCs w:val="24"/>
              </w:rPr>
              <w:t>界噪声排放标准</w:t>
            </w:r>
            <w:r>
              <w:rPr>
                <w:rFonts w:hint="eastAsia" w:ascii="Times New Roman" w:hAnsi="Times New Roman"/>
                <w:b/>
                <w:sz w:val="24"/>
                <w:szCs w:val="24"/>
              </w:rPr>
              <w:t>限值</w:t>
            </w:r>
            <w:r>
              <w:rPr>
                <w:rFonts w:ascii="Times New Roman" w:hAnsi="Times New Roman"/>
                <w:b/>
                <w:sz w:val="24"/>
                <w:szCs w:val="24"/>
              </w:rPr>
              <w:t xml:space="preserve">   单位：LeqdB（A）</w:t>
            </w:r>
          </w:p>
          <w:tbl>
            <w:tblPr>
              <w:tblStyle w:val="20"/>
              <w:tblW w:w="87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6"/>
              <w:gridCol w:w="1206"/>
              <w:gridCol w:w="1009"/>
              <w:gridCol w:w="1086"/>
              <w:gridCol w:w="35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96"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适用区域</w:t>
                  </w:r>
                </w:p>
              </w:tc>
              <w:tc>
                <w:tcPr>
                  <w:tcW w:w="1206"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类别</w:t>
                  </w:r>
                </w:p>
              </w:tc>
              <w:tc>
                <w:tcPr>
                  <w:tcW w:w="1009"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昼间</w:t>
                  </w:r>
                </w:p>
              </w:tc>
              <w:tc>
                <w:tcPr>
                  <w:tcW w:w="1086" w:type="dxa"/>
                  <w:noWrap w:val="0"/>
                  <w:vAlign w:val="center"/>
                </w:tcPr>
                <w:p>
                  <w:pPr>
                    <w:pStyle w:val="47"/>
                    <w:spacing w:line="300" w:lineRule="exact"/>
                    <w:rPr>
                      <w:rFonts w:ascii="Times New Roman" w:hAnsi="Times New Roman"/>
                      <w:b/>
                      <w:bCs/>
                      <w:sz w:val="24"/>
                      <w:szCs w:val="24"/>
                    </w:rPr>
                  </w:pPr>
                  <w:r>
                    <w:rPr>
                      <w:rFonts w:hint="eastAsia" w:ascii="Times New Roman" w:hAnsi="Times New Roman"/>
                      <w:b/>
                      <w:bCs/>
                      <w:sz w:val="24"/>
                      <w:szCs w:val="24"/>
                    </w:rPr>
                    <w:t>夜间</w:t>
                  </w:r>
                </w:p>
              </w:tc>
              <w:tc>
                <w:tcPr>
                  <w:tcW w:w="3543"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896" w:type="dxa"/>
                  <w:noWrap w:val="0"/>
                  <w:vAlign w:val="center"/>
                </w:tcPr>
                <w:p>
                  <w:pPr>
                    <w:pStyle w:val="47"/>
                    <w:spacing w:line="300" w:lineRule="exact"/>
                    <w:rPr>
                      <w:rFonts w:hint="eastAsia" w:ascii="Times New Roman" w:hAnsi="Times New Roman"/>
                      <w:sz w:val="24"/>
                      <w:szCs w:val="24"/>
                    </w:rPr>
                  </w:pPr>
                  <w:r>
                    <w:rPr>
                      <w:rFonts w:hint="eastAsia" w:ascii="Times New Roman" w:hAnsi="Times New Roman"/>
                      <w:sz w:val="24"/>
                      <w:szCs w:val="24"/>
                    </w:rPr>
                    <w:t>东、南、西</w:t>
                  </w:r>
                  <w:r>
                    <w:rPr>
                      <w:rFonts w:hint="eastAsia" w:ascii="Times New Roman" w:hAnsi="Times New Roman"/>
                      <w:sz w:val="24"/>
                      <w:szCs w:val="24"/>
                      <w:lang w:eastAsia="zh-CN"/>
                    </w:rPr>
                    <w:t>、北</w:t>
                  </w:r>
                  <w:r>
                    <w:rPr>
                      <w:rFonts w:hint="eastAsia" w:ascii="Times New Roman" w:hAnsi="Times New Roman"/>
                      <w:sz w:val="24"/>
                      <w:szCs w:val="24"/>
                    </w:rPr>
                    <w:t>侧</w:t>
                  </w:r>
                </w:p>
              </w:tc>
              <w:tc>
                <w:tcPr>
                  <w:tcW w:w="1206"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lang w:val="en-US" w:eastAsia="zh-CN"/>
                    </w:rPr>
                    <w:t>2</w:t>
                  </w:r>
                  <w:r>
                    <w:rPr>
                      <w:rFonts w:ascii="Times New Roman" w:hAnsi="Times New Roman"/>
                      <w:sz w:val="24"/>
                      <w:szCs w:val="24"/>
                    </w:rPr>
                    <w:t>类</w:t>
                  </w:r>
                </w:p>
              </w:tc>
              <w:tc>
                <w:tcPr>
                  <w:tcW w:w="1009" w:type="dxa"/>
                  <w:noWrap w:val="0"/>
                  <w:vAlign w:val="center"/>
                </w:tcPr>
                <w:p>
                  <w:pPr>
                    <w:pStyle w:val="47"/>
                    <w:spacing w:line="300" w:lineRule="exact"/>
                    <w:rPr>
                      <w:rFonts w:hint="eastAsia" w:ascii="Times New Roman" w:hAnsi="Times New Roman" w:eastAsiaTheme="minorEastAsia"/>
                      <w:sz w:val="24"/>
                      <w:szCs w:val="24"/>
                      <w:lang w:eastAsia="zh-CN"/>
                    </w:rPr>
                  </w:pPr>
                  <w:r>
                    <w:rPr>
                      <w:rFonts w:hint="eastAsia" w:ascii="Times New Roman" w:hAnsi="Times New Roman"/>
                      <w:sz w:val="24"/>
                      <w:szCs w:val="24"/>
                    </w:rPr>
                    <w:t>6</w:t>
                  </w:r>
                  <w:r>
                    <w:rPr>
                      <w:rFonts w:hint="eastAsia" w:ascii="Times New Roman" w:hAnsi="Times New Roman"/>
                      <w:sz w:val="24"/>
                      <w:szCs w:val="24"/>
                      <w:lang w:val="en-US" w:eastAsia="zh-CN"/>
                    </w:rPr>
                    <w:t>0</w:t>
                  </w:r>
                </w:p>
              </w:tc>
              <w:tc>
                <w:tcPr>
                  <w:tcW w:w="1086" w:type="dxa"/>
                  <w:noWrap w:val="0"/>
                  <w:vAlign w:val="center"/>
                </w:tcPr>
                <w:p>
                  <w:pPr>
                    <w:pStyle w:val="47"/>
                    <w:spacing w:line="300" w:lineRule="exact"/>
                    <w:rPr>
                      <w:rFonts w:hint="eastAsia" w:ascii="Times New Roman" w:hAnsi="Times New Roman" w:eastAsiaTheme="minorEastAsia"/>
                      <w:sz w:val="24"/>
                      <w:szCs w:val="24"/>
                      <w:lang w:eastAsia="zh-CN"/>
                    </w:rPr>
                  </w:pPr>
                  <w:r>
                    <w:rPr>
                      <w:rFonts w:hint="eastAsia" w:ascii="Times New Roman" w:hAnsi="Times New Roman"/>
                      <w:sz w:val="24"/>
                      <w:szCs w:val="24"/>
                    </w:rPr>
                    <w:t>5</w:t>
                  </w:r>
                  <w:r>
                    <w:rPr>
                      <w:rFonts w:hint="eastAsia" w:ascii="Times New Roman" w:hAnsi="Times New Roman"/>
                      <w:sz w:val="24"/>
                      <w:szCs w:val="24"/>
                      <w:lang w:val="en-US" w:eastAsia="zh-CN"/>
                    </w:rPr>
                    <w:t>0</w:t>
                  </w:r>
                </w:p>
              </w:tc>
              <w:tc>
                <w:tcPr>
                  <w:tcW w:w="3543" w:type="dxa"/>
                  <w:noWrap w:val="0"/>
                  <w:vAlign w:val="center"/>
                </w:tcPr>
                <w:p>
                  <w:pPr>
                    <w:pStyle w:val="47"/>
                    <w:spacing w:line="300" w:lineRule="exact"/>
                    <w:rPr>
                      <w:rFonts w:ascii="Times New Roman" w:hAnsi="Times New Roman"/>
                      <w:sz w:val="24"/>
                      <w:szCs w:val="24"/>
                    </w:rPr>
                  </w:pPr>
                  <w:r>
                    <w:rPr>
                      <w:rFonts w:ascii="Times New Roman" w:hAnsi="Times New Roman"/>
                      <w:sz w:val="24"/>
                      <w:szCs w:val="24"/>
                    </w:rPr>
                    <w:t>《工业企业厂界环境噪声排放标准》（GB12348-2008）</w:t>
                  </w:r>
                </w:p>
              </w:tc>
            </w:tr>
          </w:tbl>
          <w:p>
            <w:pPr>
              <w:numPr>
                <w:ilvl w:val="0"/>
                <w:numId w:val="0"/>
              </w:numPr>
              <w:spacing w:before="240" w:line="360" w:lineRule="auto"/>
              <w:ind w:firstLine="480" w:firstLineChars="200"/>
              <w:rPr>
                <w:rFonts w:ascii="Times New Roman" w:hAnsi="Times New Roman"/>
              </w:rPr>
            </w:pPr>
            <w:r>
              <w:rPr>
                <w:rFonts w:hint="eastAsia" w:ascii="宋体" w:hAnsi="宋体" w:eastAsia="宋体" w:cs="宋体"/>
                <w:snapToGrid w:val="0"/>
                <w:sz w:val="24"/>
                <w:szCs w:val="24"/>
                <w:lang w:val="en-US" w:eastAsia="zh-CN"/>
              </w:rPr>
              <w:t>4、</w:t>
            </w:r>
            <w:r>
              <w:rPr>
                <w:rFonts w:hint="eastAsia" w:ascii="宋体" w:hAnsi="宋体" w:eastAsia="宋体" w:cs="宋体"/>
                <w:snapToGrid w:val="0"/>
                <w:sz w:val="24"/>
                <w:szCs w:val="24"/>
              </w:rPr>
              <w:t>一般固体废物执行《一般工业废物贮存、处置场污染控制标准》（GB18599-2001）中的相关规定及其修改单（环境保护部2013年第36号公告）。危险废物执行《危险废物贮存污染控制标准》(GB18597-2001)（2013年修改单）</w:t>
            </w:r>
            <w:r>
              <w:rPr>
                <w:rFonts w:ascii="Times New Roman" w:hAnsi="Times New Roman"/>
                <w:sz w:val="24"/>
                <w:szCs w:val="24"/>
              </w:rPr>
              <w:t>。</w:t>
            </w:r>
          </w:p>
        </w:tc>
      </w:tr>
    </w:tbl>
    <w:p>
      <w:pPr>
        <w:spacing w:line="0" w:lineRule="atLeast"/>
        <w:rPr>
          <w:rFonts w:ascii="Times New Roman" w:hAnsi="Times New Roman"/>
          <w:b/>
          <w:sz w:val="24"/>
        </w:rPr>
      </w:pPr>
    </w:p>
    <w:p>
      <w:pPr>
        <w:spacing w:line="0" w:lineRule="atLeast"/>
        <w:rPr>
          <w:rFonts w:ascii="Times New Roman" w:hAnsi="Times New Roman"/>
          <w:b/>
          <w:sz w:val="24"/>
        </w:rPr>
      </w:pPr>
    </w:p>
    <w:p>
      <w:pPr>
        <w:spacing w:line="0" w:lineRule="atLeast"/>
        <w:rPr>
          <w:rFonts w:ascii="Times New Roman" w:hAnsi="Times New Roman"/>
          <w:b/>
          <w:sz w:val="24"/>
        </w:rPr>
      </w:pPr>
    </w:p>
    <w:p>
      <w:pPr>
        <w:spacing w:line="0" w:lineRule="atLeast"/>
        <w:rPr>
          <w:rFonts w:ascii="Times New Roman" w:hAnsi="Times New Roman"/>
          <w:b/>
          <w:sz w:val="24"/>
        </w:rPr>
      </w:pPr>
    </w:p>
    <w:p>
      <w:pPr>
        <w:spacing w:line="0" w:lineRule="atLeast"/>
        <w:rPr>
          <w:rFonts w:ascii="Times New Roman" w:hAnsi="Times New Roman"/>
          <w:b/>
          <w:sz w:val="24"/>
        </w:rPr>
      </w:pPr>
    </w:p>
    <w:p>
      <w:pPr>
        <w:spacing w:line="0" w:lineRule="atLeast"/>
        <w:rPr>
          <w:rFonts w:ascii="Times New Roman" w:hAnsi="Times New Roman"/>
          <w:b/>
          <w:sz w:val="24"/>
        </w:rPr>
      </w:pPr>
    </w:p>
    <w:p>
      <w:pPr>
        <w:spacing w:line="0" w:lineRule="atLeast"/>
        <w:rPr>
          <w:rFonts w:ascii="Times New Roman" w:hAnsi="Times New Roman"/>
          <w:b/>
          <w:sz w:val="24"/>
        </w:rPr>
      </w:pPr>
      <w:r>
        <w:rPr>
          <w:rFonts w:ascii="Times New Roman" w:hAnsi="Times New Roman"/>
          <w:b/>
          <w:sz w:val="24"/>
        </w:rPr>
        <w:t>表</w:t>
      </w:r>
      <w:r>
        <w:rPr>
          <w:rFonts w:hint="eastAsia" w:ascii="Times New Roman" w:hAnsi="Times New Roman"/>
          <w:b/>
          <w:sz w:val="24"/>
        </w:rPr>
        <w:t>二</w:t>
      </w:r>
      <w:r>
        <w:rPr>
          <w:rFonts w:hint="eastAsia" w:ascii="Times New Roman" w:hAnsi="Times New Roman"/>
          <w:b/>
          <w:bCs/>
          <w:sz w:val="24"/>
        </w:rPr>
        <w:t>工程建设内容、</w:t>
      </w:r>
      <w:r>
        <w:rPr>
          <w:rFonts w:ascii="Times New Roman" w:hAnsi="Times New Roman"/>
          <w:b/>
          <w:bCs/>
          <w:sz w:val="24"/>
        </w:rPr>
        <w:t>主要</w:t>
      </w:r>
      <w:r>
        <w:rPr>
          <w:rFonts w:hint="eastAsia" w:ascii="Times New Roman" w:hAnsi="Times New Roman"/>
          <w:b/>
          <w:bCs/>
          <w:sz w:val="24"/>
        </w:rPr>
        <w:t>工艺流程及产污环节</w:t>
      </w:r>
    </w:p>
    <w:tbl>
      <w:tblPr>
        <w:tblStyle w:val="20"/>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22" w:hRule="atLeast"/>
          <w:jc w:val="center"/>
        </w:trPr>
        <w:tc>
          <w:tcPr>
            <w:tcW w:w="10205" w:type="dxa"/>
            <w:noWrap w:val="0"/>
            <w:vAlign w:val="top"/>
          </w:tcPr>
          <w:p>
            <w:pPr>
              <w:spacing w:line="360" w:lineRule="auto"/>
              <w:ind w:firstLine="482" w:firstLineChars="200"/>
              <w:rPr>
                <w:rFonts w:ascii="Times New Roman" w:hAnsi="Times New Roman"/>
                <w:b/>
                <w:bCs/>
                <w:sz w:val="24"/>
              </w:rPr>
            </w:pPr>
            <w:r>
              <w:rPr>
                <w:rFonts w:hint="eastAsia" w:ascii="Times New Roman" w:hAnsi="Times New Roman"/>
                <w:b/>
                <w:bCs/>
                <w:sz w:val="24"/>
              </w:rPr>
              <w:t>工程建设内容：</w:t>
            </w:r>
          </w:p>
          <w:p>
            <w:pPr>
              <w:spacing w:line="360" w:lineRule="auto"/>
              <w:ind w:firstLine="482" w:firstLineChars="200"/>
              <w:outlineLvl w:val="0"/>
              <w:rPr>
                <w:rFonts w:ascii="Times New Roman" w:hAnsi="Times New Roman"/>
                <w:b/>
                <w:sz w:val="24"/>
              </w:rPr>
            </w:pPr>
            <w:r>
              <w:rPr>
                <w:rFonts w:ascii="Times New Roman" w:hAnsi="Times New Roman"/>
                <w:b/>
                <w:sz w:val="24"/>
              </w:rPr>
              <w:t>1、建设项目的名称、性质和厂址</w:t>
            </w:r>
          </w:p>
          <w:p>
            <w:pPr>
              <w:spacing w:line="360" w:lineRule="auto"/>
              <w:ind w:left="2159" w:leftChars="228" w:hanging="1680" w:hangingChars="700"/>
              <w:rPr>
                <w:rFonts w:ascii="Times New Roman" w:hAnsi="Times New Roman"/>
                <w:sz w:val="24"/>
              </w:rPr>
            </w:pPr>
            <w:r>
              <w:rPr>
                <w:rFonts w:ascii="Times New Roman" w:hAnsi="Times New Roman"/>
                <w:sz w:val="24"/>
              </w:rPr>
              <w:t>建设项目名称：</w:t>
            </w:r>
            <w:r>
              <w:rPr>
                <w:rFonts w:hint="eastAsia" w:ascii="宋体" w:hAnsi="宋体" w:eastAsia="宋体" w:cs="宋体"/>
                <w:b w:val="0"/>
                <w:bCs w:val="0"/>
                <w:sz w:val="24"/>
                <w:szCs w:val="24"/>
              </w:rPr>
              <w:t>吉安华润清洁能源有限公司吉安市吉福路天然气加气站工程项目</w:t>
            </w:r>
          </w:p>
          <w:p>
            <w:pPr>
              <w:spacing w:line="360" w:lineRule="auto"/>
              <w:ind w:firstLine="480" w:firstLineChars="200"/>
              <w:rPr>
                <w:rFonts w:ascii="Times New Roman" w:hAnsi="Times New Roman"/>
                <w:sz w:val="24"/>
              </w:rPr>
            </w:pPr>
            <w:r>
              <w:rPr>
                <w:rFonts w:ascii="Times New Roman" w:hAnsi="Times New Roman"/>
                <w:sz w:val="24"/>
              </w:rPr>
              <w:t>建设项目性质：新建</w:t>
            </w:r>
          </w:p>
          <w:p>
            <w:pPr>
              <w:spacing w:line="360" w:lineRule="auto"/>
              <w:ind w:firstLine="480" w:firstLineChars="200"/>
              <w:rPr>
                <w:rFonts w:hint="eastAsia" w:ascii="宋体" w:hAnsi="宋体" w:eastAsia="宋体" w:cs="宋体"/>
                <w:sz w:val="24"/>
              </w:rPr>
            </w:pPr>
            <w:r>
              <w:rPr>
                <w:rFonts w:ascii="Times New Roman" w:hAnsi="Times New Roman"/>
                <w:sz w:val="24"/>
              </w:rPr>
              <w:t>联系电话：</w:t>
            </w:r>
            <w:r>
              <w:rPr>
                <w:rFonts w:hint="eastAsia" w:ascii="宋体" w:hAnsi="宋体" w:eastAsia="宋体" w:cs="宋体"/>
                <w:sz w:val="24"/>
              </w:rPr>
              <w:t>13155868055</w:t>
            </w:r>
          </w:p>
          <w:p>
            <w:pPr>
              <w:spacing w:line="360" w:lineRule="auto"/>
              <w:ind w:firstLine="480" w:firstLineChars="200"/>
              <w:rPr>
                <w:rFonts w:hint="eastAsia" w:ascii="宋体" w:hAnsi="宋体" w:eastAsia="宋体" w:cs="宋体"/>
                <w:sz w:val="24"/>
                <w:szCs w:val="24"/>
              </w:rPr>
            </w:pPr>
            <w:r>
              <w:rPr>
                <w:rFonts w:ascii="Times New Roman" w:hAnsi="Times New Roman"/>
                <w:sz w:val="24"/>
              </w:rPr>
              <w:t>建设项目厂址：</w:t>
            </w:r>
            <w:r>
              <w:rPr>
                <w:rFonts w:hint="eastAsia"/>
                <w:sz w:val="24"/>
              </w:rPr>
              <w:t>吉安市吉福路与规划四路交叉口东南侧华润燃气气化站内</w:t>
            </w:r>
          </w:p>
          <w:p>
            <w:pPr>
              <w:spacing w:line="360" w:lineRule="auto"/>
              <w:ind w:firstLine="482" w:firstLineChars="200"/>
              <w:jc w:val="left"/>
              <w:outlineLvl w:val="0"/>
              <w:rPr>
                <w:rFonts w:hint="eastAsia" w:ascii="Times New Roman" w:hAnsi="Times New Roman"/>
                <w:b/>
                <w:sz w:val="24"/>
              </w:rPr>
            </w:pPr>
            <w:r>
              <w:rPr>
                <w:rFonts w:ascii="Times New Roman" w:hAnsi="Times New Roman"/>
                <w:b/>
                <w:sz w:val="24"/>
              </w:rPr>
              <w:t>2、</w:t>
            </w:r>
            <w:r>
              <w:rPr>
                <w:rFonts w:hint="eastAsia" w:ascii="Times New Roman" w:hAnsi="Times New Roman"/>
                <w:b/>
                <w:sz w:val="24"/>
              </w:rPr>
              <w:t>建设项目周围环境</w:t>
            </w:r>
          </w:p>
          <w:p>
            <w:pPr>
              <w:spacing w:line="360" w:lineRule="auto"/>
              <w:ind w:firstLine="480"/>
              <w:rPr>
                <w:rFonts w:hAnsi="宋体"/>
                <w:sz w:val="24"/>
              </w:rPr>
            </w:pPr>
            <w:r>
              <w:rPr>
                <w:rFonts w:hint="eastAsia" w:hAnsi="宋体"/>
                <w:sz w:val="24"/>
              </w:rPr>
              <w:t>本项目为天然气加气站，设置</w:t>
            </w:r>
            <w:r>
              <w:rPr>
                <w:rFonts w:hAnsi="宋体"/>
                <w:sz w:val="24"/>
              </w:rPr>
              <w:t>60m</w:t>
            </w:r>
            <w:r>
              <w:rPr>
                <w:rFonts w:hAnsi="宋体"/>
                <w:sz w:val="24"/>
                <w:vertAlign w:val="superscript"/>
              </w:rPr>
              <w:t>3</w:t>
            </w:r>
            <w:r>
              <w:rPr>
                <w:rFonts w:hAnsi="宋体"/>
                <w:sz w:val="24"/>
              </w:rPr>
              <w:t>LNG</w:t>
            </w:r>
            <w:r>
              <w:rPr>
                <w:rFonts w:hint="eastAsia" w:hAnsi="宋体"/>
                <w:sz w:val="24"/>
              </w:rPr>
              <w:t>储罐</w:t>
            </w:r>
            <w:r>
              <w:rPr>
                <w:rFonts w:hAnsi="宋体"/>
                <w:sz w:val="24"/>
              </w:rPr>
              <w:t>1</w:t>
            </w:r>
            <w:r>
              <w:rPr>
                <w:rFonts w:hint="eastAsia" w:hAnsi="宋体"/>
                <w:sz w:val="24"/>
              </w:rPr>
              <w:t>个，14</w:t>
            </w:r>
            <w:r>
              <w:rPr>
                <w:rFonts w:hAnsi="宋体"/>
                <w:sz w:val="24"/>
              </w:rPr>
              <w:t>m</w:t>
            </w:r>
            <w:r>
              <w:rPr>
                <w:rFonts w:hAnsi="宋体"/>
                <w:sz w:val="24"/>
                <w:vertAlign w:val="superscript"/>
              </w:rPr>
              <w:t>3</w:t>
            </w:r>
            <w:r>
              <w:rPr>
                <w:rFonts w:hAnsi="宋体"/>
                <w:sz w:val="24"/>
              </w:rPr>
              <w:t>CNG</w:t>
            </w:r>
            <w:r>
              <w:rPr>
                <w:rFonts w:hint="eastAsia" w:hAnsi="宋体"/>
                <w:sz w:val="24"/>
              </w:rPr>
              <w:t>储气井</w:t>
            </w:r>
            <w:r>
              <w:rPr>
                <w:rFonts w:hAnsi="宋体"/>
                <w:sz w:val="24"/>
              </w:rPr>
              <w:t>1</w:t>
            </w:r>
            <w:r>
              <w:rPr>
                <w:rFonts w:hint="eastAsia" w:hAnsi="宋体"/>
                <w:sz w:val="24"/>
              </w:rPr>
              <w:t>套，为二级加气站。拟建站总共分成三个区域，即CNG加气工艺区、天然气加气区及站房区，</w:t>
            </w:r>
            <w:r>
              <w:rPr>
                <w:rFonts w:hAnsi="宋体"/>
                <w:sz w:val="24"/>
              </w:rPr>
              <w:t>本站总图设计是根据站区的地理位置、建设规模、交通运输、气象等条件，按照当地规划部门、城建部门对站区平面布置的要求，本着有利生产、方便管理、确保安全、保护环境，结合场地建设的具体情况，并参照国内外同类设计先例的经验来布置的。</w:t>
            </w:r>
          </w:p>
          <w:p>
            <w:pPr>
              <w:spacing w:line="360" w:lineRule="auto"/>
              <w:ind w:firstLine="480" w:firstLineChars="200"/>
              <w:jc w:val="left"/>
              <w:outlineLvl w:val="0"/>
              <w:rPr>
                <w:rFonts w:hint="eastAsia" w:ascii="Times New Roman" w:hAnsi="Times New Roman"/>
                <w:sz w:val="24"/>
              </w:rPr>
            </w:pPr>
            <w:r>
              <w:rPr>
                <w:rFonts w:hint="eastAsia" w:hAnsi="宋体"/>
                <w:sz w:val="24"/>
              </w:rPr>
              <w:t>站房区设置于厂区的西面，内设配电房和消防水池，加气区位于厂区东侧，内设双枪三线制</w:t>
            </w:r>
            <w:r>
              <w:rPr>
                <w:rFonts w:hAnsi="宋体"/>
                <w:sz w:val="24"/>
              </w:rPr>
              <w:t>CNG</w:t>
            </w:r>
            <w:r>
              <w:rPr>
                <w:rFonts w:hint="eastAsia" w:hAnsi="宋体"/>
                <w:sz w:val="24"/>
              </w:rPr>
              <w:t>加气机3台，LNG加气机2台，CNG加气站工艺区位于站房的下方，其中气化站站房、消防水池和公用工程均为华润燃气集团有限公司原有设施，本项目建设公司部分产权也隶属于华润燃气集团有限公司</w:t>
            </w:r>
            <w:r>
              <w:rPr>
                <w:rFonts w:hint="eastAsia" w:ascii="Times New Roman" w:hAnsi="Times New Roman"/>
                <w:color w:val="000000" w:themeColor="text1"/>
                <w:sz w:val="24"/>
              </w:rPr>
              <w:t>。</w:t>
            </w:r>
          </w:p>
          <w:p>
            <w:pPr>
              <w:spacing w:line="360" w:lineRule="auto"/>
              <w:ind w:firstLine="482" w:firstLineChars="200"/>
              <w:jc w:val="left"/>
              <w:outlineLvl w:val="0"/>
              <w:rPr>
                <w:rFonts w:ascii="Times New Roman" w:hAnsi="Times New Roman"/>
                <w:b/>
                <w:sz w:val="24"/>
              </w:rPr>
            </w:pPr>
            <w:r>
              <w:rPr>
                <w:rFonts w:ascii="Times New Roman" w:hAnsi="Times New Roman"/>
                <w:b/>
                <w:sz w:val="24"/>
              </w:rPr>
              <w:t>3、</w:t>
            </w:r>
            <w:r>
              <w:rPr>
                <w:rFonts w:hint="eastAsia" w:ascii="Times New Roman" w:hAnsi="Times New Roman"/>
                <w:b/>
                <w:sz w:val="24"/>
              </w:rPr>
              <w:t>建设内容及规模</w:t>
            </w:r>
          </w:p>
          <w:p>
            <w:pPr>
              <w:spacing w:line="360" w:lineRule="auto"/>
              <w:ind w:firstLine="480" w:firstLineChars="200"/>
              <w:jc w:val="left"/>
              <w:outlineLvl w:val="0"/>
              <w:rPr>
                <w:rFonts w:hint="eastAsia" w:ascii="Times New Roman" w:hAnsi="Times New Roman"/>
                <w:bCs/>
                <w:sz w:val="24"/>
                <w:szCs w:val="24"/>
              </w:rPr>
            </w:pPr>
            <w:r>
              <w:rPr>
                <w:rFonts w:hint="eastAsia" w:hAnsi="宋体"/>
                <w:sz w:val="24"/>
              </w:rPr>
              <w:t>项目占地11455.37</w:t>
            </w:r>
            <w:r>
              <w:rPr>
                <w:rFonts w:hAnsi="宋体"/>
                <w:sz w:val="24"/>
              </w:rPr>
              <w:t>m</w:t>
            </w:r>
            <w:r>
              <w:rPr>
                <w:rFonts w:hAnsi="宋体"/>
                <w:sz w:val="24"/>
                <w:vertAlign w:val="superscript"/>
              </w:rPr>
              <w:t>2</w:t>
            </w:r>
            <w:r>
              <w:rPr>
                <w:rFonts w:hint="eastAsia" w:hAnsi="宋体"/>
                <w:sz w:val="24"/>
              </w:rPr>
              <w:t>，一座天然气加气站，</w:t>
            </w:r>
            <w:r>
              <w:rPr>
                <w:rFonts w:hAnsi="宋体"/>
                <w:sz w:val="24"/>
              </w:rPr>
              <w:t>CNG加气能力：</w:t>
            </w:r>
            <w:r>
              <w:rPr>
                <w:rFonts w:hint="eastAsia" w:hAnsi="宋体"/>
                <w:sz w:val="24"/>
              </w:rPr>
              <w:t>15</w:t>
            </w:r>
            <w:r>
              <w:rPr>
                <w:rFonts w:hAnsi="宋体"/>
                <w:sz w:val="24"/>
              </w:rPr>
              <w:t>000Nm</w:t>
            </w:r>
            <w:r>
              <w:rPr>
                <w:rFonts w:hAnsi="宋体"/>
                <w:sz w:val="24"/>
                <w:vertAlign w:val="superscript"/>
              </w:rPr>
              <w:t>3</w:t>
            </w:r>
            <w:r>
              <w:rPr>
                <w:rFonts w:hAnsi="宋体"/>
                <w:sz w:val="24"/>
              </w:rPr>
              <w:t>/d</w:t>
            </w:r>
            <w:r>
              <w:rPr>
                <w:rFonts w:hint="eastAsia" w:hAnsi="宋体"/>
                <w:sz w:val="24"/>
              </w:rPr>
              <w:t>，</w:t>
            </w:r>
            <w:r>
              <w:rPr>
                <w:rFonts w:hAnsi="宋体"/>
                <w:sz w:val="24"/>
              </w:rPr>
              <w:t>LNG加气站加气规模：1</w:t>
            </w:r>
            <w:r>
              <w:rPr>
                <w:rFonts w:hint="eastAsia" w:hAnsi="宋体"/>
                <w:sz w:val="24"/>
              </w:rPr>
              <w:t>2</w:t>
            </w:r>
            <w:r>
              <w:rPr>
                <w:rFonts w:hAnsi="宋体"/>
                <w:sz w:val="24"/>
              </w:rPr>
              <w:t>000Nm</w:t>
            </w:r>
            <w:r>
              <w:rPr>
                <w:rFonts w:hAnsi="宋体"/>
                <w:sz w:val="24"/>
                <w:vertAlign w:val="superscript"/>
              </w:rPr>
              <w:t>3</w:t>
            </w:r>
            <w:r>
              <w:rPr>
                <w:rFonts w:hAnsi="宋体"/>
                <w:sz w:val="24"/>
              </w:rPr>
              <w:t>/d</w:t>
            </w:r>
            <w:r>
              <w:rPr>
                <w:rFonts w:hint="eastAsia" w:hAnsi="宋体"/>
                <w:sz w:val="24"/>
                <w:lang w:eastAsia="zh-CN"/>
              </w:rPr>
              <w:t>，</w:t>
            </w:r>
            <w:r>
              <w:rPr>
                <w:rFonts w:hAnsi="宋体"/>
                <w:sz w:val="24"/>
              </w:rPr>
              <w:t>本站为LNG和CNG合建站，LNG储罐规模为60m</w:t>
            </w:r>
            <w:r>
              <w:rPr>
                <w:rFonts w:hAnsi="宋体"/>
                <w:sz w:val="24"/>
                <w:vertAlign w:val="superscript"/>
              </w:rPr>
              <w:t>3</w:t>
            </w:r>
            <w:r>
              <w:rPr>
                <w:rFonts w:hAnsi="宋体"/>
                <w:sz w:val="24"/>
              </w:rPr>
              <w:t>，CNG储气井容积为</w:t>
            </w:r>
            <w:r>
              <w:rPr>
                <w:rFonts w:hint="eastAsia" w:hAnsi="宋体"/>
                <w:sz w:val="24"/>
              </w:rPr>
              <w:t>14</w:t>
            </w:r>
            <w:r>
              <w:rPr>
                <w:rFonts w:hAnsi="宋体"/>
                <w:sz w:val="24"/>
              </w:rPr>
              <w:t>m</w:t>
            </w:r>
            <w:r>
              <w:rPr>
                <w:rFonts w:hAnsi="宋体"/>
                <w:sz w:val="24"/>
                <w:vertAlign w:val="superscript"/>
              </w:rPr>
              <w:t>3</w:t>
            </w:r>
            <w:r>
              <w:rPr>
                <w:rFonts w:hint="eastAsia" w:hAnsi="宋体"/>
                <w:sz w:val="24"/>
              </w:rPr>
              <w:t>，</w:t>
            </w:r>
            <w:r>
              <w:rPr>
                <w:rFonts w:hAnsi="宋体"/>
                <w:sz w:val="24"/>
              </w:rPr>
              <w:t>为</w:t>
            </w:r>
            <w:r>
              <w:rPr>
                <w:rFonts w:hint="eastAsia" w:hAnsi="宋体"/>
                <w:sz w:val="24"/>
              </w:rPr>
              <w:t>二</w:t>
            </w:r>
            <w:r>
              <w:rPr>
                <w:rFonts w:hAnsi="宋体"/>
                <w:sz w:val="24"/>
              </w:rPr>
              <w:t>级站</w:t>
            </w:r>
            <w:r>
              <w:rPr>
                <w:rFonts w:hint="eastAsia" w:hAnsi="宋体"/>
                <w:sz w:val="24"/>
              </w:rPr>
              <w:t>，辅助设施包括站房、户外箱变等。本加气站不修建食堂，不涉及清洗汽车服务，不留扩建余地</w:t>
            </w:r>
            <w:r>
              <w:rPr>
                <w:rFonts w:hint="eastAsia" w:hAnsi="宋体"/>
                <w:sz w:val="24"/>
                <w:lang w:eastAsia="zh-CN"/>
              </w:rPr>
              <w:t>，</w:t>
            </w:r>
            <w:r>
              <w:rPr>
                <w:rFonts w:hint="eastAsia"/>
                <w:sz w:val="24"/>
                <w:szCs w:val="24"/>
              </w:rPr>
              <w:t>本项目工程组成、产品生产规模</w:t>
            </w:r>
            <w:r>
              <w:rPr>
                <w:rFonts w:hint="eastAsia"/>
                <w:sz w:val="24"/>
                <w:szCs w:val="24"/>
                <w:lang w:eastAsia="zh-CN"/>
              </w:rPr>
              <w:t>及</w:t>
            </w:r>
            <w:r>
              <w:rPr>
                <w:rFonts w:hint="eastAsia" w:ascii="Times New Roman" w:hAnsi="Times New Roman"/>
                <w:sz w:val="24"/>
                <w:szCs w:val="24"/>
              </w:rPr>
              <w:t>建设内容及规模见表2-</w:t>
            </w:r>
            <w:r>
              <w:rPr>
                <w:rFonts w:hint="eastAsia" w:ascii="Times New Roman" w:hAnsi="Times New Roman"/>
                <w:sz w:val="24"/>
                <w:szCs w:val="24"/>
                <w:lang w:val="en-US" w:eastAsia="zh-CN"/>
              </w:rPr>
              <w:t>1</w:t>
            </w:r>
            <w:r>
              <w:rPr>
                <w:rFonts w:hint="eastAsia" w:ascii="Times New Roman" w:hAnsi="Times New Roman"/>
                <w:sz w:val="24"/>
                <w:szCs w:val="24"/>
              </w:rPr>
              <w:t>。</w:t>
            </w:r>
          </w:p>
          <w:p>
            <w:pPr>
              <w:spacing w:line="360" w:lineRule="auto"/>
              <w:jc w:val="center"/>
              <w:rPr>
                <w:rFonts w:hint="eastAsia" w:ascii="Times New Roman" w:hAnsi="Times New Roman"/>
                <w:b/>
                <w:kern w:val="0"/>
                <w:sz w:val="24"/>
                <w:szCs w:val="24"/>
              </w:rPr>
            </w:pPr>
            <w:r>
              <w:rPr>
                <w:rFonts w:ascii="Times New Roman" w:hAnsi="Times New Roman"/>
                <w:b/>
                <w:sz w:val="24"/>
                <w:szCs w:val="24"/>
              </w:rPr>
              <w:t>表</w:t>
            </w:r>
            <w:r>
              <w:rPr>
                <w:rFonts w:hint="eastAsia" w:ascii="Times New Roman" w:hAnsi="Times New Roman"/>
                <w:b/>
                <w:sz w:val="24"/>
                <w:szCs w:val="24"/>
              </w:rPr>
              <w:t>2-</w:t>
            </w:r>
            <w:r>
              <w:rPr>
                <w:rFonts w:hint="eastAsia" w:ascii="Times New Roman" w:hAnsi="Times New Roman"/>
                <w:b/>
                <w:sz w:val="24"/>
                <w:szCs w:val="24"/>
                <w:lang w:val="en-US" w:eastAsia="zh-CN"/>
              </w:rPr>
              <w:t>1</w:t>
            </w:r>
            <w:r>
              <w:rPr>
                <w:rFonts w:hint="eastAsia" w:ascii="Times New Roman" w:hAnsi="Times New Roman"/>
                <w:b/>
                <w:sz w:val="24"/>
                <w:szCs w:val="24"/>
              </w:rPr>
              <w:t>项目环评设计</w:t>
            </w:r>
            <w:r>
              <w:rPr>
                <w:rFonts w:ascii="Times New Roman" w:hAnsi="Times New Roman"/>
                <w:b/>
                <w:kern w:val="0"/>
                <w:sz w:val="24"/>
                <w:szCs w:val="24"/>
              </w:rPr>
              <w:t>主要建设内容</w:t>
            </w:r>
            <w:r>
              <w:rPr>
                <w:rFonts w:hint="eastAsia" w:ascii="Times New Roman" w:hAnsi="Times New Roman"/>
                <w:b/>
                <w:kern w:val="0"/>
                <w:sz w:val="24"/>
                <w:szCs w:val="24"/>
              </w:rPr>
              <w:t>与实际建设内容一览表</w:t>
            </w:r>
          </w:p>
          <w:tbl>
            <w:tblPr>
              <w:tblStyle w:val="20"/>
              <w:tblW w:w="98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6"/>
              <w:gridCol w:w="1843"/>
              <w:gridCol w:w="3199"/>
              <w:gridCol w:w="2987"/>
              <w:gridCol w:w="8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exact"/>
              </w:trPr>
              <w:tc>
                <w:tcPr>
                  <w:tcW w:w="2819" w:type="dxa"/>
                  <w:gridSpan w:val="2"/>
                  <w:noWrap w:val="0"/>
                  <w:vAlign w:val="center"/>
                </w:tcPr>
                <w:p>
                  <w:pPr>
                    <w:jc w:val="center"/>
                    <w:rPr>
                      <w:sz w:val="24"/>
                      <w:szCs w:val="24"/>
                    </w:rPr>
                  </w:pPr>
                  <w:r>
                    <w:rPr>
                      <w:rFonts w:hAnsi="宋体"/>
                      <w:sz w:val="24"/>
                      <w:szCs w:val="24"/>
                    </w:rPr>
                    <w:t>工程分类及项目名称</w:t>
                  </w:r>
                </w:p>
              </w:tc>
              <w:tc>
                <w:tcPr>
                  <w:tcW w:w="3199" w:type="dxa"/>
                  <w:noWrap w:val="0"/>
                  <w:vAlign w:val="center"/>
                </w:tcPr>
                <w:p>
                  <w:pPr>
                    <w:jc w:val="center"/>
                    <w:rPr>
                      <w:sz w:val="24"/>
                      <w:szCs w:val="24"/>
                    </w:rPr>
                  </w:pPr>
                  <w:r>
                    <w:rPr>
                      <w:rFonts w:hint="eastAsia" w:hAnsi="宋体"/>
                      <w:sz w:val="24"/>
                      <w:szCs w:val="24"/>
                      <w:lang w:eastAsia="zh-CN"/>
                    </w:rPr>
                    <w:t>设计</w:t>
                  </w:r>
                  <w:r>
                    <w:rPr>
                      <w:rFonts w:hAnsi="宋体"/>
                      <w:sz w:val="24"/>
                      <w:szCs w:val="24"/>
                    </w:rPr>
                    <w:t>工程内容</w:t>
                  </w:r>
                </w:p>
              </w:tc>
              <w:tc>
                <w:tcPr>
                  <w:tcW w:w="2987" w:type="dxa"/>
                  <w:noWrap w:val="0"/>
                  <w:vAlign w:val="center"/>
                </w:tcPr>
                <w:p>
                  <w:pPr>
                    <w:jc w:val="center"/>
                    <w:rPr>
                      <w:rFonts w:hint="eastAsia" w:hAnsi="宋体"/>
                      <w:sz w:val="24"/>
                      <w:szCs w:val="24"/>
                      <w:lang w:eastAsia="zh-CN"/>
                    </w:rPr>
                  </w:pPr>
                  <w:r>
                    <w:rPr>
                      <w:rFonts w:hint="eastAsia" w:hAnsi="宋体"/>
                      <w:sz w:val="24"/>
                      <w:szCs w:val="24"/>
                      <w:lang w:eastAsia="zh-CN"/>
                    </w:rPr>
                    <w:t>实际工程内容</w:t>
                  </w:r>
                </w:p>
              </w:tc>
              <w:tc>
                <w:tcPr>
                  <w:tcW w:w="886" w:type="dxa"/>
                  <w:noWrap w:val="0"/>
                  <w:vAlign w:val="center"/>
                </w:tcPr>
                <w:p>
                  <w:pPr>
                    <w:jc w:val="center"/>
                    <w:rPr>
                      <w:rFonts w:hint="eastAsia" w:hAnsi="宋体"/>
                      <w:sz w:val="24"/>
                      <w:szCs w:val="24"/>
                      <w:lang w:eastAsia="zh-CN"/>
                    </w:rPr>
                  </w:pPr>
                  <w:r>
                    <w:rPr>
                      <w:rFonts w:hint="eastAsia" w:hAnsi="宋体"/>
                      <w:sz w:val="24"/>
                      <w:szCs w:val="24"/>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8" w:hRule="exact"/>
              </w:trPr>
              <w:tc>
                <w:tcPr>
                  <w:tcW w:w="976" w:type="dxa"/>
                  <w:vMerge w:val="restart"/>
                  <w:noWrap w:val="0"/>
                  <w:vAlign w:val="center"/>
                </w:tcPr>
                <w:p>
                  <w:pPr>
                    <w:rPr>
                      <w:sz w:val="24"/>
                      <w:szCs w:val="24"/>
                    </w:rPr>
                  </w:pPr>
                  <w:r>
                    <w:rPr>
                      <w:rFonts w:hAnsi="宋体"/>
                      <w:sz w:val="24"/>
                      <w:szCs w:val="24"/>
                    </w:rPr>
                    <w:t>主体工程</w:t>
                  </w:r>
                </w:p>
              </w:tc>
              <w:tc>
                <w:tcPr>
                  <w:tcW w:w="1843" w:type="dxa"/>
                  <w:noWrap w:val="0"/>
                  <w:vAlign w:val="center"/>
                </w:tcPr>
                <w:p>
                  <w:pPr>
                    <w:jc w:val="center"/>
                    <w:rPr>
                      <w:sz w:val="24"/>
                      <w:szCs w:val="24"/>
                    </w:rPr>
                  </w:pPr>
                  <w:r>
                    <w:rPr>
                      <w:rFonts w:hAnsi="宋体"/>
                      <w:sz w:val="24"/>
                      <w:szCs w:val="24"/>
                    </w:rPr>
                    <w:t>卸车区</w:t>
                  </w:r>
                </w:p>
              </w:tc>
              <w:tc>
                <w:tcPr>
                  <w:tcW w:w="3199" w:type="dxa"/>
                  <w:noWrap w:val="0"/>
                  <w:tcMar>
                    <w:left w:w="255" w:type="dxa"/>
                    <w:right w:w="255" w:type="dxa"/>
                  </w:tcMar>
                  <w:vAlign w:val="center"/>
                </w:tcPr>
                <w:p>
                  <w:pPr>
                    <w:adjustRightInd w:val="0"/>
                    <w:snapToGrid w:val="0"/>
                    <w:jc w:val="center"/>
                    <w:rPr>
                      <w:sz w:val="24"/>
                      <w:szCs w:val="24"/>
                    </w:rPr>
                  </w:pPr>
                  <w:r>
                    <w:rPr>
                      <w:sz w:val="24"/>
                      <w:szCs w:val="24"/>
                    </w:rPr>
                    <w:t>1</w:t>
                  </w:r>
                  <w:r>
                    <w:rPr>
                      <w:rFonts w:hAnsi="宋体"/>
                      <w:sz w:val="24"/>
                      <w:szCs w:val="24"/>
                    </w:rPr>
                    <w:t>个，露天设置，用于槽车卸车，混凝土地面。布置有</w:t>
                  </w:r>
                  <w:r>
                    <w:rPr>
                      <w:sz w:val="24"/>
                      <w:szCs w:val="24"/>
                    </w:rPr>
                    <w:t>LNG</w:t>
                  </w:r>
                  <w:r>
                    <w:rPr>
                      <w:rFonts w:hAnsi="宋体"/>
                      <w:sz w:val="24"/>
                      <w:szCs w:val="24"/>
                    </w:rPr>
                    <w:t>卸车增压器</w:t>
                  </w:r>
                  <w:r>
                    <w:rPr>
                      <w:rFonts w:hint="eastAsia" w:hAnsi="宋体"/>
                      <w:sz w:val="24"/>
                      <w:szCs w:val="24"/>
                      <w:lang w:val="en-US" w:eastAsia="zh-CN"/>
                    </w:rPr>
                    <w:t>1</w:t>
                  </w:r>
                  <w:r>
                    <w:rPr>
                      <w:rFonts w:hAnsi="宋体"/>
                      <w:sz w:val="24"/>
                      <w:szCs w:val="24"/>
                    </w:rPr>
                    <w:t>台。</w:t>
                  </w:r>
                </w:p>
              </w:tc>
              <w:tc>
                <w:tcPr>
                  <w:tcW w:w="2987" w:type="dxa"/>
                  <w:vMerge w:val="restart"/>
                  <w:noWrap w:val="0"/>
                  <w:vAlign w:val="center"/>
                </w:tcPr>
                <w:p>
                  <w:pPr>
                    <w:adjustRightInd w:val="0"/>
                    <w:snapToGrid w:val="0"/>
                    <w:jc w:val="center"/>
                    <w:rPr>
                      <w:sz w:val="24"/>
                      <w:szCs w:val="24"/>
                    </w:rPr>
                  </w:pPr>
                  <w:r>
                    <w:rPr>
                      <w:sz w:val="24"/>
                      <w:szCs w:val="24"/>
                    </w:rPr>
                    <w:t>1</w:t>
                  </w:r>
                  <w:r>
                    <w:rPr>
                      <w:rFonts w:hAnsi="宋体"/>
                      <w:sz w:val="24"/>
                      <w:szCs w:val="24"/>
                    </w:rPr>
                    <w:t>个，露天设置，用于槽车卸车，混凝土地面。布置有</w:t>
                  </w:r>
                  <w:r>
                    <w:rPr>
                      <w:sz w:val="24"/>
                      <w:szCs w:val="24"/>
                    </w:rPr>
                    <w:t xml:space="preserve">LNG </w:t>
                  </w:r>
                  <w:r>
                    <w:rPr>
                      <w:rFonts w:hAnsi="宋体"/>
                      <w:sz w:val="24"/>
                      <w:szCs w:val="24"/>
                    </w:rPr>
                    <w:t>卸车增压器</w:t>
                  </w:r>
                  <w:r>
                    <w:rPr>
                      <w:sz w:val="24"/>
                      <w:szCs w:val="24"/>
                    </w:rPr>
                    <w:t>1</w:t>
                  </w:r>
                  <w:r>
                    <w:rPr>
                      <w:rFonts w:hAnsi="宋体"/>
                      <w:sz w:val="24"/>
                      <w:szCs w:val="24"/>
                    </w:rPr>
                    <w:t>台。</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 w:hRule="exact"/>
              </w:trPr>
              <w:tc>
                <w:tcPr>
                  <w:tcW w:w="976" w:type="dxa"/>
                  <w:vMerge w:val="continue"/>
                  <w:noWrap w:val="0"/>
                  <w:vAlign w:val="center"/>
                </w:tcPr>
                <w:p>
                  <w:pPr>
                    <w:rPr>
                      <w:sz w:val="24"/>
                      <w:szCs w:val="24"/>
                    </w:rPr>
                  </w:pPr>
                </w:p>
              </w:tc>
              <w:tc>
                <w:tcPr>
                  <w:tcW w:w="1843" w:type="dxa"/>
                  <w:noWrap w:val="0"/>
                  <w:vAlign w:val="center"/>
                </w:tcPr>
                <w:p>
                  <w:pPr>
                    <w:jc w:val="center"/>
                    <w:rPr>
                      <w:sz w:val="24"/>
                      <w:szCs w:val="24"/>
                    </w:rPr>
                  </w:pPr>
                </w:p>
              </w:tc>
              <w:tc>
                <w:tcPr>
                  <w:tcW w:w="3199" w:type="dxa"/>
                  <w:vMerge w:val="restart"/>
                  <w:noWrap w:val="0"/>
                  <w:tcMar>
                    <w:left w:w="255" w:type="dxa"/>
                    <w:right w:w="255" w:type="dxa"/>
                  </w:tcMar>
                  <w:vAlign w:val="center"/>
                </w:tcPr>
                <w:p>
                  <w:pPr>
                    <w:jc w:val="center"/>
                    <w:rPr>
                      <w:sz w:val="24"/>
                      <w:szCs w:val="24"/>
                    </w:rPr>
                  </w:pPr>
                  <w:r>
                    <w:rPr>
                      <w:sz w:val="24"/>
                      <w:szCs w:val="24"/>
                    </w:rPr>
                    <w:t>1</w:t>
                  </w:r>
                  <w:r>
                    <w:rPr>
                      <w:rFonts w:hAnsi="宋体"/>
                      <w:sz w:val="24"/>
                      <w:szCs w:val="24"/>
                    </w:rPr>
                    <w:t>个露天设置，用于</w:t>
                  </w:r>
                  <w:r>
                    <w:rPr>
                      <w:sz w:val="24"/>
                      <w:szCs w:val="24"/>
                    </w:rPr>
                    <w:t>LNG</w:t>
                  </w:r>
                  <w:r>
                    <w:rPr>
                      <w:rFonts w:hAnsi="宋体"/>
                      <w:sz w:val="24"/>
                      <w:szCs w:val="24"/>
                    </w:rPr>
                    <w:t>储存及高压气化，混凝</w:t>
                  </w:r>
                  <w:r>
                    <w:rPr>
                      <w:rFonts w:hint="eastAsia" w:hAnsi="宋体"/>
                      <w:sz w:val="24"/>
                      <w:szCs w:val="24"/>
                    </w:rPr>
                    <w:t>土</w:t>
                  </w:r>
                  <w:r>
                    <w:rPr>
                      <w:rFonts w:hAnsi="宋体"/>
                      <w:sz w:val="24"/>
                      <w:szCs w:val="24"/>
                    </w:rPr>
                    <w:t>地面</w:t>
                  </w:r>
                </w:p>
              </w:tc>
              <w:tc>
                <w:tcPr>
                  <w:tcW w:w="2987" w:type="dxa"/>
                  <w:vMerge w:val="continue"/>
                  <w:noWrap w:val="0"/>
                  <w:vAlign w:val="center"/>
                </w:tcPr>
                <w:p>
                  <w:pPr>
                    <w:jc w:val="center"/>
                    <w:rPr>
                      <w:sz w:val="24"/>
                      <w:szCs w:val="24"/>
                    </w:rPr>
                  </w:pP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2" w:hRule="exact"/>
              </w:trPr>
              <w:tc>
                <w:tcPr>
                  <w:tcW w:w="976" w:type="dxa"/>
                  <w:vMerge w:val="continue"/>
                  <w:noWrap w:val="0"/>
                  <w:vAlign w:val="center"/>
                </w:tcPr>
                <w:p>
                  <w:pPr>
                    <w:rPr>
                      <w:sz w:val="24"/>
                      <w:szCs w:val="24"/>
                    </w:rPr>
                  </w:pPr>
                </w:p>
              </w:tc>
              <w:tc>
                <w:tcPr>
                  <w:tcW w:w="1843" w:type="dxa"/>
                  <w:noWrap w:val="0"/>
                  <w:vAlign w:val="center"/>
                </w:tcPr>
                <w:p>
                  <w:pPr>
                    <w:jc w:val="center"/>
                    <w:rPr>
                      <w:sz w:val="24"/>
                      <w:szCs w:val="24"/>
                    </w:rPr>
                  </w:pPr>
                  <w:r>
                    <w:rPr>
                      <w:sz w:val="24"/>
                      <w:szCs w:val="24"/>
                    </w:rPr>
                    <w:t>LNG</w:t>
                  </w:r>
                  <w:r>
                    <w:rPr>
                      <w:rFonts w:hAnsi="宋体"/>
                      <w:sz w:val="24"/>
                      <w:szCs w:val="24"/>
                    </w:rPr>
                    <w:t>储存与高压</w:t>
                  </w:r>
                </w:p>
              </w:tc>
              <w:tc>
                <w:tcPr>
                  <w:tcW w:w="3199" w:type="dxa"/>
                  <w:vMerge w:val="continue"/>
                  <w:noWrap w:val="0"/>
                  <w:vAlign w:val="center"/>
                </w:tcPr>
                <w:p>
                  <w:pPr>
                    <w:jc w:val="center"/>
                    <w:rPr>
                      <w:sz w:val="24"/>
                      <w:szCs w:val="24"/>
                    </w:rPr>
                  </w:pPr>
                </w:p>
              </w:tc>
              <w:tc>
                <w:tcPr>
                  <w:tcW w:w="2987" w:type="dxa"/>
                  <w:noWrap w:val="0"/>
                  <w:vAlign w:val="center"/>
                </w:tcPr>
                <w:p>
                  <w:pPr>
                    <w:jc w:val="center"/>
                    <w:rPr>
                      <w:sz w:val="24"/>
                      <w:szCs w:val="24"/>
                    </w:rPr>
                  </w:pPr>
                  <w:r>
                    <w:rPr>
                      <w:sz w:val="24"/>
                      <w:szCs w:val="24"/>
                    </w:rPr>
                    <w:t>1</w:t>
                  </w:r>
                  <w:r>
                    <w:rPr>
                      <w:rFonts w:hAnsi="宋体"/>
                      <w:sz w:val="24"/>
                      <w:szCs w:val="24"/>
                    </w:rPr>
                    <w:t>个露天设置，用于</w:t>
                  </w:r>
                  <w:r>
                    <w:rPr>
                      <w:sz w:val="24"/>
                      <w:szCs w:val="24"/>
                    </w:rPr>
                    <w:t>LNG</w:t>
                  </w:r>
                  <w:r>
                    <w:rPr>
                      <w:rFonts w:hAnsi="宋体"/>
                      <w:sz w:val="24"/>
                      <w:szCs w:val="24"/>
                    </w:rPr>
                    <w:t>储存及高压气化，混凝</w:t>
                  </w:r>
                  <w:r>
                    <w:rPr>
                      <w:rFonts w:hint="eastAsia" w:hAnsi="宋体"/>
                      <w:sz w:val="24"/>
                      <w:szCs w:val="24"/>
                    </w:rPr>
                    <w:t>土</w:t>
                  </w:r>
                  <w:r>
                    <w:rPr>
                      <w:rFonts w:hAnsi="宋体"/>
                      <w:sz w:val="24"/>
                      <w:szCs w:val="24"/>
                    </w:rPr>
                    <w:t>地面</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7" w:hRule="exact"/>
              </w:trPr>
              <w:tc>
                <w:tcPr>
                  <w:tcW w:w="976" w:type="dxa"/>
                  <w:vMerge w:val="continue"/>
                  <w:noWrap w:val="0"/>
                  <w:vAlign w:val="center"/>
                </w:tcPr>
                <w:p>
                  <w:pPr>
                    <w:rPr>
                      <w:sz w:val="24"/>
                      <w:szCs w:val="24"/>
                    </w:rPr>
                  </w:pPr>
                </w:p>
              </w:tc>
              <w:tc>
                <w:tcPr>
                  <w:tcW w:w="1843" w:type="dxa"/>
                  <w:noWrap w:val="0"/>
                  <w:vAlign w:val="center"/>
                </w:tcPr>
                <w:p>
                  <w:pPr>
                    <w:jc w:val="center"/>
                    <w:rPr>
                      <w:sz w:val="24"/>
                      <w:szCs w:val="24"/>
                    </w:rPr>
                  </w:pPr>
                  <w:r>
                    <w:rPr>
                      <w:sz w:val="24"/>
                      <w:szCs w:val="24"/>
                    </w:rPr>
                    <w:t>CNG</w:t>
                  </w:r>
                  <w:r>
                    <w:rPr>
                      <w:rFonts w:hAnsi="宋体"/>
                      <w:sz w:val="24"/>
                      <w:szCs w:val="24"/>
                    </w:rPr>
                    <w:t>加气</w:t>
                  </w:r>
                  <w:r>
                    <w:rPr>
                      <w:rFonts w:hint="eastAsia" w:hAnsi="宋体"/>
                      <w:sz w:val="24"/>
                      <w:szCs w:val="24"/>
                    </w:rPr>
                    <w:t>站工艺区</w:t>
                  </w:r>
                </w:p>
              </w:tc>
              <w:tc>
                <w:tcPr>
                  <w:tcW w:w="3199" w:type="dxa"/>
                  <w:noWrap w:val="0"/>
                  <w:vAlign w:val="center"/>
                </w:tcPr>
                <w:p>
                  <w:pPr>
                    <w:jc w:val="center"/>
                    <w:rPr>
                      <w:sz w:val="24"/>
                      <w:szCs w:val="24"/>
                    </w:rPr>
                  </w:pPr>
                  <w:r>
                    <w:rPr>
                      <w:rFonts w:hint="eastAsia"/>
                      <w:sz w:val="24"/>
                      <w:szCs w:val="24"/>
                    </w:rPr>
                    <w:t>1个，露天设置,含调压计量撬、脱水装置、缓冲罐、回收罐、污水罐等</w:t>
                  </w:r>
                </w:p>
              </w:tc>
              <w:tc>
                <w:tcPr>
                  <w:tcW w:w="2987" w:type="dxa"/>
                  <w:noWrap w:val="0"/>
                  <w:vAlign w:val="center"/>
                </w:tcPr>
                <w:p>
                  <w:pPr>
                    <w:jc w:val="center"/>
                    <w:rPr>
                      <w:sz w:val="24"/>
                      <w:szCs w:val="24"/>
                    </w:rPr>
                  </w:pPr>
                  <w:r>
                    <w:rPr>
                      <w:rFonts w:hint="eastAsia"/>
                      <w:sz w:val="24"/>
                      <w:szCs w:val="24"/>
                    </w:rPr>
                    <w:t>1个，露天设置,含调压计量撬、脱水装置、缓冲罐、回收罐、污水罐等</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0" w:hRule="atLeast"/>
              </w:trPr>
              <w:tc>
                <w:tcPr>
                  <w:tcW w:w="976" w:type="dxa"/>
                  <w:vMerge w:val="continue"/>
                  <w:noWrap w:val="0"/>
                  <w:vAlign w:val="center"/>
                </w:tcPr>
                <w:p>
                  <w:pPr>
                    <w:rPr>
                      <w:sz w:val="24"/>
                      <w:szCs w:val="24"/>
                    </w:rPr>
                  </w:pPr>
                </w:p>
              </w:tc>
              <w:tc>
                <w:tcPr>
                  <w:tcW w:w="1843" w:type="dxa"/>
                  <w:noWrap w:val="0"/>
                  <w:vAlign w:val="center"/>
                </w:tcPr>
                <w:p>
                  <w:pPr>
                    <w:jc w:val="center"/>
                    <w:rPr>
                      <w:sz w:val="24"/>
                      <w:szCs w:val="24"/>
                    </w:rPr>
                  </w:pPr>
                  <w:r>
                    <w:rPr>
                      <w:rFonts w:hint="eastAsia"/>
                      <w:sz w:val="24"/>
                      <w:szCs w:val="24"/>
                    </w:rPr>
                    <w:t>加气区</w:t>
                  </w:r>
                </w:p>
              </w:tc>
              <w:tc>
                <w:tcPr>
                  <w:tcW w:w="3199" w:type="dxa"/>
                  <w:noWrap w:val="0"/>
                  <w:vAlign w:val="center"/>
                </w:tcPr>
                <w:p>
                  <w:pPr>
                    <w:jc w:val="center"/>
                    <w:rPr>
                      <w:sz w:val="24"/>
                      <w:szCs w:val="24"/>
                    </w:rPr>
                  </w:pPr>
                  <w:r>
                    <w:rPr>
                      <w:sz w:val="24"/>
                      <w:szCs w:val="24"/>
                    </w:rPr>
                    <w:t>1</w:t>
                  </w:r>
                  <w:r>
                    <w:rPr>
                      <w:rFonts w:hint="eastAsia"/>
                      <w:sz w:val="24"/>
                      <w:szCs w:val="24"/>
                    </w:rPr>
                    <w:t>个，钢网架结构罩棚，占地</w:t>
                  </w:r>
                  <w:r>
                    <w:rPr>
                      <w:sz w:val="24"/>
                      <w:szCs w:val="24"/>
                    </w:rPr>
                    <w:t>4</w:t>
                  </w:r>
                  <w:r>
                    <w:rPr>
                      <w:rFonts w:hint="eastAsia"/>
                      <w:sz w:val="24"/>
                      <w:szCs w:val="24"/>
                    </w:rPr>
                    <w:t>5</w:t>
                  </w:r>
                  <w:r>
                    <w:rPr>
                      <w:sz w:val="24"/>
                      <w:szCs w:val="24"/>
                    </w:rPr>
                    <w:t>0m</w:t>
                  </w:r>
                  <w:r>
                    <w:rPr>
                      <w:sz w:val="24"/>
                      <w:szCs w:val="24"/>
                      <w:vertAlign w:val="superscript"/>
                    </w:rPr>
                    <w:t>2</w:t>
                  </w:r>
                  <w:r>
                    <w:rPr>
                      <w:rFonts w:hint="eastAsia"/>
                      <w:sz w:val="24"/>
                      <w:szCs w:val="24"/>
                    </w:rPr>
                    <w:t>，混凝土地面。设双枪三线制</w:t>
                  </w:r>
                  <w:r>
                    <w:rPr>
                      <w:sz w:val="24"/>
                      <w:szCs w:val="24"/>
                    </w:rPr>
                    <w:t>CNG</w:t>
                  </w:r>
                  <w:r>
                    <w:rPr>
                      <w:rFonts w:hint="eastAsia"/>
                      <w:sz w:val="24"/>
                      <w:szCs w:val="24"/>
                    </w:rPr>
                    <w:t>加气机3台，LNG加气机两台</w:t>
                  </w:r>
                </w:p>
              </w:tc>
              <w:tc>
                <w:tcPr>
                  <w:tcW w:w="2987" w:type="dxa"/>
                  <w:noWrap w:val="0"/>
                  <w:vAlign w:val="center"/>
                </w:tcPr>
                <w:p>
                  <w:pPr>
                    <w:jc w:val="center"/>
                    <w:rPr>
                      <w:sz w:val="24"/>
                      <w:szCs w:val="24"/>
                    </w:rPr>
                  </w:pPr>
                  <w:r>
                    <w:rPr>
                      <w:sz w:val="24"/>
                      <w:szCs w:val="24"/>
                    </w:rPr>
                    <w:t>1</w:t>
                  </w:r>
                  <w:r>
                    <w:rPr>
                      <w:rFonts w:hint="eastAsia"/>
                      <w:sz w:val="24"/>
                      <w:szCs w:val="24"/>
                    </w:rPr>
                    <w:t>个，钢网架结构罩棚，占地</w:t>
                  </w:r>
                  <w:r>
                    <w:rPr>
                      <w:sz w:val="24"/>
                      <w:szCs w:val="24"/>
                    </w:rPr>
                    <w:t>4</w:t>
                  </w:r>
                  <w:r>
                    <w:rPr>
                      <w:rFonts w:hint="eastAsia"/>
                      <w:sz w:val="24"/>
                      <w:szCs w:val="24"/>
                    </w:rPr>
                    <w:t>5</w:t>
                  </w:r>
                  <w:r>
                    <w:rPr>
                      <w:sz w:val="24"/>
                      <w:szCs w:val="24"/>
                    </w:rPr>
                    <w:t>0m</w:t>
                  </w:r>
                  <w:r>
                    <w:rPr>
                      <w:sz w:val="24"/>
                      <w:szCs w:val="24"/>
                      <w:vertAlign w:val="superscript"/>
                    </w:rPr>
                    <w:t>2</w:t>
                  </w:r>
                  <w:r>
                    <w:rPr>
                      <w:rFonts w:hint="eastAsia"/>
                      <w:sz w:val="24"/>
                      <w:szCs w:val="24"/>
                    </w:rPr>
                    <w:t>，混凝土地面。设双枪三线制</w:t>
                  </w:r>
                  <w:r>
                    <w:rPr>
                      <w:sz w:val="24"/>
                      <w:szCs w:val="24"/>
                    </w:rPr>
                    <w:t>CNG</w:t>
                  </w:r>
                  <w:r>
                    <w:rPr>
                      <w:rFonts w:hint="eastAsia"/>
                      <w:sz w:val="24"/>
                      <w:szCs w:val="24"/>
                    </w:rPr>
                    <w:t>加气机3台，LNG加气机两台</w:t>
                  </w:r>
                </w:p>
              </w:tc>
              <w:tc>
                <w:tcPr>
                  <w:tcW w:w="886" w:type="dxa"/>
                  <w:noWrap w:val="0"/>
                  <w:vAlign w:val="center"/>
                </w:tcPr>
                <w:p>
                  <w:pPr>
                    <w:autoSpaceDE w:val="0"/>
                    <w:autoSpaceDN w:val="0"/>
                    <w:adjustRightInd w:val="0"/>
                    <w:jc w:val="left"/>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trPr>
              <w:tc>
                <w:tcPr>
                  <w:tcW w:w="976" w:type="dxa"/>
                  <w:noWrap w:val="0"/>
                  <w:vAlign w:val="center"/>
                </w:tcPr>
                <w:p>
                  <w:pPr>
                    <w:rPr>
                      <w:sz w:val="24"/>
                      <w:szCs w:val="24"/>
                    </w:rPr>
                  </w:pPr>
                  <w:r>
                    <w:rPr>
                      <w:rFonts w:hAnsi="宋体"/>
                      <w:sz w:val="24"/>
                      <w:szCs w:val="24"/>
                    </w:rPr>
                    <w:t>辅助工程</w:t>
                  </w:r>
                </w:p>
              </w:tc>
              <w:tc>
                <w:tcPr>
                  <w:tcW w:w="1843" w:type="dxa"/>
                  <w:noWrap w:val="0"/>
                  <w:vAlign w:val="center"/>
                </w:tcPr>
                <w:p>
                  <w:pPr>
                    <w:jc w:val="center"/>
                    <w:rPr>
                      <w:sz w:val="24"/>
                      <w:szCs w:val="24"/>
                    </w:rPr>
                  </w:pPr>
                  <w:r>
                    <w:rPr>
                      <w:rFonts w:hint="eastAsia"/>
                      <w:sz w:val="24"/>
                      <w:szCs w:val="24"/>
                    </w:rPr>
                    <w:t>控制室</w:t>
                  </w:r>
                </w:p>
              </w:tc>
              <w:tc>
                <w:tcPr>
                  <w:tcW w:w="3199" w:type="dxa"/>
                  <w:noWrap w:val="0"/>
                  <w:vAlign w:val="center"/>
                </w:tcPr>
                <w:p>
                  <w:pPr>
                    <w:autoSpaceDE w:val="0"/>
                    <w:autoSpaceDN w:val="0"/>
                    <w:adjustRightInd w:val="0"/>
                    <w:jc w:val="left"/>
                    <w:rPr>
                      <w:sz w:val="24"/>
                      <w:szCs w:val="24"/>
                    </w:rPr>
                  </w:pPr>
                  <w:r>
                    <w:rPr>
                      <w:kern w:val="0"/>
                      <w:sz w:val="24"/>
                      <w:szCs w:val="24"/>
                    </w:rPr>
                    <w:t>1</w:t>
                  </w:r>
                  <w:r>
                    <w:rPr>
                      <w:rFonts w:hint="eastAsia" w:ascii="宋体" w:cs="宋体"/>
                      <w:kern w:val="0"/>
                      <w:sz w:val="24"/>
                      <w:szCs w:val="24"/>
                    </w:rPr>
                    <w:t>个，位于站房一层最东侧，框架结构。站区采用</w:t>
                  </w:r>
                  <w:r>
                    <w:rPr>
                      <w:kern w:val="0"/>
                      <w:sz w:val="24"/>
                      <w:szCs w:val="24"/>
                    </w:rPr>
                    <w:t xml:space="preserve">PLC </w:t>
                  </w:r>
                  <w:r>
                    <w:rPr>
                      <w:rFonts w:hint="eastAsia" w:ascii="宋体" w:cs="宋体"/>
                      <w:kern w:val="0"/>
                      <w:sz w:val="24"/>
                      <w:szCs w:val="24"/>
                    </w:rPr>
                    <w:t>自控系统，包括站控系统、加气管理系统以及工业电视监控系统</w:t>
                  </w:r>
                </w:p>
              </w:tc>
              <w:tc>
                <w:tcPr>
                  <w:tcW w:w="2987" w:type="dxa"/>
                  <w:noWrap w:val="0"/>
                  <w:vAlign w:val="center"/>
                </w:tcPr>
                <w:p>
                  <w:pPr>
                    <w:autoSpaceDE w:val="0"/>
                    <w:autoSpaceDN w:val="0"/>
                    <w:adjustRightInd w:val="0"/>
                    <w:jc w:val="left"/>
                    <w:rPr>
                      <w:sz w:val="24"/>
                      <w:szCs w:val="24"/>
                    </w:rPr>
                  </w:pPr>
                  <w:r>
                    <w:rPr>
                      <w:kern w:val="0"/>
                      <w:sz w:val="24"/>
                      <w:szCs w:val="24"/>
                    </w:rPr>
                    <w:t>1</w:t>
                  </w:r>
                  <w:r>
                    <w:rPr>
                      <w:rFonts w:hint="eastAsia" w:ascii="宋体" w:cs="宋体"/>
                      <w:kern w:val="0"/>
                      <w:sz w:val="24"/>
                      <w:szCs w:val="24"/>
                    </w:rPr>
                    <w:t>个，位于站房一层最东侧，框架结构。站区采用</w:t>
                  </w:r>
                  <w:r>
                    <w:rPr>
                      <w:kern w:val="0"/>
                      <w:sz w:val="24"/>
                      <w:szCs w:val="24"/>
                    </w:rPr>
                    <w:t xml:space="preserve">PLC </w:t>
                  </w:r>
                  <w:r>
                    <w:rPr>
                      <w:rFonts w:hint="eastAsia" w:ascii="宋体" w:cs="宋体"/>
                      <w:kern w:val="0"/>
                      <w:sz w:val="24"/>
                      <w:szCs w:val="24"/>
                    </w:rPr>
                    <w:t>自控系统，包括站控系统、加气管理系统以及工业电视监控系统</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trPr>
              <w:tc>
                <w:tcPr>
                  <w:tcW w:w="976" w:type="dxa"/>
                  <w:vMerge w:val="restart"/>
                  <w:noWrap w:val="0"/>
                  <w:vAlign w:val="center"/>
                </w:tcPr>
                <w:p>
                  <w:pPr>
                    <w:rPr>
                      <w:rFonts w:hAnsi="宋体"/>
                      <w:sz w:val="24"/>
                      <w:szCs w:val="24"/>
                    </w:rPr>
                  </w:pPr>
                  <w:r>
                    <w:rPr>
                      <w:rFonts w:hint="eastAsia" w:hAnsi="宋体"/>
                      <w:sz w:val="24"/>
                      <w:szCs w:val="24"/>
                    </w:rPr>
                    <w:t>公用工程</w:t>
                  </w:r>
                </w:p>
              </w:tc>
              <w:tc>
                <w:tcPr>
                  <w:tcW w:w="1843" w:type="dxa"/>
                  <w:noWrap w:val="0"/>
                  <w:vAlign w:val="center"/>
                </w:tcPr>
                <w:p>
                  <w:pPr>
                    <w:jc w:val="center"/>
                    <w:rPr>
                      <w:sz w:val="24"/>
                      <w:szCs w:val="24"/>
                    </w:rPr>
                  </w:pPr>
                  <w:r>
                    <w:rPr>
                      <w:rFonts w:hAnsi="宋体"/>
                      <w:sz w:val="24"/>
                      <w:szCs w:val="24"/>
                    </w:rPr>
                    <w:t>配电房、变压器房</w:t>
                  </w:r>
                </w:p>
              </w:tc>
              <w:tc>
                <w:tcPr>
                  <w:tcW w:w="3199" w:type="dxa"/>
                  <w:noWrap w:val="0"/>
                  <w:vAlign w:val="center"/>
                </w:tcPr>
                <w:p>
                  <w:pPr>
                    <w:jc w:val="center"/>
                    <w:rPr>
                      <w:sz w:val="24"/>
                      <w:szCs w:val="24"/>
                    </w:rPr>
                  </w:pPr>
                  <w:r>
                    <w:rPr>
                      <w:rFonts w:hAnsi="宋体"/>
                      <w:sz w:val="24"/>
                      <w:szCs w:val="24"/>
                    </w:rPr>
                    <w:t>设在</w:t>
                  </w:r>
                  <w:r>
                    <w:rPr>
                      <w:rFonts w:hint="eastAsia" w:hAnsi="宋体"/>
                      <w:sz w:val="24"/>
                      <w:szCs w:val="24"/>
                    </w:rPr>
                    <w:t>厂区最西面</w:t>
                  </w:r>
                </w:p>
              </w:tc>
              <w:tc>
                <w:tcPr>
                  <w:tcW w:w="2987" w:type="dxa"/>
                  <w:noWrap w:val="0"/>
                  <w:vAlign w:val="center"/>
                </w:tcPr>
                <w:p>
                  <w:pPr>
                    <w:jc w:val="center"/>
                    <w:rPr>
                      <w:sz w:val="24"/>
                      <w:szCs w:val="24"/>
                    </w:rPr>
                  </w:pPr>
                  <w:r>
                    <w:rPr>
                      <w:rFonts w:hAnsi="宋体"/>
                      <w:sz w:val="24"/>
                      <w:szCs w:val="24"/>
                    </w:rPr>
                    <w:t>设在</w:t>
                  </w:r>
                  <w:r>
                    <w:rPr>
                      <w:rFonts w:hint="eastAsia" w:hAnsi="宋体"/>
                      <w:sz w:val="24"/>
                      <w:szCs w:val="24"/>
                    </w:rPr>
                    <w:t>厂区最西面</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trPr>
              <w:tc>
                <w:tcPr>
                  <w:tcW w:w="976" w:type="dxa"/>
                  <w:vMerge w:val="continue"/>
                  <w:noWrap w:val="0"/>
                  <w:vAlign w:val="center"/>
                </w:tcPr>
                <w:p>
                  <w:pPr>
                    <w:rPr>
                      <w:rFonts w:hAnsi="宋体"/>
                      <w:sz w:val="24"/>
                      <w:szCs w:val="24"/>
                    </w:rPr>
                  </w:pPr>
                </w:p>
              </w:tc>
              <w:tc>
                <w:tcPr>
                  <w:tcW w:w="1843" w:type="dxa"/>
                  <w:noWrap w:val="0"/>
                  <w:vAlign w:val="center"/>
                </w:tcPr>
                <w:p>
                  <w:pPr>
                    <w:jc w:val="center"/>
                    <w:rPr>
                      <w:rFonts w:hAnsi="宋体"/>
                      <w:sz w:val="24"/>
                      <w:szCs w:val="24"/>
                    </w:rPr>
                  </w:pPr>
                  <w:r>
                    <w:rPr>
                      <w:rFonts w:hint="eastAsia" w:hAnsi="宋体"/>
                      <w:sz w:val="24"/>
                      <w:szCs w:val="24"/>
                    </w:rPr>
                    <w:t>供排水</w:t>
                  </w:r>
                </w:p>
              </w:tc>
              <w:tc>
                <w:tcPr>
                  <w:tcW w:w="3199" w:type="dxa"/>
                  <w:noWrap w:val="0"/>
                  <w:vAlign w:val="center"/>
                </w:tcPr>
                <w:p>
                  <w:pPr>
                    <w:jc w:val="center"/>
                    <w:rPr>
                      <w:rFonts w:hAnsi="宋体"/>
                      <w:sz w:val="24"/>
                      <w:szCs w:val="24"/>
                    </w:rPr>
                  </w:pPr>
                  <w:r>
                    <w:rPr>
                      <w:rFonts w:hint="eastAsia" w:hAnsi="宋体"/>
                      <w:sz w:val="24"/>
                      <w:szCs w:val="24"/>
                    </w:rPr>
                    <w:t>厂区设置900</w:t>
                  </w:r>
                  <w:r>
                    <w:rPr>
                      <w:sz w:val="24"/>
                      <w:szCs w:val="24"/>
                    </w:rPr>
                    <w:t xml:space="preserve"> m</w:t>
                  </w:r>
                  <w:r>
                    <w:rPr>
                      <w:rFonts w:hint="eastAsia"/>
                      <w:sz w:val="24"/>
                      <w:szCs w:val="24"/>
                      <w:vertAlign w:val="superscript"/>
                    </w:rPr>
                    <w:t>3</w:t>
                  </w:r>
                  <w:r>
                    <w:rPr>
                      <w:rFonts w:hint="eastAsia"/>
                      <w:sz w:val="24"/>
                      <w:szCs w:val="24"/>
                    </w:rPr>
                    <w:t>消防池</w:t>
                  </w:r>
                </w:p>
              </w:tc>
              <w:tc>
                <w:tcPr>
                  <w:tcW w:w="2987" w:type="dxa"/>
                  <w:noWrap w:val="0"/>
                  <w:vAlign w:val="center"/>
                </w:tcPr>
                <w:p>
                  <w:pPr>
                    <w:jc w:val="center"/>
                    <w:rPr>
                      <w:sz w:val="24"/>
                      <w:szCs w:val="24"/>
                    </w:rPr>
                  </w:pPr>
                  <w:r>
                    <w:rPr>
                      <w:rFonts w:hint="eastAsia" w:hAnsi="宋体"/>
                      <w:sz w:val="24"/>
                      <w:szCs w:val="24"/>
                    </w:rPr>
                    <w:t>厂区设置900</w:t>
                  </w:r>
                  <w:r>
                    <w:rPr>
                      <w:sz w:val="24"/>
                      <w:szCs w:val="24"/>
                    </w:rPr>
                    <w:t xml:space="preserve"> m</w:t>
                  </w:r>
                  <w:r>
                    <w:rPr>
                      <w:rFonts w:hint="eastAsia"/>
                      <w:sz w:val="24"/>
                      <w:szCs w:val="24"/>
                      <w:vertAlign w:val="superscript"/>
                    </w:rPr>
                    <w:t>3</w:t>
                  </w:r>
                  <w:r>
                    <w:rPr>
                      <w:rFonts w:hint="eastAsia"/>
                      <w:sz w:val="24"/>
                      <w:szCs w:val="24"/>
                    </w:rPr>
                    <w:t>消防池</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trPr>
              <w:tc>
                <w:tcPr>
                  <w:tcW w:w="976" w:type="dxa"/>
                  <w:noWrap w:val="0"/>
                  <w:vAlign w:val="center"/>
                </w:tcPr>
                <w:p>
                  <w:pPr>
                    <w:rPr>
                      <w:rFonts w:hAnsi="宋体"/>
                      <w:sz w:val="24"/>
                      <w:szCs w:val="24"/>
                    </w:rPr>
                  </w:pPr>
                  <w:r>
                    <w:rPr>
                      <w:rFonts w:hint="eastAsia" w:hAnsi="宋体"/>
                      <w:sz w:val="24"/>
                      <w:szCs w:val="24"/>
                    </w:rPr>
                    <w:t>办公生活设施</w:t>
                  </w:r>
                </w:p>
              </w:tc>
              <w:tc>
                <w:tcPr>
                  <w:tcW w:w="1843" w:type="dxa"/>
                  <w:noWrap w:val="0"/>
                  <w:vAlign w:val="center"/>
                </w:tcPr>
                <w:p>
                  <w:pPr>
                    <w:jc w:val="center"/>
                    <w:rPr>
                      <w:rFonts w:hAnsi="宋体"/>
                      <w:sz w:val="24"/>
                      <w:szCs w:val="24"/>
                    </w:rPr>
                  </w:pPr>
                  <w:r>
                    <w:rPr>
                      <w:rFonts w:hint="eastAsia" w:hAnsi="宋体"/>
                      <w:sz w:val="24"/>
                      <w:szCs w:val="24"/>
                    </w:rPr>
                    <w:t>站房</w:t>
                  </w:r>
                </w:p>
              </w:tc>
              <w:tc>
                <w:tcPr>
                  <w:tcW w:w="3199" w:type="dxa"/>
                  <w:noWrap w:val="0"/>
                  <w:vAlign w:val="center"/>
                </w:tcPr>
                <w:p>
                  <w:pPr>
                    <w:jc w:val="center"/>
                    <w:rPr>
                      <w:rFonts w:hAnsi="宋体"/>
                      <w:sz w:val="24"/>
                      <w:szCs w:val="24"/>
                    </w:rPr>
                  </w:pPr>
                  <w:r>
                    <w:rPr>
                      <w:rFonts w:hAnsi="宋体"/>
                      <w:sz w:val="24"/>
                      <w:szCs w:val="24"/>
                    </w:rPr>
                    <w:t>职工办公生活</w:t>
                  </w:r>
                </w:p>
              </w:tc>
              <w:tc>
                <w:tcPr>
                  <w:tcW w:w="2987" w:type="dxa"/>
                  <w:noWrap w:val="0"/>
                  <w:vAlign w:val="center"/>
                </w:tcPr>
                <w:p>
                  <w:pPr>
                    <w:jc w:val="center"/>
                    <w:rPr>
                      <w:rFonts w:hAnsi="宋体"/>
                      <w:sz w:val="24"/>
                      <w:szCs w:val="24"/>
                    </w:rPr>
                  </w:pPr>
                  <w:r>
                    <w:rPr>
                      <w:rFonts w:hAnsi="宋体"/>
                      <w:sz w:val="24"/>
                      <w:szCs w:val="24"/>
                    </w:rPr>
                    <w:t>职工办公生活</w:t>
                  </w:r>
                </w:p>
              </w:tc>
              <w:tc>
                <w:tcPr>
                  <w:tcW w:w="886" w:type="dxa"/>
                  <w:noWrap w:val="0"/>
                  <w:vAlign w:val="center"/>
                </w:tcPr>
                <w:p>
                  <w:pPr>
                    <w:jc w:val="center"/>
                    <w:rPr>
                      <w:rFonts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exact"/>
              </w:trPr>
              <w:tc>
                <w:tcPr>
                  <w:tcW w:w="976" w:type="dxa"/>
                  <w:vMerge w:val="restart"/>
                  <w:noWrap w:val="0"/>
                  <w:vAlign w:val="center"/>
                </w:tcPr>
                <w:p>
                  <w:pPr>
                    <w:rPr>
                      <w:sz w:val="24"/>
                      <w:szCs w:val="24"/>
                    </w:rPr>
                  </w:pPr>
                  <w:r>
                    <w:rPr>
                      <w:rFonts w:hint="eastAsia"/>
                      <w:sz w:val="24"/>
                      <w:szCs w:val="24"/>
                    </w:rPr>
                    <w:t>环保</w:t>
                  </w:r>
                </w:p>
                <w:p>
                  <w:pPr>
                    <w:rPr>
                      <w:sz w:val="24"/>
                      <w:szCs w:val="24"/>
                    </w:rPr>
                  </w:pPr>
                  <w:r>
                    <w:rPr>
                      <w:rFonts w:hint="eastAsia"/>
                      <w:sz w:val="24"/>
                      <w:szCs w:val="24"/>
                    </w:rPr>
                    <w:t>工程</w:t>
                  </w:r>
                </w:p>
              </w:tc>
              <w:tc>
                <w:tcPr>
                  <w:tcW w:w="1843" w:type="dxa"/>
                  <w:noWrap w:val="0"/>
                  <w:vAlign w:val="center"/>
                </w:tcPr>
                <w:p>
                  <w:pPr>
                    <w:jc w:val="center"/>
                    <w:rPr>
                      <w:sz w:val="24"/>
                      <w:szCs w:val="24"/>
                    </w:rPr>
                  </w:pPr>
                  <w:r>
                    <w:rPr>
                      <w:rFonts w:hAnsi="宋体"/>
                      <w:sz w:val="24"/>
                      <w:szCs w:val="24"/>
                    </w:rPr>
                    <w:t>道路</w:t>
                  </w:r>
                </w:p>
              </w:tc>
              <w:tc>
                <w:tcPr>
                  <w:tcW w:w="3199" w:type="dxa"/>
                  <w:noWrap w:val="0"/>
                  <w:vAlign w:val="center"/>
                </w:tcPr>
                <w:p>
                  <w:pPr>
                    <w:jc w:val="center"/>
                    <w:rPr>
                      <w:sz w:val="24"/>
                      <w:szCs w:val="24"/>
                    </w:rPr>
                  </w:pPr>
                  <w:r>
                    <w:rPr>
                      <w:sz w:val="24"/>
                      <w:szCs w:val="24"/>
                    </w:rPr>
                    <w:t>—</w:t>
                  </w:r>
                </w:p>
              </w:tc>
              <w:tc>
                <w:tcPr>
                  <w:tcW w:w="2987" w:type="dxa"/>
                  <w:noWrap w:val="0"/>
                  <w:vAlign w:val="center"/>
                </w:tcPr>
                <w:p>
                  <w:pPr>
                    <w:jc w:val="center"/>
                    <w:rPr>
                      <w:sz w:val="24"/>
                      <w:szCs w:val="24"/>
                    </w:rPr>
                  </w:pPr>
                  <w:r>
                    <w:rPr>
                      <w:sz w:val="24"/>
                      <w:szCs w:val="24"/>
                    </w:rPr>
                    <w:t>—</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exact"/>
              </w:trPr>
              <w:tc>
                <w:tcPr>
                  <w:tcW w:w="976" w:type="dxa"/>
                  <w:vMerge w:val="continue"/>
                  <w:noWrap w:val="0"/>
                  <w:vAlign w:val="center"/>
                </w:tcPr>
                <w:p>
                  <w:pPr>
                    <w:rPr>
                      <w:sz w:val="24"/>
                      <w:szCs w:val="24"/>
                    </w:rPr>
                  </w:pPr>
                </w:p>
              </w:tc>
              <w:tc>
                <w:tcPr>
                  <w:tcW w:w="1843" w:type="dxa"/>
                  <w:noWrap w:val="0"/>
                  <w:vAlign w:val="center"/>
                </w:tcPr>
                <w:p>
                  <w:pPr>
                    <w:jc w:val="center"/>
                    <w:rPr>
                      <w:sz w:val="24"/>
                      <w:szCs w:val="24"/>
                    </w:rPr>
                  </w:pPr>
                  <w:r>
                    <w:rPr>
                      <w:rFonts w:hAnsi="宋体"/>
                      <w:sz w:val="24"/>
                      <w:szCs w:val="24"/>
                    </w:rPr>
                    <w:t>绿化</w:t>
                  </w:r>
                </w:p>
              </w:tc>
              <w:tc>
                <w:tcPr>
                  <w:tcW w:w="3199" w:type="dxa"/>
                  <w:noWrap w:val="0"/>
                  <w:vAlign w:val="center"/>
                </w:tcPr>
                <w:p>
                  <w:pPr>
                    <w:jc w:val="center"/>
                    <w:rPr>
                      <w:sz w:val="24"/>
                      <w:szCs w:val="24"/>
                    </w:rPr>
                  </w:pPr>
                  <w:r>
                    <w:rPr>
                      <w:sz w:val="24"/>
                      <w:szCs w:val="24"/>
                    </w:rPr>
                    <w:t>—</w:t>
                  </w:r>
                </w:p>
              </w:tc>
              <w:tc>
                <w:tcPr>
                  <w:tcW w:w="2987" w:type="dxa"/>
                  <w:noWrap w:val="0"/>
                  <w:vAlign w:val="center"/>
                </w:tcPr>
                <w:p>
                  <w:pPr>
                    <w:jc w:val="center"/>
                    <w:rPr>
                      <w:sz w:val="24"/>
                      <w:szCs w:val="24"/>
                    </w:rPr>
                  </w:pPr>
                  <w:r>
                    <w:rPr>
                      <w:sz w:val="24"/>
                      <w:szCs w:val="24"/>
                    </w:rPr>
                    <w:t>—</w:t>
                  </w:r>
                </w:p>
              </w:tc>
              <w:tc>
                <w:tcPr>
                  <w:tcW w:w="886" w:type="dxa"/>
                  <w:noWrap w:val="0"/>
                  <w:vAlign w:val="center"/>
                </w:tcPr>
                <w:p>
                  <w:pPr>
                    <w:jc w:val="center"/>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exact"/>
              </w:trPr>
              <w:tc>
                <w:tcPr>
                  <w:tcW w:w="976" w:type="dxa"/>
                  <w:vMerge w:val="continue"/>
                  <w:tcBorders>
                    <w:bottom w:val="single" w:color="auto" w:sz="4" w:space="0"/>
                  </w:tcBorders>
                  <w:noWrap w:val="0"/>
                  <w:vAlign w:val="center"/>
                </w:tcPr>
                <w:p>
                  <w:pPr>
                    <w:rPr>
                      <w:sz w:val="24"/>
                      <w:szCs w:val="24"/>
                    </w:rPr>
                  </w:pPr>
                </w:p>
              </w:tc>
              <w:tc>
                <w:tcPr>
                  <w:tcW w:w="1843" w:type="dxa"/>
                  <w:tcBorders>
                    <w:bottom w:val="single" w:color="auto" w:sz="4" w:space="0"/>
                  </w:tcBorders>
                  <w:noWrap w:val="0"/>
                  <w:vAlign w:val="center"/>
                </w:tcPr>
                <w:p>
                  <w:pPr>
                    <w:jc w:val="center"/>
                    <w:rPr>
                      <w:sz w:val="24"/>
                      <w:szCs w:val="24"/>
                    </w:rPr>
                  </w:pPr>
                  <w:r>
                    <w:rPr>
                      <w:rFonts w:hAnsi="宋体"/>
                      <w:sz w:val="24"/>
                      <w:szCs w:val="24"/>
                    </w:rPr>
                    <w:t>环保设施</w:t>
                  </w:r>
                </w:p>
              </w:tc>
              <w:tc>
                <w:tcPr>
                  <w:tcW w:w="3199" w:type="dxa"/>
                  <w:tcBorders>
                    <w:bottom w:val="single" w:color="auto" w:sz="4" w:space="0"/>
                  </w:tcBorders>
                  <w:noWrap w:val="0"/>
                  <w:vAlign w:val="center"/>
                </w:tcPr>
                <w:p>
                  <w:pPr>
                    <w:jc w:val="center"/>
                    <w:rPr>
                      <w:sz w:val="24"/>
                      <w:szCs w:val="24"/>
                    </w:rPr>
                  </w:pPr>
                  <w:r>
                    <w:rPr>
                      <w:rFonts w:hAnsi="宋体"/>
                      <w:sz w:val="24"/>
                      <w:szCs w:val="24"/>
                    </w:rPr>
                    <w:t>废气、废水处理</w:t>
                  </w:r>
                </w:p>
              </w:tc>
              <w:tc>
                <w:tcPr>
                  <w:tcW w:w="2987" w:type="dxa"/>
                  <w:tcBorders>
                    <w:bottom w:val="single" w:color="auto" w:sz="4" w:space="0"/>
                  </w:tcBorders>
                  <w:noWrap w:val="0"/>
                  <w:vAlign w:val="center"/>
                </w:tcPr>
                <w:p>
                  <w:pPr>
                    <w:jc w:val="center"/>
                    <w:rPr>
                      <w:rFonts w:hint="eastAsia" w:eastAsiaTheme="minorEastAsia"/>
                      <w:sz w:val="24"/>
                      <w:szCs w:val="24"/>
                      <w:lang w:eastAsia="zh-CN"/>
                    </w:rPr>
                  </w:pPr>
                  <w:r>
                    <w:rPr>
                      <w:rFonts w:hint="eastAsia"/>
                      <w:sz w:val="24"/>
                      <w:szCs w:val="24"/>
                      <w:lang w:eastAsia="zh-CN"/>
                    </w:rPr>
                    <w:t>通风设施、化粪池</w:t>
                  </w:r>
                </w:p>
              </w:tc>
              <w:tc>
                <w:tcPr>
                  <w:tcW w:w="886" w:type="dxa"/>
                  <w:tcBorders>
                    <w:bottom w:val="single" w:color="auto" w:sz="4" w:space="0"/>
                  </w:tcBorders>
                  <w:noWrap w:val="0"/>
                  <w:vAlign w:val="center"/>
                </w:tcPr>
                <w:p>
                  <w:pPr>
                    <w:jc w:val="center"/>
                    <w:rPr>
                      <w:sz w:val="24"/>
                      <w:szCs w:val="24"/>
                    </w:rPr>
                  </w:pPr>
                </w:p>
              </w:tc>
            </w:tr>
          </w:tbl>
          <w:p>
            <w:pPr>
              <w:pStyle w:val="25"/>
              <w:rPr>
                <w:rFonts w:hint="eastAsia" w:ascii="Times New Roman" w:hAnsi="Times New Roman"/>
                <w:b/>
              </w:rPr>
            </w:pPr>
          </w:p>
          <w:p>
            <w:pPr>
              <w:pStyle w:val="25"/>
              <w:ind w:firstLine="482" w:firstLineChars="200"/>
              <w:rPr>
                <w:rFonts w:hint="eastAsia" w:eastAsia="宋体"/>
                <w:lang w:eastAsia="zh-CN"/>
              </w:rPr>
            </w:pPr>
            <w:r>
              <w:rPr>
                <w:rFonts w:hint="eastAsia" w:ascii="Times New Roman" w:hAnsi="Times New Roman"/>
                <w:b/>
              </w:rPr>
              <w:t>4、主要设备</w:t>
            </w:r>
            <w:r>
              <w:rPr>
                <w:rFonts w:hint="eastAsia" w:ascii="Times New Roman" w:hAnsi="Times New Roman"/>
                <w:b/>
                <w:lang w:eastAsia="zh-CN"/>
              </w:rPr>
              <w:t>和原辅材料</w:t>
            </w:r>
          </w:p>
          <w:p>
            <w:pPr>
              <w:autoSpaceDE w:val="0"/>
              <w:autoSpaceDN w:val="0"/>
              <w:adjustRightInd w:val="0"/>
              <w:ind w:firstLine="480" w:firstLineChars="200"/>
              <w:rPr>
                <w:sz w:val="24"/>
                <w:szCs w:val="24"/>
              </w:rPr>
            </w:pPr>
            <w:r>
              <w:rPr>
                <w:sz w:val="24"/>
                <w:szCs w:val="24"/>
              </w:rPr>
              <w:t>项目主要设备清单见表3。</w:t>
            </w:r>
          </w:p>
          <w:p>
            <w:pPr>
              <w:spacing w:line="360" w:lineRule="auto"/>
              <w:jc w:val="center"/>
              <w:rPr>
                <w:rFonts w:hAnsi="宋体"/>
                <w:sz w:val="24"/>
              </w:rPr>
            </w:pPr>
            <w:r>
              <w:rPr>
                <w:rFonts w:ascii="Times New Roman" w:hAnsi="Times New Roman"/>
                <w:b/>
                <w:sz w:val="24"/>
                <w:szCs w:val="24"/>
              </w:rPr>
              <w:t>表</w:t>
            </w:r>
            <w:r>
              <w:rPr>
                <w:rFonts w:hint="eastAsia" w:ascii="Times New Roman" w:hAnsi="Times New Roman"/>
                <w:b/>
                <w:sz w:val="24"/>
                <w:szCs w:val="24"/>
              </w:rPr>
              <w:t>2-</w:t>
            </w:r>
            <w:r>
              <w:rPr>
                <w:rFonts w:hint="eastAsia" w:ascii="Times New Roman" w:hAnsi="Times New Roman"/>
                <w:b/>
                <w:sz w:val="24"/>
                <w:szCs w:val="24"/>
                <w:lang w:val="en-US" w:eastAsia="zh-CN"/>
              </w:rPr>
              <w:t xml:space="preserve">2 </w:t>
            </w:r>
            <w:r>
              <w:rPr>
                <w:rFonts w:hint="eastAsia" w:hAnsi="宋体"/>
                <w:b/>
                <w:bCs/>
                <w:sz w:val="24"/>
              </w:rPr>
              <w:t>LNG主要设备情况表</w:t>
            </w:r>
          </w:p>
          <w:tbl>
            <w:tblPr>
              <w:tblStyle w:val="20"/>
              <w:tblW w:w="0" w:type="auto"/>
              <w:tblInd w:w="0" w:type="dxa"/>
              <w:tblLayout w:type="fixed"/>
              <w:tblCellMar>
                <w:top w:w="0" w:type="dxa"/>
                <w:left w:w="108" w:type="dxa"/>
                <w:bottom w:w="0" w:type="dxa"/>
                <w:right w:w="108" w:type="dxa"/>
              </w:tblCellMar>
            </w:tblPr>
            <w:tblGrid>
              <w:gridCol w:w="484"/>
              <w:gridCol w:w="1489"/>
              <w:gridCol w:w="1985"/>
              <w:gridCol w:w="1084"/>
              <w:gridCol w:w="970"/>
              <w:gridCol w:w="971"/>
              <w:gridCol w:w="2905"/>
            </w:tblGrid>
            <w:tr>
              <w:tblPrEx>
                <w:tblCellMar>
                  <w:top w:w="0" w:type="dxa"/>
                  <w:left w:w="108" w:type="dxa"/>
                  <w:bottom w:w="0" w:type="dxa"/>
                  <w:right w:w="108" w:type="dxa"/>
                </w:tblCellMar>
              </w:tblPrEx>
              <w:trPr>
                <w:trHeight w:val="1014" w:hRule="atLeast"/>
              </w:trPr>
              <w:tc>
                <w:tcPr>
                  <w:tcW w:w="484"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序号</w:t>
                  </w:r>
                </w:p>
              </w:tc>
              <w:tc>
                <w:tcPr>
                  <w:tcW w:w="1489"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分项</w:t>
                  </w:r>
                </w:p>
                <w:p>
                  <w:pPr>
                    <w:jc w:val="center"/>
                    <w:rPr>
                      <w:sz w:val="24"/>
                      <w:szCs w:val="24"/>
                    </w:rPr>
                  </w:pPr>
                  <w:r>
                    <w:rPr>
                      <w:rFonts w:hint="eastAsia"/>
                      <w:sz w:val="24"/>
                      <w:szCs w:val="24"/>
                    </w:rPr>
                    <w:t>名称</w:t>
                  </w:r>
                </w:p>
              </w:tc>
              <w:tc>
                <w:tcPr>
                  <w:tcW w:w="1985"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规格型号</w:t>
                  </w:r>
                </w:p>
              </w:tc>
              <w:tc>
                <w:tcPr>
                  <w:tcW w:w="1084"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制造商</w:t>
                  </w:r>
                </w:p>
              </w:tc>
              <w:tc>
                <w:tcPr>
                  <w:tcW w:w="970" w:type="dxa"/>
                  <w:tcBorders>
                    <w:top w:val="single" w:color="auto" w:sz="8" w:space="0"/>
                    <w:left w:val="single" w:color="auto" w:sz="8" w:space="0"/>
                    <w:bottom w:val="single" w:color="auto" w:sz="8" w:space="0"/>
                    <w:right w:val="single" w:color="auto" w:sz="8" w:space="0"/>
                  </w:tcBorders>
                  <w:shd w:val="clear" w:color="auto" w:fill="auto"/>
                  <w:noWrap w:val="0"/>
                  <w:vAlign w:val="center"/>
                </w:tcPr>
                <w:p>
                  <w:pPr>
                    <w:jc w:val="center"/>
                    <w:rPr>
                      <w:rFonts w:hint="eastAsia"/>
                      <w:sz w:val="24"/>
                      <w:szCs w:val="24"/>
                      <w:lang w:eastAsia="zh-CN"/>
                    </w:rPr>
                  </w:pPr>
                  <w:r>
                    <w:rPr>
                      <w:rFonts w:hint="eastAsia"/>
                      <w:sz w:val="24"/>
                      <w:szCs w:val="24"/>
                      <w:lang w:eastAsia="zh-CN"/>
                    </w:rPr>
                    <w:t>设计</w:t>
                  </w:r>
                </w:p>
                <w:p>
                  <w:pPr>
                    <w:jc w:val="center"/>
                    <w:rPr>
                      <w:sz w:val="24"/>
                      <w:szCs w:val="24"/>
                    </w:rPr>
                  </w:pPr>
                  <w:r>
                    <w:rPr>
                      <w:rFonts w:hint="eastAsia"/>
                      <w:sz w:val="24"/>
                      <w:szCs w:val="24"/>
                    </w:rPr>
                    <w:t>数量</w:t>
                  </w:r>
                </w:p>
              </w:tc>
              <w:tc>
                <w:tcPr>
                  <w:tcW w:w="971"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rFonts w:hint="eastAsia"/>
                      <w:sz w:val="24"/>
                      <w:szCs w:val="24"/>
                      <w:lang w:eastAsia="zh-CN"/>
                    </w:rPr>
                  </w:pPr>
                  <w:r>
                    <w:rPr>
                      <w:rFonts w:hint="eastAsia"/>
                      <w:sz w:val="24"/>
                      <w:szCs w:val="24"/>
                      <w:lang w:eastAsia="zh-CN"/>
                    </w:rPr>
                    <w:t>实际</w:t>
                  </w:r>
                </w:p>
                <w:p>
                  <w:pPr>
                    <w:jc w:val="center"/>
                    <w:rPr>
                      <w:rFonts w:hint="eastAsia" w:eastAsiaTheme="minorEastAsia"/>
                      <w:sz w:val="24"/>
                      <w:szCs w:val="24"/>
                      <w:lang w:eastAsia="zh-CN"/>
                    </w:rPr>
                  </w:pPr>
                  <w:r>
                    <w:rPr>
                      <w:rFonts w:hint="eastAsia"/>
                      <w:sz w:val="24"/>
                      <w:szCs w:val="24"/>
                      <w:lang w:eastAsia="zh-CN"/>
                    </w:rPr>
                    <w:t>数量</w:t>
                  </w:r>
                </w:p>
              </w:tc>
              <w:tc>
                <w:tcPr>
                  <w:tcW w:w="2905" w:type="dxa"/>
                  <w:tcBorders>
                    <w:top w:val="single" w:color="auto" w:sz="8" w:space="0"/>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备注</w:t>
                  </w:r>
                </w:p>
              </w:tc>
            </w:tr>
            <w:tr>
              <w:tblPrEx>
                <w:tblCellMar>
                  <w:top w:w="0" w:type="dxa"/>
                  <w:left w:w="108" w:type="dxa"/>
                  <w:bottom w:w="0" w:type="dxa"/>
                  <w:right w:w="108" w:type="dxa"/>
                </w:tblCellMar>
              </w:tblPrEx>
              <w:trPr>
                <w:trHeight w:val="1177" w:hRule="atLeast"/>
              </w:trPr>
              <w:tc>
                <w:tcPr>
                  <w:tcW w:w="484" w:type="dxa"/>
                  <w:tcBorders>
                    <w:top w:val="nil"/>
                    <w:left w:val="single" w:color="auto" w:sz="8" w:space="0"/>
                    <w:bottom w:val="single" w:color="auto" w:sz="4" w:space="0"/>
                    <w:right w:val="single" w:color="auto" w:sz="8" w:space="0"/>
                  </w:tcBorders>
                  <w:shd w:val="clear" w:color="auto" w:fill="auto"/>
                  <w:noWrap w:val="0"/>
                  <w:vAlign w:val="center"/>
                </w:tcPr>
                <w:p>
                  <w:pPr>
                    <w:jc w:val="center"/>
                    <w:rPr>
                      <w:sz w:val="24"/>
                      <w:szCs w:val="24"/>
                    </w:rPr>
                  </w:pPr>
                  <w:r>
                    <w:rPr>
                      <w:rFonts w:hint="eastAsia"/>
                      <w:sz w:val="24"/>
                      <w:szCs w:val="24"/>
                    </w:rPr>
                    <w:t>1</w:t>
                  </w:r>
                </w:p>
              </w:tc>
              <w:tc>
                <w:tcPr>
                  <w:tcW w:w="1489" w:type="dxa"/>
                  <w:tcBorders>
                    <w:top w:val="nil"/>
                    <w:left w:val="nil"/>
                    <w:bottom w:val="single" w:color="auto" w:sz="4" w:space="0"/>
                    <w:right w:val="single" w:color="auto" w:sz="8" w:space="0"/>
                  </w:tcBorders>
                  <w:shd w:val="clear" w:color="auto" w:fill="auto"/>
                  <w:noWrap w:val="0"/>
                  <w:vAlign w:val="center"/>
                </w:tcPr>
                <w:p>
                  <w:pPr>
                    <w:jc w:val="center"/>
                    <w:rPr>
                      <w:sz w:val="24"/>
                      <w:szCs w:val="24"/>
                    </w:rPr>
                  </w:pPr>
                  <w:r>
                    <w:rPr>
                      <w:sz w:val="24"/>
                      <w:szCs w:val="24"/>
                    </w:rPr>
                    <w:t>LNG</w:t>
                  </w:r>
                  <w:r>
                    <w:rPr>
                      <w:rFonts w:hint="eastAsia"/>
                      <w:sz w:val="24"/>
                      <w:szCs w:val="24"/>
                    </w:rPr>
                    <w:t>储罐</w:t>
                  </w:r>
                </w:p>
              </w:tc>
              <w:tc>
                <w:tcPr>
                  <w:tcW w:w="1985" w:type="dxa"/>
                  <w:tcBorders>
                    <w:top w:val="nil"/>
                    <w:left w:val="nil"/>
                    <w:bottom w:val="single" w:color="auto" w:sz="4" w:space="0"/>
                    <w:right w:val="single" w:color="auto" w:sz="8" w:space="0"/>
                  </w:tcBorders>
                  <w:shd w:val="clear" w:color="auto" w:fill="auto"/>
                  <w:noWrap w:val="0"/>
                  <w:vAlign w:val="center"/>
                </w:tcPr>
                <w:p>
                  <w:pPr>
                    <w:jc w:val="center"/>
                    <w:rPr>
                      <w:sz w:val="24"/>
                      <w:szCs w:val="24"/>
                    </w:rPr>
                  </w:pPr>
                  <w:r>
                    <w:rPr>
                      <w:rFonts w:hint="eastAsia"/>
                      <w:sz w:val="24"/>
                      <w:szCs w:val="24"/>
                    </w:rPr>
                    <w:t>60m</w:t>
                  </w:r>
                  <w:r>
                    <w:rPr>
                      <w:rFonts w:hint="eastAsia"/>
                      <w:sz w:val="24"/>
                      <w:szCs w:val="24"/>
                      <w:vertAlign w:val="superscript"/>
                    </w:rPr>
                    <w:t>3</w:t>
                  </w:r>
                  <w:r>
                    <w:rPr>
                      <w:rFonts w:hint="eastAsia"/>
                      <w:sz w:val="24"/>
                      <w:szCs w:val="24"/>
                    </w:rPr>
                    <w:t>卧式</w:t>
                  </w:r>
                </w:p>
              </w:tc>
              <w:tc>
                <w:tcPr>
                  <w:tcW w:w="1084" w:type="dxa"/>
                  <w:tcBorders>
                    <w:top w:val="nil"/>
                    <w:left w:val="nil"/>
                    <w:bottom w:val="single" w:color="auto" w:sz="4" w:space="0"/>
                    <w:right w:val="single" w:color="auto" w:sz="8" w:space="0"/>
                  </w:tcBorders>
                  <w:shd w:val="clear" w:color="auto" w:fill="auto"/>
                  <w:noWrap w:val="0"/>
                  <w:vAlign w:val="center"/>
                </w:tcPr>
                <w:p>
                  <w:pPr>
                    <w:jc w:val="center"/>
                    <w:rPr>
                      <w:sz w:val="24"/>
                      <w:szCs w:val="24"/>
                    </w:rPr>
                  </w:pPr>
                  <w:r>
                    <w:rPr>
                      <w:rFonts w:hint="eastAsia"/>
                      <w:sz w:val="24"/>
                      <w:szCs w:val="24"/>
                    </w:rPr>
                    <w:t>北京天海</w:t>
                  </w:r>
                </w:p>
              </w:tc>
              <w:tc>
                <w:tcPr>
                  <w:tcW w:w="970" w:type="dxa"/>
                  <w:tcBorders>
                    <w:top w:val="single" w:color="auto" w:sz="8" w:space="0"/>
                    <w:left w:val="nil"/>
                    <w:bottom w:val="single" w:color="auto" w:sz="4" w:space="0"/>
                    <w:right w:val="single" w:color="auto" w:sz="8" w:space="0"/>
                  </w:tcBorders>
                  <w:shd w:val="clear" w:color="auto" w:fill="auto"/>
                  <w:noWrap w:val="0"/>
                  <w:vAlign w:val="center"/>
                </w:tcPr>
                <w:p>
                  <w:pPr>
                    <w:jc w:val="center"/>
                    <w:rPr>
                      <w:sz w:val="24"/>
                      <w:szCs w:val="24"/>
                    </w:rPr>
                  </w:pPr>
                  <w:r>
                    <w:rPr>
                      <w:rFonts w:hint="eastAsia"/>
                      <w:sz w:val="24"/>
                      <w:szCs w:val="24"/>
                    </w:rPr>
                    <w:t>1台</w:t>
                  </w:r>
                </w:p>
              </w:tc>
              <w:tc>
                <w:tcPr>
                  <w:tcW w:w="971" w:type="dxa"/>
                  <w:tcBorders>
                    <w:top w:val="nil"/>
                    <w:left w:val="nil"/>
                    <w:bottom w:val="single" w:color="auto" w:sz="4"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1台</w:t>
                  </w:r>
                </w:p>
              </w:tc>
              <w:tc>
                <w:tcPr>
                  <w:tcW w:w="2905" w:type="dxa"/>
                  <w:tcBorders>
                    <w:top w:val="nil"/>
                    <w:left w:val="nil"/>
                    <w:bottom w:val="single" w:color="auto" w:sz="4" w:space="0"/>
                    <w:right w:val="single" w:color="auto" w:sz="8" w:space="0"/>
                  </w:tcBorders>
                  <w:shd w:val="clear" w:color="auto" w:fill="auto"/>
                  <w:noWrap w:val="0"/>
                  <w:vAlign w:val="center"/>
                </w:tcPr>
                <w:p>
                  <w:pPr>
                    <w:jc w:val="center"/>
                    <w:rPr>
                      <w:sz w:val="24"/>
                      <w:szCs w:val="24"/>
                    </w:rPr>
                  </w:pPr>
                  <w:r>
                    <w:rPr>
                      <w:rFonts w:hint="eastAsia"/>
                      <w:sz w:val="24"/>
                      <w:szCs w:val="24"/>
                    </w:rPr>
                    <w:t>储罐采用双根部阀，执行国家标准2013年3月1日起实施的《汽车加油加气站设计与施工规范》，储罐液相口设紧急切断阀</w:t>
                  </w:r>
                  <w:r>
                    <w:rPr>
                      <w:sz w:val="24"/>
                      <w:szCs w:val="24"/>
                    </w:rPr>
                    <w:t xml:space="preserve"> </w:t>
                  </w:r>
                </w:p>
              </w:tc>
            </w:tr>
            <w:tr>
              <w:tblPrEx>
                <w:tblCellMar>
                  <w:top w:w="0" w:type="dxa"/>
                  <w:left w:w="108" w:type="dxa"/>
                  <w:bottom w:w="0" w:type="dxa"/>
                  <w:right w:w="108" w:type="dxa"/>
                </w:tblCellMar>
              </w:tblPrEx>
              <w:trPr>
                <w:trHeight w:val="886" w:hRule="atLeast"/>
              </w:trPr>
              <w:tc>
                <w:tcPr>
                  <w:tcW w:w="484" w:type="dxa"/>
                  <w:tcBorders>
                    <w:top w:val="single" w:color="auto" w:sz="4" w:space="0"/>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2</w:t>
                  </w:r>
                </w:p>
              </w:tc>
              <w:tc>
                <w:tcPr>
                  <w:tcW w:w="1489" w:type="dxa"/>
                  <w:tcBorders>
                    <w:top w:val="single" w:color="auto" w:sz="4" w:space="0"/>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储罐增压器</w:t>
                  </w:r>
                </w:p>
              </w:tc>
              <w:tc>
                <w:tcPr>
                  <w:tcW w:w="1985" w:type="dxa"/>
                  <w:tcBorders>
                    <w:top w:val="single" w:color="auto" w:sz="4" w:space="0"/>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气化量：</w:t>
                  </w:r>
                  <w:r>
                    <w:rPr>
                      <w:sz w:val="24"/>
                      <w:szCs w:val="24"/>
                    </w:rPr>
                    <w:t>150Nm</w:t>
                  </w:r>
                  <w:r>
                    <w:rPr>
                      <w:sz w:val="24"/>
                      <w:szCs w:val="24"/>
                      <w:vertAlign w:val="superscript"/>
                    </w:rPr>
                    <w:t>3</w:t>
                  </w:r>
                  <w:r>
                    <w:rPr>
                      <w:sz w:val="24"/>
                      <w:szCs w:val="24"/>
                    </w:rPr>
                    <w:t>/h</w:t>
                  </w:r>
                </w:p>
              </w:tc>
              <w:tc>
                <w:tcPr>
                  <w:tcW w:w="1084" w:type="dxa"/>
                  <w:tcBorders>
                    <w:top w:val="single" w:color="auto" w:sz="4" w:space="0"/>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华南特</w:t>
                  </w:r>
                </w:p>
              </w:tc>
              <w:tc>
                <w:tcPr>
                  <w:tcW w:w="970" w:type="dxa"/>
                  <w:tcBorders>
                    <w:top w:val="single" w:color="auto" w:sz="4" w:space="0"/>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1台</w:t>
                  </w:r>
                </w:p>
              </w:tc>
              <w:tc>
                <w:tcPr>
                  <w:tcW w:w="971" w:type="dxa"/>
                  <w:tcBorders>
                    <w:top w:val="single" w:color="auto" w:sz="4" w:space="0"/>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1台</w:t>
                  </w:r>
                </w:p>
              </w:tc>
              <w:tc>
                <w:tcPr>
                  <w:tcW w:w="2905" w:type="dxa"/>
                  <w:vMerge w:val="restart"/>
                  <w:tcBorders>
                    <w:top w:val="single" w:color="auto" w:sz="4" w:space="0"/>
                    <w:left w:val="nil"/>
                    <w:bottom w:val="nil"/>
                    <w:right w:val="single" w:color="auto" w:sz="8" w:space="0"/>
                  </w:tcBorders>
                  <w:shd w:val="clear" w:color="auto" w:fill="auto"/>
                  <w:noWrap w:val="0"/>
                  <w:vAlign w:val="center"/>
                </w:tcPr>
                <w:p>
                  <w:pPr>
                    <w:jc w:val="center"/>
                    <w:rPr>
                      <w:sz w:val="24"/>
                      <w:szCs w:val="24"/>
                    </w:rPr>
                  </w:pPr>
                  <w:r>
                    <w:rPr>
                      <w:rFonts w:hint="eastAsia"/>
                      <w:sz w:val="24"/>
                      <w:szCs w:val="24"/>
                    </w:rPr>
                    <w:t>气化器组、LNG低温潜液泵及泵池均集成在LNG潜液泵橇上</w:t>
                  </w:r>
                </w:p>
              </w:tc>
            </w:tr>
            <w:tr>
              <w:tblPrEx>
                <w:tblCellMar>
                  <w:top w:w="0" w:type="dxa"/>
                  <w:left w:w="108" w:type="dxa"/>
                  <w:bottom w:w="0" w:type="dxa"/>
                  <w:right w:w="108" w:type="dxa"/>
                </w:tblCellMar>
              </w:tblPrEx>
              <w:trPr>
                <w:trHeight w:val="600"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3</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卸车增压器</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气化量：</w:t>
                  </w:r>
                  <w:r>
                    <w:rPr>
                      <w:sz w:val="24"/>
                      <w:szCs w:val="24"/>
                    </w:rPr>
                    <w:t>300Nm</w:t>
                  </w:r>
                  <w:r>
                    <w:rPr>
                      <w:sz w:val="24"/>
                      <w:szCs w:val="24"/>
                      <w:vertAlign w:val="superscript"/>
                    </w:rPr>
                    <w:t>3</w:t>
                  </w:r>
                  <w:r>
                    <w:rPr>
                      <w:sz w:val="24"/>
                      <w:szCs w:val="24"/>
                    </w:rPr>
                    <w:t>/h</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华南特</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1台</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1台</w:t>
                  </w:r>
                </w:p>
              </w:tc>
              <w:tc>
                <w:tcPr>
                  <w:tcW w:w="2905" w:type="dxa"/>
                  <w:vMerge w:val="continue"/>
                  <w:tcBorders>
                    <w:left w:val="single" w:color="auto" w:sz="8" w:space="0"/>
                    <w:right w:val="single" w:color="auto" w:sz="8" w:space="0"/>
                  </w:tcBorders>
                  <w:noWrap w:val="0"/>
                  <w:vAlign w:val="center"/>
                </w:tcPr>
                <w:p>
                  <w:pPr>
                    <w:jc w:val="center"/>
                    <w:rPr>
                      <w:sz w:val="24"/>
                      <w:szCs w:val="24"/>
                    </w:rPr>
                  </w:pPr>
                </w:p>
              </w:tc>
            </w:tr>
            <w:tr>
              <w:tblPrEx>
                <w:tblCellMar>
                  <w:top w:w="0" w:type="dxa"/>
                  <w:left w:w="108" w:type="dxa"/>
                  <w:bottom w:w="0" w:type="dxa"/>
                  <w:right w:w="108" w:type="dxa"/>
                </w:tblCellMar>
              </w:tblPrEx>
              <w:trPr>
                <w:trHeight w:val="600"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4</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sz w:val="24"/>
                      <w:szCs w:val="24"/>
                    </w:rPr>
                    <w:t>EAG</w:t>
                  </w:r>
                  <w:r>
                    <w:rPr>
                      <w:rFonts w:hint="eastAsia"/>
                      <w:sz w:val="24"/>
                      <w:szCs w:val="24"/>
                    </w:rPr>
                    <w:t>加热器</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气化量：</w:t>
                  </w:r>
                  <w:r>
                    <w:rPr>
                      <w:sz w:val="24"/>
                      <w:szCs w:val="24"/>
                    </w:rPr>
                    <w:t>150Nm</w:t>
                  </w:r>
                  <w:r>
                    <w:rPr>
                      <w:sz w:val="24"/>
                      <w:szCs w:val="24"/>
                      <w:vertAlign w:val="superscript"/>
                    </w:rPr>
                    <w:t>3</w:t>
                  </w:r>
                  <w:r>
                    <w:rPr>
                      <w:sz w:val="24"/>
                      <w:szCs w:val="24"/>
                    </w:rPr>
                    <w:t>/h</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华南特</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1台</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1台</w:t>
                  </w:r>
                </w:p>
              </w:tc>
              <w:tc>
                <w:tcPr>
                  <w:tcW w:w="2905" w:type="dxa"/>
                  <w:vMerge w:val="continue"/>
                  <w:tcBorders>
                    <w:left w:val="single" w:color="auto" w:sz="8" w:space="0"/>
                    <w:right w:val="single" w:color="auto" w:sz="8" w:space="0"/>
                  </w:tcBorders>
                  <w:noWrap w:val="0"/>
                  <w:vAlign w:val="center"/>
                </w:tcPr>
                <w:p>
                  <w:pPr>
                    <w:jc w:val="center"/>
                    <w:rPr>
                      <w:sz w:val="24"/>
                      <w:szCs w:val="24"/>
                    </w:rPr>
                  </w:pPr>
                </w:p>
              </w:tc>
            </w:tr>
            <w:tr>
              <w:tblPrEx>
                <w:tblCellMar>
                  <w:top w:w="0" w:type="dxa"/>
                  <w:left w:w="108" w:type="dxa"/>
                  <w:bottom w:w="0" w:type="dxa"/>
                  <w:right w:w="108" w:type="dxa"/>
                </w:tblCellMar>
              </w:tblPrEx>
              <w:trPr>
                <w:trHeight w:val="747" w:hRule="atLeast"/>
              </w:trPr>
              <w:tc>
                <w:tcPr>
                  <w:tcW w:w="484"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5</w:t>
                  </w:r>
                </w:p>
              </w:tc>
              <w:tc>
                <w:tcPr>
                  <w:tcW w:w="1489"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低温潜液泵</w:t>
                  </w:r>
                </w:p>
              </w:tc>
              <w:tc>
                <w:tcPr>
                  <w:tcW w:w="1985"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型号：TC-34 1X2X6-2VSL</w:t>
                  </w:r>
                </w:p>
              </w:tc>
              <w:tc>
                <w:tcPr>
                  <w:tcW w:w="1084"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美国ACD</w:t>
                  </w:r>
                </w:p>
              </w:tc>
              <w:tc>
                <w:tcPr>
                  <w:tcW w:w="970"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2台</w:t>
                  </w:r>
                </w:p>
              </w:tc>
              <w:tc>
                <w:tcPr>
                  <w:tcW w:w="971" w:type="dxa"/>
                  <w:tcBorders>
                    <w:top w:val="nil"/>
                    <w:left w:val="single" w:color="auto" w:sz="8" w:space="0"/>
                    <w:bottom w:val="single" w:color="000000"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2台</w:t>
                  </w:r>
                </w:p>
              </w:tc>
              <w:tc>
                <w:tcPr>
                  <w:tcW w:w="2905" w:type="dxa"/>
                  <w:vMerge w:val="continue"/>
                  <w:tcBorders>
                    <w:left w:val="single" w:color="auto" w:sz="8" w:space="0"/>
                    <w:bottom w:val="nil"/>
                    <w:right w:val="single" w:color="auto" w:sz="8" w:space="0"/>
                  </w:tcBorders>
                  <w:noWrap w:val="0"/>
                  <w:vAlign w:val="center"/>
                </w:tcPr>
                <w:p>
                  <w:pPr>
                    <w:jc w:val="center"/>
                    <w:rPr>
                      <w:sz w:val="24"/>
                      <w:szCs w:val="24"/>
                    </w:rPr>
                  </w:pPr>
                </w:p>
              </w:tc>
            </w:tr>
            <w:tr>
              <w:tblPrEx>
                <w:tblCellMar>
                  <w:top w:w="0" w:type="dxa"/>
                  <w:left w:w="108" w:type="dxa"/>
                  <w:bottom w:w="0" w:type="dxa"/>
                  <w:right w:w="108" w:type="dxa"/>
                </w:tblCellMar>
              </w:tblPrEx>
              <w:trPr>
                <w:trHeight w:val="492"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6</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低温潜液泵池</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rFonts w:hint="eastAsia" w:eastAsiaTheme="minorEastAsia"/>
                      <w:sz w:val="24"/>
                      <w:szCs w:val="24"/>
                      <w:lang w:val="en-US" w:eastAsia="zh-CN"/>
                    </w:rPr>
                  </w:pPr>
                  <w:r>
                    <w:rPr>
                      <w:rFonts w:hint="eastAsia"/>
                      <w:sz w:val="24"/>
                      <w:szCs w:val="24"/>
                      <w:lang w:val="en-US" w:eastAsia="zh-CN"/>
                    </w:rPr>
                    <w:t>/</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华气厚普</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2台</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2台</w:t>
                  </w:r>
                </w:p>
              </w:tc>
              <w:tc>
                <w:tcPr>
                  <w:tcW w:w="2905" w:type="dxa"/>
                  <w:vMerge w:val="continue"/>
                  <w:tcBorders>
                    <w:left w:val="single" w:color="auto" w:sz="8" w:space="0"/>
                    <w:right w:val="single" w:color="auto" w:sz="8" w:space="0"/>
                  </w:tcBorders>
                  <w:noWrap w:val="0"/>
                  <w:vAlign w:val="center"/>
                </w:tcPr>
                <w:p>
                  <w:pPr>
                    <w:jc w:val="center"/>
                    <w:rPr>
                      <w:sz w:val="24"/>
                      <w:szCs w:val="24"/>
                    </w:rPr>
                  </w:pPr>
                </w:p>
              </w:tc>
            </w:tr>
            <w:tr>
              <w:tblPrEx>
                <w:tblCellMar>
                  <w:top w:w="0" w:type="dxa"/>
                  <w:left w:w="108" w:type="dxa"/>
                  <w:bottom w:w="0" w:type="dxa"/>
                  <w:right w:w="108" w:type="dxa"/>
                </w:tblCellMar>
              </w:tblPrEx>
              <w:trPr>
                <w:trHeight w:val="1031"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7</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LNG潜液泵橇底座及成橇费用</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含橇体、撬上低温真空管路、低温阀门、管件、就地仪表及成橇费用等</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华气厚普</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1套</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1套</w:t>
                  </w:r>
                </w:p>
              </w:tc>
              <w:tc>
                <w:tcPr>
                  <w:tcW w:w="2905" w:type="dxa"/>
                  <w:vMerge w:val="continue"/>
                  <w:tcBorders>
                    <w:left w:val="single" w:color="auto" w:sz="8" w:space="0"/>
                    <w:bottom w:val="single" w:color="000000" w:sz="8" w:space="0"/>
                    <w:right w:val="single" w:color="auto" w:sz="8" w:space="0"/>
                  </w:tcBorders>
                  <w:noWrap w:val="0"/>
                  <w:vAlign w:val="center"/>
                </w:tcPr>
                <w:p>
                  <w:pPr>
                    <w:jc w:val="center"/>
                    <w:rPr>
                      <w:sz w:val="24"/>
                      <w:szCs w:val="24"/>
                    </w:rPr>
                  </w:pPr>
                </w:p>
              </w:tc>
            </w:tr>
            <w:tr>
              <w:tblPrEx>
                <w:tblCellMar>
                  <w:top w:w="0" w:type="dxa"/>
                  <w:left w:w="108" w:type="dxa"/>
                  <w:bottom w:w="0" w:type="dxa"/>
                  <w:right w:w="108" w:type="dxa"/>
                </w:tblCellMar>
              </w:tblPrEx>
              <w:trPr>
                <w:trHeight w:val="832"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9</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LNG加注机</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60～200L/min、含IC卡打印和计量收费系统，</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华气厚普</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2台</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2台</w:t>
                  </w:r>
                </w:p>
              </w:tc>
              <w:tc>
                <w:tcPr>
                  <w:tcW w:w="290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采用美国艾默生单质量流量计计量，加拿大Lexflow加液枪</w:t>
                  </w:r>
                </w:p>
              </w:tc>
            </w:tr>
            <w:tr>
              <w:tblPrEx>
                <w:tblCellMar>
                  <w:top w:w="0" w:type="dxa"/>
                  <w:left w:w="108" w:type="dxa"/>
                  <w:bottom w:w="0" w:type="dxa"/>
                  <w:right w:w="108" w:type="dxa"/>
                </w:tblCellMar>
              </w:tblPrEx>
              <w:trPr>
                <w:trHeight w:val="780"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10</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仪表风系统</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含一台空压机和一台吸干机</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国产优质</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1套</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1套</w:t>
                  </w:r>
                </w:p>
              </w:tc>
              <w:tc>
                <w:tcPr>
                  <w:tcW w:w="290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上海欧谱力</w:t>
                  </w:r>
                </w:p>
              </w:tc>
            </w:tr>
            <w:tr>
              <w:tblPrEx>
                <w:tblCellMar>
                  <w:top w:w="0" w:type="dxa"/>
                  <w:left w:w="108" w:type="dxa"/>
                  <w:bottom w:w="0" w:type="dxa"/>
                  <w:right w:w="108" w:type="dxa"/>
                </w:tblCellMar>
              </w:tblPrEx>
              <w:trPr>
                <w:trHeight w:val="300" w:hRule="atLeast"/>
              </w:trPr>
              <w:tc>
                <w:tcPr>
                  <w:tcW w:w="484" w:type="dxa"/>
                  <w:tcBorders>
                    <w:top w:val="nil"/>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11</w:t>
                  </w:r>
                </w:p>
              </w:tc>
              <w:tc>
                <w:tcPr>
                  <w:tcW w:w="1489"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自控系统</w:t>
                  </w:r>
                </w:p>
              </w:tc>
              <w:tc>
                <w:tcPr>
                  <w:tcW w:w="198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PLC控制</w:t>
                  </w:r>
                </w:p>
              </w:tc>
              <w:tc>
                <w:tcPr>
                  <w:tcW w:w="1084"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华气厚普</w:t>
                  </w:r>
                </w:p>
              </w:tc>
              <w:tc>
                <w:tcPr>
                  <w:tcW w:w="970"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1套</w:t>
                  </w:r>
                </w:p>
              </w:tc>
              <w:tc>
                <w:tcPr>
                  <w:tcW w:w="971" w:type="dxa"/>
                  <w:tcBorders>
                    <w:top w:val="nil"/>
                    <w:left w:val="nil"/>
                    <w:bottom w:val="single" w:color="auto"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1套</w:t>
                  </w:r>
                </w:p>
              </w:tc>
              <w:tc>
                <w:tcPr>
                  <w:tcW w:w="2905" w:type="dxa"/>
                  <w:tcBorders>
                    <w:top w:val="nil"/>
                    <w:left w:val="nil"/>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施耐德</w:t>
                  </w:r>
                </w:p>
              </w:tc>
            </w:tr>
            <w:tr>
              <w:tblPrEx>
                <w:tblCellMar>
                  <w:top w:w="0" w:type="dxa"/>
                  <w:left w:w="108" w:type="dxa"/>
                  <w:bottom w:w="0" w:type="dxa"/>
                  <w:right w:w="108" w:type="dxa"/>
                </w:tblCellMar>
              </w:tblPrEx>
              <w:trPr>
                <w:trHeight w:val="704" w:hRule="atLeast"/>
              </w:trPr>
              <w:tc>
                <w:tcPr>
                  <w:tcW w:w="484"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12</w:t>
                  </w:r>
                </w:p>
              </w:tc>
              <w:tc>
                <w:tcPr>
                  <w:tcW w:w="1489"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收费系统软件</w:t>
                  </w:r>
                </w:p>
              </w:tc>
              <w:tc>
                <w:tcPr>
                  <w:tcW w:w="1985"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CNGMS，CNGIC</w:t>
                  </w:r>
                </w:p>
              </w:tc>
              <w:tc>
                <w:tcPr>
                  <w:tcW w:w="1084"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华气厚普</w:t>
                  </w:r>
                </w:p>
              </w:tc>
              <w:tc>
                <w:tcPr>
                  <w:tcW w:w="970" w:type="dxa"/>
                  <w:tcBorders>
                    <w:top w:val="single" w:color="auto" w:sz="8" w:space="0"/>
                    <w:left w:val="single" w:color="auto" w:sz="8" w:space="0"/>
                    <w:bottom w:val="single" w:color="auto" w:sz="8" w:space="0"/>
                    <w:right w:val="single" w:color="auto" w:sz="8" w:space="0"/>
                  </w:tcBorders>
                  <w:shd w:val="clear" w:color="auto" w:fill="auto"/>
                  <w:noWrap w:val="0"/>
                  <w:vAlign w:val="center"/>
                </w:tcPr>
                <w:p>
                  <w:pPr>
                    <w:jc w:val="center"/>
                    <w:rPr>
                      <w:sz w:val="24"/>
                      <w:szCs w:val="24"/>
                    </w:rPr>
                  </w:pPr>
                  <w:r>
                    <w:rPr>
                      <w:rFonts w:hint="eastAsia"/>
                      <w:sz w:val="24"/>
                      <w:szCs w:val="24"/>
                    </w:rPr>
                    <w:t>1套</w:t>
                  </w:r>
                </w:p>
              </w:tc>
              <w:tc>
                <w:tcPr>
                  <w:tcW w:w="971" w:type="dxa"/>
                  <w:tcBorders>
                    <w:top w:val="nil"/>
                    <w:left w:val="single" w:color="auto" w:sz="8" w:space="0"/>
                    <w:bottom w:val="single" w:color="000000" w:sz="8" w:space="0"/>
                    <w:right w:val="single" w:color="auto" w:sz="8" w:space="0"/>
                  </w:tcBorders>
                  <w:shd w:val="clear" w:color="auto" w:fill="auto"/>
                  <w:noWrap w:val="0"/>
                  <w:vAlign w:val="center"/>
                </w:tcPr>
                <w:p>
                  <w:pPr>
                    <w:jc w:val="center"/>
                    <w:rPr>
                      <w:rFonts w:hint="eastAsia"/>
                      <w:sz w:val="24"/>
                      <w:szCs w:val="24"/>
                    </w:rPr>
                  </w:pPr>
                  <w:r>
                    <w:rPr>
                      <w:rFonts w:hint="eastAsia"/>
                      <w:sz w:val="24"/>
                      <w:szCs w:val="24"/>
                    </w:rPr>
                    <w:t>1套</w:t>
                  </w:r>
                </w:p>
              </w:tc>
              <w:tc>
                <w:tcPr>
                  <w:tcW w:w="2905" w:type="dxa"/>
                  <w:tcBorders>
                    <w:top w:val="nil"/>
                    <w:left w:val="single" w:color="auto" w:sz="8" w:space="0"/>
                    <w:bottom w:val="single" w:color="000000" w:sz="8" w:space="0"/>
                    <w:right w:val="single" w:color="auto" w:sz="8" w:space="0"/>
                  </w:tcBorders>
                  <w:shd w:val="clear" w:color="auto" w:fill="auto"/>
                  <w:noWrap w:val="0"/>
                  <w:vAlign w:val="center"/>
                </w:tcPr>
                <w:p>
                  <w:pPr>
                    <w:jc w:val="center"/>
                    <w:rPr>
                      <w:sz w:val="24"/>
                      <w:szCs w:val="24"/>
                    </w:rPr>
                  </w:pPr>
                  <w:r>
                    <w:rPr>
                      <w:rFonts w:hint="eastAsia"/>
                      <w:sz w:val="24"/>
                      <w:szCs w:val="24"/>
                    </w:rPr>
                    <w:t>站控IC 卡收费</w:t>
                  </w:r>
                  <w:r>
                    <w:rPr>
                      <w:rFonts w:hint="eastAsia"/>
                      <w:sz w:val="24"/>
                      <w:szCs w:val="24"/>
                    </w:rPr>
                    <w:br w:type="textWrapping"/>
                  </w:r>
                  <w:r>
                    <w:rPr>
                      <w:rFonts w:hint="eastAsia"/>
                      <w:sz w:val="24"/>
                      <w:szCs w:val="24"/>
                    </w:rPr>
                    <w:t>管理系统含IC 卡200 张、发卡器、集线器</w:t>
                  </w:r>
                </w:p>
              </w:tc>
            </w:tr>
          </w:tbl>
          <w:p>
            <w:pPr>
              <w:spacing w:line="360" w:lineRule="auto"/>
              <w:jc w:val="center"/>
              <w:rPr>
                <w:rFonts w:hAnsi="宋体"/>
                <w:b/>
                <w:bCs/>
                <w:color w:val="000000" w:themeColor="text1"/>
                <w:sz w:val="24"/>
                <w:szCs w:val="24"/>
              </w:rPr>
            </w:pPr>
            <w:r>
              <w:rPr>
                <w:rFonts w:ascii="Times New Roman" w:hAnsi="Times New Roman"/>
                <w:b/>
                <w:sz w:val="24"/>
                <w:szCs w:val="24"/>
              </w:rPr>
              <w:t>表</w:t>
            </w:r>
            <w:r>
              <w:rPr>
                <w:rFonts w:hint="eastAsia" w:ascii="Times New Roman" w:hAnsi="Times New Roman"/>
                <w:b/>
                <w:sz w:val="24"/>
                <w:szCs w:val="24"/>
              </w:rPr>
              <w:t>2-</w:t>
            </w:r>
            <w:r>
              <w:rPr>
                <w:rFonts w:hint="eastAsia" w:ascii="Times New Roman" w:hAnsi="Times New Roman"/>
                <w:b/>
                <w:sz w:val="24"/>
                <w:szCs w:val="24"/>
                <w:lang w:val="en-US" w:eastAsia="zh-CN"/>
              </w:rPr>
              <w:t>3</w:t>
            </w:r>
            <w:r>
              <w:rPr>
                <w:rFonts w:hint="eastAsia" w:hAnsi="宋体"/>
                <w:b/>
                <w:bCs/>
                <w:color w:val="000000" w:themeColor="text1"/>
                <w:sz w:val="24"/>
                <w:szCs w:val="24"/>
              </w:rPr>
              <w:t>CNG主要设备情况表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2885"/>
              <w:gridCol w:w="2713"/>
              <w:gridCol w:w="1396"/>
              <w:gridCol w:w="1186"/>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jc w:val="center"/>
                    <w:rPr>
                      <w:bCs/>
                      <w:sz w:val="24"/>
                      <w:szCs w:val="24"/>
                    </w:rPr>
                  </w:pPr>
                  <w:r>
                    <w:rPr>
                      <w:rFonts w:hAnsi="宋体"/>
                      <w:bCs/>
                      <w:sz w:val="24"/>
                      <w:szCs w:val="24"/>
                    </w:rPr>
                    <w:t>序号</w:t>
                  </w:r>
                </w:p>
              </w:tc>
              <w:tc>
                <w:tcPr>
                  <w:tcW w:w="1445" w:type="pct"/>
                  <w:noWrap w:val="0"/>
                  <w:vAlign w:val="center"/>
                </w:tcPr>
                <w:p>
                  <w:pPr>
                    <w:jc w:val="center"/>
                    <w:rPr>
                      <w:bCs/>
                      <w:sz w:val="24"/>
                      <w:szCs w:val="24"/>
                    </w:rPr>
                  </w:pPr>
                  <w:r>
                    <w:rPr>
                      <w:rFonts w:hAnsi="宋体"/>
                      <w:bCs/>
                      <w:sz w:val="24"/>
                      <w:szCs w:val="24"/>
                    </w:rPr>
                    <w:t>项目名称</w:t>
                  </w:r>
                </w:p>
              </w:tc>
              <w:tc>
                <w:tcPr>
                  <w:tcW w:w="1359" w:type="pct"/>
                  <w:noWrap w:val="0"/>
                  <w:vAlign w:val="center"/>
                </w:tcPr>
                <w:p>
                  <w:pPr>
                    <w:jc w:val="center"/>
                    <w:rPr>
                      <w:bCs/>
                      <w:sz w:val="24"/>
                      <w:szCs w:val="24"/>
                    </w:rPr>
                  </w:pPr>
                  <w:r>
                    <w:rPr>
                      <w:rFonts w:hAnsi="宋体"/>
                      <w:bCs/>
                      <w:sz w:val="24"/>
                      <w:szCs w:val="24"/>
                    </w:rPr>
                    <w:t>规格型号</w:t>
                  </w:r>
                </w:p>
              </w:tc>
              <w:tc>
                <w:tcPr>
                  <w:tcW w:w="699" w:type="pct"/>
                  <w:noWrap w:val="0"/>
                  <w:vAlign w:val="center"/>
                </w:tcPr>
                <w:p>
                  <w:pPr>
                    <w:jc w:val="center"/>
                    <w:rPr>
                      <w:bCs/>
                      <w:sz w:val="24"/>
                      <w:szCs w:val="24"/>
                    </w:rPr>
                  </w:pPr>
                  <w:r>
                    <w:rPr>
                      <w:rFonts w:hAnsi="宋体"/>
                      <w:bCs/>
                      <w:sz w:val="24"/>
                      <w:szCs w:val="24"/>
                    </w:rPr>
                    <w:t>供货商</w:t>
                  </w:r>
                </w:p>
              </w:tc>
              <w:tc>
                <w:tcPr>
                  <w:tcW w:w="594" w:type="pct"/>
                  <w:noWrap w:val="0"/>
                  <w:vAlign w:val="center"/>
                </w:tcPr>
                <w:p>
                  <w:pPr>
                    <w:jc w:val="center"/>
                    <w:rPr>
                      <w:bCs/>
                      <w:sz w:val="24"/>
                      <w:szCs w:val="24"/>
                    </w:rPr>
                  </w:pPr>
                  <w:r>
                    <w:rPr>
                      <w:rFonts w:hint="eastAsia" w:hAnsi="宋体"/>
                      <w:bCs/>
                      <w:sz w:val="24"/>
                      <w:szCs w:val="24"/>
                      <w:lang w:eastAsia="zh-CN"/>
                    </w:rPr>
                    <w:t>设计</w:t>
                  </w:r>
                  <w:r>
                    <w:rPr>
                      <w:rFonts w:hAnsi="宋体"/>
                      <w:bCs/>
                      <w:sz w:val="24"/>
                      <w:szCs w:val="24"/>
                    </w:rPr>
                    <w:t>数量</w:t>
                  </w:r>
                </w:p>
              </w:tc>
              <w:tc>
                <w:tcPr>
                  <w:tcW w:w="590" w:type="pct"/>
                  <w:noWrap w:val="0"/>
                  <w:vAlign w:val="center"/>
                </w:tcPr>
                <w:p>
                  <w:pPr>
                    <w:jc w:val="center"/>
                    <w:rPr>
                      <w:rFonts w:hint="eastAsia" w:hAnsi="宋体" w:eastAsiaTheme="minorEastAsia"/>
                      <w:bCs/>
                      <w:sz w:val="24"/>
                      <w:szCs w:val="24"/>
                      <w:lang w:eastAsia="zh-CN"/>
                    </w:rPr>
                  </w:pPr>
                  <w:r>
                    <w:rPr>
                      <w:rFonts w:hint="eastAsia" w:hAnsi="宋体"/>
                      <w:bCs/>
                      <w:sz w:val="24"/>
                      <w:szCs w:val="24"/>
                      <w:lang w:eastAsia="zh-CN"/>
                    </w:rPr>
                    <w:t>实际数量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310" w:type="pct"/>
                  <w:noWrap w:val="0"/>
                  <w:vAlign w:val="center"/>
                </w:tcPr>
                <w:p>
                  <w:pPr>
                    <w:spacing w:line="360" w:lineRule="auto"/>
                    <w:jc w:val="center"/>
                    <w:rPr>
                      <w:sz w:val="24"/>
                      <w:szCs w:val="24"/>
                    </w:rPr>
                  </w:pPr>
                  <w:r>
                    <w:rPr>
                      <w:rFonts w:hint="eastAsia"/>
                      <w:sz w:val="24"/>
                      <w:szCs w:val="24"/>
                    </w:rPr>
                    <w:t>1</w:t>
                  </w:r>
                </w:p>
              </w:tc>
              <w:tc>
                <w:tcPr>
                  <w:tcW w:w="1445" w:type="pct"/>
                  <w:noWrap w:val="0"/>
                  <w:vAlign w:val="center"/>
                </w:tcPr>
                <w:p>
                  <w:pPr>
                    <w:jc w:val="center"/>
                    <w:rPr>
                      <w:sz w:val="24"/>
                      <w:szCs w:val="24"/>
                    </w:rPr>
                  </w:pPr>
                  <w:r>
                    <w:rPr>
                      <w:rFonts w:hAnsi="宋体"/>
                      <w:sz w:val="24"/>
                      <w:szCs w:val="24"/>
                    </w:rPr>
                    <w:t>增压系统总排气量：</w:t>
                  </w:r>
                  <w:r>
                    <w:rPr>
                      <w:sz w:val="24"/>
                      <w:szCs w:val="24"/>
                    </w:rPr>
                    <w:t>1000 Nm</w:t>
                  </w:r>
                  <w:r>
                    <w:rPr>
                      <w:sz w:val="24"/>
                      <w:szCs w:val="24"/>
                      <w:vertAlign w:val="superscript"/>
                    </w:rPr>
                    <w:t>3</w:t>
                  </w:r>
                  <w:r>
                    <w:rPr>
                      <w:sz w:val="24"/>
                      <w:szCs w:val="24"/>
                    </w:rPr>
                    <w:t>/h</w:t>
                  </w:r>
                  <w:r>
                    <w:rPr>
                      <w:rFonts w:hAnsi="宋体"/>
                      <w:sz w:val="24"/>
                      <w:szCs w:val="24"/>
                    </w:rPr>
                    <w:t>电机：</w:t>
                  </w:r>
                  <w:r>
                    <w:rPr>
                      <w:sz w:val="24"/>
                      <w:szCs w:val="24"/>
                    </w:rPr>
                    <w:t>220KW</w:t>
                  </w:r>
                  <w:r>
                    <w:rPr>
                      <w:rFonts w:hAnsi="宋体"/>
                      <w:sz w:val="24"/>
                      <w:szCs w:val="24"/>
                    </w:rPr>
                    <w:t>设计点：</w:t>
                  </w:r>
                  <w:r>
                    <w:rPr>
                      <w:sz w:val="24"/>
                      <w:szCs w:val="24"/>
                    </w:rPr>
                    <w:t>0.3MPa</w:t>
                  </w:r>
                  <w:r>
                    <w:rPr>
                      <w:rFonts w:hAnsi="宋体"/>
                      <w:sz w:val="24"/>
                      <w:szCs w:val="24"/>
                    </w:rPr>
                    <w:t>四级压缩</w:t>
                  </w:r>
                </w:p>
              </w:tc>
              <w:tc>
                <w:tcPr>
                  <w:tcW w:w="1359" w:type="pct"/>
                  <w:noWrap w:val="0"/>
                  <w:vAlign w:val="center"/>
                </w:tcPr>
                <w:p>
                  <w:pPr>
                    <w:jc w:val="center"/>
                    <w:rPr>
                      <w:sz w:val="24"/>
                      <w:szCs w:val="24"/>
                    </w:rPr>
                  </w:pPr>
                  <w:r>
                    <w:rPr>
                      <w:rFonts w:hint="eastAsia" w:hAnsi="宋体"/>
                      <w:sz w:val="24"/>
                      <w:szCs w:val="24"/>
                    </w:rPr>
                    <w:t>D-4.5/3-250（水冷）</w:t>
                  </w:r>
                </w:p>
              </w:tc>
              <w:tc>
                <w:tcPr>
                  <w:tcW w:w="699" w:type="pct"/>
                  <w:noWrap w:val="0"/>
                  <w:vAlign w:val="center"/>
                </w:tcPr>
                <w:p>
                  <w:pPr>
                    <w:spacing w:line="360" w:lineRule="auto"/>
                    <w:jc w:val="center"/>
                    <w:rPr>
                      <w:sz w:val="24"/>
                      <w:szCs w:val="24"/>
                    </w:rPr>
                  </w:pPr>
                  <w:r>
                    <w:rPr>
                      <w:rFonts w:hint="eastAsia"/>
                      <w:sz w:val="24"/>
                      <w:szCs w:val="24"/>
                    </w:rPr>
                    <w:t>自贡通达</w:t>
                  </w:r>
                </w:p>
              </w:tc>
              <w:tc>
                <w:tcPr>
                  <w:tcW w:w="594" w:type="pct"/>
                  <w:noWrap w:val="0"/>
                  <w:vAlign w:val="center"/>
                </w:tcPr>
                <w:p>
                  <w:pPr>
                    <w:spacing w:line="360" w:lineRule="auto"/>
                    <w:jc w:val="center"/>
                    <w:rPr>
                      <w:sz w:val="24"/>
                      <w:szCs w:val="24"/>
                    </w:rPr>
                  </w:pPr>
                  <w:r>
                    <w:rPr>
                      <w:rFonts w:hint="eastAsia"/>
                      <w:sz w:val="24"/>
                      <w:szCs w:val="24"/>
                    </w:rPr>
                    <w:t>2套</w:t>
                  </w:r>
                </w:p>
              </w:tc>
              <w:tc>
                <w:tcPr>
                  <w:tcW w:w="1179" w:type="dxa"/>
                  <w:noWrap w:val="0"/>
                  <w:vAlign w:val="center"/>
                </w:tcPr>
                <w:p>
                  <w:pPr>
                    <w:spacing w:line="360" w:lineRule="auto"/>
                    <w:jc w:val="center"/>
                    <w:rPr>
                      <w:rFonts w:hint="eastAsia"/>
                      <w:sz w:val="24"/>
                      <w:szCs w:val="24"/>
                    </w:rPr>
                  </w:pPr>
                  <w:r>
                    <w:rPr>
                      <w:rFonts w:hint="eastAsia"/>
                      <w:sz w:val="24"/>
                      <w:szCs w:val="24"/>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2</w:t>
                  </w:r>
                </w:p>
              </w:tc>
              <w:tc>
                <w:tcPr>
                  <w:tcW w:w="1445" w:type="pct"/>
                  <w:noWrap w:val="0"/>
                  <w:vAlign w:val="center"/>
                </w:tcPr>
                <w:p>
                  <w:pPr>
                    <w:spacing w:line="360" w:lineRule="auto"/>
                    <w:jc w:val="center"/>
                    <w:rPr>
                      <w:sz w:val="24"/>
                      <w:szCs w:val="24"/>
                    </w:rPr>
                  </w:pPr>
                  <w:r>
                    <w:rPr>
                      <w:rFonts w:hint="eastAsia"/>
                      <w:sz w:val="24"/>
                      <w:szCs w:val="24"/>
                    </w:rPr>
                    <w:t>降噪隔音撬装房</w:t>
                  </w:r>
                </w:p>
              </w:tc>
              <w:tc>
                <w:tcPr>
                  <w:tcW w:w="1359" w:type="pct"/>
                  <w:noWrap w:val="0"/>
                  <w:vAlign w:val="center"/>
                </w:tcPr>
                <w:p>
                  <w:pPr>
                    <w:spacing w:line="360" w:lineRule="auto"/>
                    <w:jc w:val="center"/>
                    <w:rPr>
                      <w:sz w:val="24"/>
                      <w:szCs w:val="24"/>
                    </w:rPr>
                  </w:pPr>
                </w:p>
              </w:tc>
              <w:tc>
                <w:tcPr>
                  <w:tcW w:w="699" w:type="pct"/>
                  <w:noWrap w:val="0"/>
                  <w:vAlign w:val="center"/>
                </w:tcPr>
                <w:p>
                  <w:pPr>
                    <w:spacing w:line="360" w:lineRule="auto"/>
                    <w:jc w:val="center"/>
                    <w:rPr>
                      <w:sz w:val="24"/>
                      <w:szCs w:val="24"/>
                    </w:rPr>
                  </w:pPr>
                  <w:r>
                    <w:rPr>
                      <w:rFonts w:hint="eastAsia"/>
                      <w:sz w:val="24"/>
                      <w:szCs w:val="24"/>
                    </w:rPr>
                    <w:t>自贡通达</w:t>
                  </w:r>
                </w:p>
              </w:tc>
              <w:tc>
                <w:tcPr>
                  <w:tcW w:w="594" w:type="pct"/>
                  <w:noWrap w:val="0"/>
                  <w:vAlign w:val="center"/>
                </w:tcPr>
                <w:p>
                  <w:pPr>
                    <w:spacing w:line="360" w:lineRule="auto"/>
                    <w:jc w:val="center"/>
                    <w:rPr>
                      <w:sz w:val="24"/>
                      <w:szCs w:val="24"/>
                    </w:rPr>
                  </w:pPr>
                  <w:r>
                    <w:rPr>
                      <w:rFonts w:hint="eastAsia"/>
                      <w:sz w:val="24"/>
                      <w:szCs w:val="24"/>
                    </w:rPr>
                    <w:t>2套</w:t>
                  </w:r>
                </w:p>
              </w:tc>
              <w:tc>
                <w:tcPr>
                  <w:tcW w:w="1179" w:type="dxa"/>
                  <w:noWrap w:val="0"/>
                  <w:vAlign w:val="center"/>
                </w:tcPr>
                <w:p>
                  <w:pPr>
                    <w:spacing w:line="360" w:lineRule="auto"/>
                    <w:jc w:val="center"/>
                    <w:rPr>
                      <w:rFonts w:hint="eastAsia"/>
                      <w:sz w:val="24"/>
                      <w:szCs w:val="24"/>
                    </w:rPr>
                  </w:pPr>
                  <w:r>
                    <w:rPr>
                      <w:rFonts w:hint="eastAsia"/>
                      <w:sz w:val="24"/>
                      <w:szCs w:val="24"/>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3</w:t>
                  </w:r>
                </w:p>
              </w:tc>
              <w:tc>
                <w:tcPr>
                  <w:tcW w:w="1445" w:type="pct"/>
                  <w:noWrap w:val="0"/>
                  <w:vAlign w:val="center"/>
                </w:tcPr>
                <w:p>
                  <w:pPr>
                    <w:spacing w:line="360" w:lineRule="auto"/>
                    <w:jc w:val="center"/>
                    <w:rPr>
                      <w:sz w:val="24"/>
                      <w:szCs w:val="24"/>
                    </w:rPr>
                  </w:pPr>
                  <w:r>
                    <w:rPr>
                      <w:rFonts w:hint="eastAsia"/>
                      <w:sz w:val="24"/>
                      <w:szCs w:val="24"/>
                    </w:rPr>
                    <w:t>顺序控制系统</w:t>
                  </w:r>
                </w:p>
              </w:tc>
              <w:tc>
                <w:tcPr>
                  <w:tcW w:w="1359" w:type="pct"/>
                  <w:noWrap w:val="0"/>
                  <w:vAlign w:val="center"/>
                </w:tcPr>
                <w:p>
                  <w:pPr>
                    <w:jc w:val="center"/>
                    <w:rPr>
                      <w:sz w:val="24"/>
                      <w:szCs w:val="24"/>
                    </w:rPr>
                  </w:pPr>
                  <w:r>
                    <w:rPr>
                      <w:rFonts w:hint="eastAsia"/>
                      <w:sz w:val="24"/>
                      <w:szCs w:val="24"/>
                    </w:rPr>
                    <w:t>AR7一进四出Q=2000 Nm</w:t>
                  </w:r>
                  <w:r>
                    <w:rPr>
                      <w:rFonts w:hint="eastAsia"/>
                      <w:sz w:val="24"/>
                      <w:szCs w:val="24"/>
                      <w:vertAlign w:val="superscript"/>
                    </w:rPr>
                    <w:t>3</w:t>
                  </w:r>
                  <w:r>
                    <w:rPr>
                      <w:rFonts w:hint="eastAsia"/>
                      <w:sz w:val="24"/>
                      <w:szCs w:val="24"/>
                    </w:rPr>
                    <w:t>/h，PN27.5MPa连接管线、阀门、仪表</w:t>
                  </w:r>
                </w:p>
              </w:tc>
              <w:tc>
                <w:tcPr>
                  <w:tcW w:w="699" w:type="pct"/>
                  <w:noWrap w:val="0"/>
                  <w:vAlign w:val="center"/>
                </w:tcPr>
                <w:p>
                  <w:pPr>
                    <w:spacing w:line="360" w:lineRule="auto"/>
                    <w:jc w:val="center"/>
                    <w:rPr>
                      <w:sz w:val="24"/>
                      <w:szCs w:val="24"/>
                    </w:rPr>
                  </w:pPr>
                  <w:r>
                    <w:rPr>
                      <w:rFonts w:hint="eastAsia"/>
                      <w:sz w:val="24"/>
                      <w:szCs w:val="24"/>
                    </w:rPr>
                    <w:t>重庆爱尔</w:t>
                  </w:r>
                </w:p>
              </w:tc>
              <w:tc>
                <w:tcPr>
                  <w:tcW w:w="594" w:type="pct"/>
                  <w:noWrap w:val="0"/>
                  <w:vAlign w:val="center"/>
                </w:tcPr>
                <w:p>
                  <w:pPr>
                    <w:spacing w:line="360" w:lineRule="auto"/>
                    <w:jc w:val="center"/>
                    <w:rPr>
                      <w:sz w:val="24"/>
                      <w:szCs w:val="24"/>
                    </w:rPr>
                  </w:pPr>
                  <w:r>
                    <w:rPr>
                      <w:rFonts w:hint="eastAsia"/>
                      <w:sz w:val="24"/>
                      <w:szCs w:val="24"/>
                    </w:rPr>
                    <w:t>1台</w:t>
                  </w:r>
                </w:p>
              </w:tc>
              <w:tc>
                <w:tcPr>
                  <w:tcW w:w="1179" w:type="dxa"/>
                  <w:noWrap w:val="0"/>
                  <w:vAlign w:val="center"/>
                </w:tcPr>
                <w:p>
                  <w:pPr>
                    <w:spacing w:line="360" w:lineRule="auto"/>
                    <w:jc w:val="center"/>
                    <w:rPr>
                      <w:rFonts w:hint="eastAsia"/>
                      <w:sz w:val="24"/>
                      <w:szCs w:val="24"/>
                    </w:rPr>
                  </w:pPr>
                  <w:r>
                    <w:rPr>
                      <w:rFonts w:hint="eastAsia"/>
                      <w:sz w:val="24"/>
                      <w:szCs w:val="24"/>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4</w:t>
                  </w:r>
                </w:p>
              </w:tc>
              <w:tc>
                <w:tcPr>
                  <w:tcW w:w="1445" w:type="pct"/>
                  <w:noWrap w:val="0"/>
                  <w:vAlign w:val="center"/>
                </w:tcPr>
                <w:p>
                  <w:pPr>
                    <w:spacing w:line="360" w:lineRule="auto"/>
                    <w:jc w:val="center"/>
                    <w:rPr>
                      <w:sz w:val="24"/>
                      <w:szCs w:val="24"/>
                    </w:rPr>
                  </w:pPr>
                  <w:r>
                    <w:rPr>
                      <w:rFonts w:hint="eastAsia"/>
                      <w:sz w:val="24"/>
                      <w:szCs w:val="24"/>
                    </w:rPr>
                    <w:t>废气回收</w:t>
                  </w:r>
                </w:p>
              </w:tc>
              <w:tc>
                <w:tcPr>
                  <w:tcW w:w="1359" w:type="pct"/>
                  <w:noWrap w:val="0"/>
                  <w:vAlign w:val="center"/>
                </w:tcPr>
                <w:p>
                  <w:pPr>
                    <w:spacing w:line="360" w:lineRule="auto"/>
                    <w:jc w:val="center"/>
                    <w:rPr>
                      <w:sz w:val="24"/>
                      <w:szCs w:val="24"/>
                    </w:rPr>
                  </w:pPr>
                  <w:r>
                    <w:rPr>
                      <w:rFonts w:hint="eastAsia"/>
                      <w:sz w:val="24"/>
                      <w:szCs w:val="24"/>
                    </w:rPr>
                    <w:t>2m</w:t>
                  </w:r>
                  <w:r>
                    <w:rPr>
                      <w:rFonts w:hint="eastAsia"/>
                      <w:sz w:val="24"/>
                      <w:szCs w:val="24"/>
                      <w:vertAlign w:val="superscript"/>
                    </w:rPr>
                    <w:t>3</w:t>
                  </w:r>
                  <w:r>
                    <w:rPr>
                      <w:rFonts w:hint="eastAsia"/>
                      <w:sz w:val="24"/>
                      <w:szCs w:val="24"/>
                    </w:rPr>
                    <w:t>天然气回收罐</w:t>
                  </w:r>
                </w:p>
              </w:tc>
              <w:tc>
                <w:tcPr>
                  <w:tcW w:w="699" w:type="pct"/>
                  <w:noWrap w:val="0"/>
                  <w:vAlign w:val="center"/>
                </w:tcPr>
                <w:p>
                  <w:pPr>
                    <w:spacing w:line="360" w:lineRule="auto"/>
                    <w:jc w:val="center"/>
                    <w:rPr>
                      <w:sz w:val="24"/>
                      <w:szCs w:val="24"/>
                    </w:rPr>
                  </w:pPr>
                  <w:r>
                    <w:rPr>
                      <w:rFonts w:hint="eastAsia"/>
                      <w:sz w:val="24"/>
                      <w:szCs w:val="24"/>
                    </w:rPr>
                    <w:t>重庆联合</w:t>
                  </w:r>
                </w:p>
              </w:tc>
              <w:tc>
                <w:tcPr>
                  <w:tcW w:w="594" w:type="pct"/>
                  <w:noWrap w:val="0"/>
                  <w:vAlign w:val="center"/>
                </w:tcPr>
                <w:p>
                  <w:pPr>
                    <w:spacing w:line="360" w:lineRule="auto"/>
                    <w:jc w:val="center"/>
                    <w:rPr>
                      <w:sz w:val="24"/>
                      <w:szCs w:val="24"/>
                    </w:rPr>
                  </w:pPr>
                  <w:r>
                    <w:rPr>
                      <w:rFonts w:hint="eastAsia"/>
                      <w:sz w:val="24"/>
                      <w:szCs w:val="24"/>
                    </w:rPr>
                    <w:t>1套</w:t>
                  </w:r>
                </w:p>
              </w:tc>
              <w:tc>
                <w:tcPr>
                  <w:tcW w:w="1179" w:type="dxa"/>
                  <w:noWrap w:val="0"/>
                  <w:vAlign w:val="center"/>
                </w:tcPr>
                <w:p>
                  <w:pPr>
                    <w:spacing w:line="360" w:lineRule="auto"/>
                    <w:jc w:val="center"/>
                    <w:rPr>
                      <w:rFonts w:hint="eastAsia"/>
                      <w:sz w:val="24"/>
                      <w:szCs w:val="24"/>
                    </w:rPr>
                  </w:pPr>
                  <w:r>
                    <w:rPr>
                      <w:rFonts w:hint="eastAsia"/>
                      <w:sz w:val="24"/>
                      <w:szCs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5</w:t>
                  </w:r>
                </w:p>
              </w:tc>
              <w:tc>
                <w:tcPr>
                  <w:tcW w:w="1445" w:type="pct"/>
                  <w:noWrap w:val="0"/>
                  <w:vAlign w:val="center"/>
                </w:tcPr>
                <w:p>
                  <w:pPr>
                    <w:spacing w:line="360" w:lineRule="auto"/>
                    <w:jc w:val="center"/>
                    <w:rPr>
                      <w:sz w:val="24"/>
                      <w:szCs w:val="24"/>
                    </w:rPr>
                  </w:pPr>
                  <w:r>
                    <w:rPr>
                      <w:rFonts w:hint="eastAsia"/>
                      <w:sz w:val="24"/>
                      <w:szCs w:val="24"/>
                    </w:rPr>
                    <w:t>干燥系统</w:t>
                  </w:r>
                </w:p>
              </w:tc>
              <w:tc>
                <w:tcPr>
                  <w:tcW w:w="1359" w:type="pct"/>
                  <w:noWrap w:val="0"/>
                  <w:vAlign w:val="center"/>
                </w:tcPr>
                <w:p>
                  <w:pPr>
                    <w:jc w:val="center"/>
                    <w:rPr>
                      <w:sz w:val="24"/>
                      <w:szCs w:val="24"/>
                    </w:rPr>
                  </w:pPr>
                  <w:r>
                    <w:rPr>
                      <w:rFonts w:hint="eastAsia"/>
                      <w:sz w:val="24"/>
                      <w:szCs w:val="24"/>
                    </w:rPr>
                    <w:t>GdT3—15/0.4GS型干燥系统（前置脱水）</w:t>
                  </w:r>
                </w:p>
              </w:tc>
              <w:tc>
                <w:tcPr>
                  <w:tcW w:w="699" w:type="pct"/>
                  <w:noWrap w:val="0"/>
                  <w:vAlign w:val="center"/>
                </w:tcPr>
                <w:p>
                  <w:pPr>
                    <w:spacing w:line="360" w:lineRule="auto"/>
                    <w:jc w:val="center"/>
                    <w:rPr>
                      <w:sz w:val="24"/>
                      <w:szCs w:val="24"/>
                    </w:rPr>
                  </w:pPr>
                  <w:r>
                    <w:rPr>
                      <w:rFonts w:hint="eastAsia"/>
                      <w:sz w:val="24"/>
                      <w:szCs w:val="24"/>
                    </w:rPr>
                    <w:t>重庆联合</w:t>
                  </w:r>
                </w:p>
              </w:tc>
              <w:tc>
                <w:tcPr>
                  <w:tcW w:w="594" w:type="pct"/>
                  <w:noWrap w:val="0"/>
                  <w:vAlign w:val="center"/>
                </w:tcPr>
                <w:p>
                  <w:pPr>
                    <w:spacing w:line="360" w:lineRule="auto"/>
                    <w:jc w:val="center"/>
                    <w:rPr>
                      <w:sz w:val="24"/>
                      <w:szCs w:val="24"/>
                    </w:rPr>
                  </w:pPr>
                  <w:r>
                    <w:rPr>
                      <w:rFonts w:hint="eastAsia"/>
                      <w:sz w:val="24"/>
                      <w:szCs w:val="24"/>
                    </w:rPr>
                    <w:t>1套</w:t>
                  </w:r>
                </w:p>
              </w:tc>
              <w:tc>
                <w:tcPr>
                  <w:tcW w:w="1179" w:type="dxa"/>
                  <w:noWrap w:val="0"/>
                  <w:vAlign w:val="center"/>
                </w:tcPr>
                <w:p>
                  <w:pPr>
                    <w:spacing w:line="360" w:lineRule="auto"/>
                    <w:jc w:val="center"/>
                    <w:rPr>
                      <w:rFonts w:hint="eastAsia"/>
                      <w:sz w:val="24"/>
                      <w:szCs w:val="24"/>
                    </w:rPr>
                  </w:pPr>
                  <w:r>
                    <w:rPr>
                      <w:rFonts w:hint="eastAsia"/>
                      <w:sz w:val="24"/>
                      <w:szCs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6</w:t>
                  </w:r>
                </w:p>
              </w:tc>
              <w:tc>
                <w:tcPr>
                  <w:tcW w:w="1445" w:type="pct"/>
                  <w:noWrap w:val="0"/>
                  <w:vAlign w:val="center"/>
                </w:tcPr>
                <w:p>
                  <w:pPr>
                    <w:spacing w:line="360" w:lineRule="auto"/>
                    <w:jc w:val="center"/>
                    <w:rPr>
                      <w:sz w:val="24"/>
                      <w:szCs w:val="24"/>
                    </w:rPr>
                  </w:pPr>
                  <w:r>
                    <w:rPr>
                      <w:rFonts w:hint="eastAsia"/>
                      <w:sz w:val="24"/>
                      <w:szCs w:val="24"/>
                    </w:rPr>
                    <w:t>进调配气系统</w:t>
                  </w:r>
                </w:p>
              </w:tc>
              <w:tc>
                <w:tcPr>
                  <w:tcW w:w="1359" w:type="pct"/>
                  <w:noWrap w:val="0"/>
                  <w:vAlign w:val="center"/>
                </w:tcPr>
                <w:p>
                  <w:pPr>
                    <w:jc w:val="center"/>
                    <w:rPr>
                      <w:sz w:val="24"/>
                      <w:szCs w:val="24"/>
                    </w:rPr>
                  </w:pPr>
                  <w:r>
                    <w:rPr>
                      <w:rFonts w:hint="eastAsia"/>
                      <w:sz w:val="24"/>
                      <w:szCs w:val="24"/>
                    </w:rPr>
                    <w:t>天然气过滤分离缓冲罐（3m</w:t>
                  </w:r>
                  <w:r>
                    <w:rPr>
                      <w:rFonts w:hint="eastAsia"/>
                      <w:sz w:val="24"/>
                      <w:szCs w:val="24"/>
                      <w:vertAlign w:val="superscript"/>
                    </w:rPr>
                    <w:t>3</w:t>
                  </w:r>
                  <w:r>
                    <w:rPr>
                      <w:rFonts w:hint="eastAsia"/>
                      <w:sz w:val="24"/>
                      <w:szCs w:val="24"/>
                    </w:rPr>
                    <w:t>），Z-2000/0.2T11F调压器、过滤器、仪表</w:t>
                  </w:r>
                </w:p>
              </w:tc>
              <w:tc>
                <w:tcPr>
                  <w:tcW w:w="699" w:type="pct"/>
                  <w:noWrap w:val="0"/>
                  <w:vAlign w:val="center"/>
                </w:tcPr>
                <w:p>
                  <w:pPr>
                    <w:spacing w:line="360" w:lineRule="auto"/>
                    <w:jc w:val="center"/>
                    <w:rPr>
                      <w:sz w:val="24"/>
                      <w:szCs w:val="24"/>
                    </w:rPr>
                  </w:pPr>
                  <w:r>
                    <w:rPr>
                      <w:rFonts w:hint="eastAsia"/>
                      <w:sz w:val="24"/>
                      <w:szCs w:val="24"/>
                    </w:rPr>
                    <w:t>四川川油</w:t>
                  </w:r>
                </w:p>
              </w:tc>
              <w:tc>
                <w:tcPr>
                  <w:tcW w:w="594" w:type="pct"/>
                  <w:noWrap w:val="0"/>
                  <w:vAlign w:val="center"/>
                </w:tcPr>
                <w:p>
                  <w:pPr>
                    <w:spacing w:line="360" w:lineRule="auto"/>
                    <w:jc w:val="center"/>
                    <w:rPr>
                      <w:sz w:val="24"/>
                      <w:szCs w:val="24"/>
                    </w:rPr>
                  </w:pPr>
                  <w:r>
                    <w:rPr>
                      <w:rFonts w:hint="eastAsia"/>
                      <w:sz w:val="24"/>
                      <w:szCs w:val="24"/>
                    </w:rPr>
                    <w:t>1套</w:t>
                  </w:r>
                </w:p>
              </w:tc>
              <w:tc>
                <w:tcPr>
                  <w:tcW w:w="1179" w:type="dxa"/>
                  <w:noWrap w:val="0"/>
                  <w:vAlign w:val="center"/>
                </w:tcPr>
                <w:p>
                  <w:pPr>
                    <w:spacing w:line="360" w:lineRule="auto"/>
                    <w:jc w:val="center"/>
                    <w:rPr>
                      <w:rFonts w:hint="eastAsia"/>
                      <w:sz w:val="24"/>
                      <w:szCs w:val="24"/>
                    </w:rPr>
                  </w:pPr>
                  <w:r>
                    <w:rPr>
                      <w:rFonts w:hint="eastAsia"/>
                      <w:sz w:val="24"/>
                      <w:szCs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7</w:t>
                  </w:r>
                </w:p>
              </w:tc>
              <w:tc>
                <w:tcPr>
                  <w:tcW w:w="1445" w:type="pct"/>
                  <w:noWrap w:val="0"/>
                  <w:vAlign w:val="center"/>
                </w:tcPr>
                <w:p>
                  <w:pPr>
                    <w:spacing w:line="360" w:lineRule="auto"/>
                    <w:jc w:val="center"/>
                    <w:rPr>
                      <w:sz w:val="24"/>
                      <w:szCs w:val="24"/>
                    </w:rPr>
                  </w:pPr>
                  <w:r>
                    <w:rPr>
                      <w:rFonts w:hint="eastAsia"/>
                      <w:sz w:val="24"/>
                      <w:szCs w:val="24"/>
                    </w:rPr>
                    <w:t>储气系统（储气井）</w:t>
                  </w:r>
                </w:p>
              </w:tc>
              <w:tc>
                <w:tcPr>
                  <w:tcW w:w="1359" w:type="pct"/>
                  <w:noWrap w:val="0"/>
                  <w:vAlign w:val="center"/>
                </w:tcPr>
                <w:p>
                  <w:pPr>
                    <w:jc w:val="center"/>
                    <w:rPr>
                      <w:sz w:val="24"/>
                      <w:szCs w:val="24"/>
                    </w:rPr>
                  </w:pPr>
                  <w:r>
                    <w:rPr>
                      <w:rFonts w:hint="eastAsia"/>
                      <w:sz w:val="24"/>
                      <w:szCs w:val="24"/>
                    </w:rPr>
                    <w:t>高、中、低压分别为3m</w:t>
                  </w:r>
                  <w:r>
                    <w:rPr>
                      <w:rFonts w:hint="eastAsia"/>
                      <w:sz w:val="24"/>
                      <w:szCs w:val="24"/>
                      <w:vertAlign w:val="superscript"/>
                    </w:rPr>
                    <w:t>3</w:t>
                  </w:r>
                  <w:r>
                    <w:rPr>
                      <w:rFonts w:hint="eastAsia"/>
                      <w:sz w:val="24"/>
                      <w:szCs w:val="24"/>
                    </w:rPr>
                    <w:t>；PN27.5MPa；CQJ-25-3</w:t>
                  </w:r>
                </w:p>
              </w:tc>
              <w:tc>
                <w:tcPr>
                  <w:tcW w:w="699" w:type="pct"/>
                  <w:noWrap w:val="0"/>
                  <w:vAlign w:val="center"/>
                </w:tcPr>
                <w:p>
                  <w:pPr>
                    <w:spacing w:line="360" w:lineRule="auto"/>
                    <w:jc w:val="center"/>
                    <w:rPr>
                      <w:sz w:val="24"/>
                      <w:szCs w:val="24"/>
                    </w:rPr>
                  </w:pPr>
                  <w:r>
                    <w:rPr>
                      <w:rFonts w:hint="eastAsia"/>
                      <w:sz w:val="24"/>
                      <w:szCs w:val="24"/>
                    </w:rPr>
                    <w:t>四川川油</w:t>
                  </w:r>
                </w:p>
              </w:tc>
              <w:tc>
                <w:tcPr>
                  <w:tcW w:w="594" w:type="pct"/>
                  <w:noWrap w:val="0"/>
                  <w:vAlign w:val="center"/>
                </w:tcPr>
                <w:p>
                  <w:pPr>
                    <w:spacing w:line="360" w:lineRule="auto"/>
                    <w:jc w:val="center"/>
                    <w:rPr>
                      <w:sz w:val="24"/>
                      <w:szCs w:val="24"/>
                    </w:rPr>
                  </w:pPr>
                  <w:r>
                    <w:rPr>
                      <w:rFonts w:hint="eastAsia"/>
                      <w:sz w:val="24"/>
                      <w:szCs w:val="24"/>
                    </w:rPr>
                    <w:t>3口</w:t>
                  </w:r>
                </w:p>
              </w:tc>
              <w:tc>
                <w:tcPr>
                  <w:tcW w:w="1179" w:type="dxa"/>
                  <w:noWrap w:val="0"/>
                  <w:vAlign w:val="center"/>
                </w:tcPr>
                <w:p>
                  <w:pPr>
                    <w:spacing w:line="360" w:lineRule="auto"/>
                    <w:jc w:val="center"/>
                    <w:rPr>
                      <w:rFonts w:hint="eastAsia"/>
                      <w:sz w:val="24"/>
                      <w:szCs w:val="24"/>
                    </w:rPr>
                  </w:pPr>
                  <w:r>
                    <w:rPr>
                      <w:rFonts w:hint="eastAsia"/>
                      <w:sz w:val="24"/>
                      <w:szCs w:val="24"/>
                    </w:rPr>
                    <w:t>3口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8</w:t>
                  </w:r>
                </w:p>
              </w:tc>
              <w:tc>
                <w:tcPr>
                  <w:tcW w:w="1445" w:type="pct"/>
                  <w:noWrap w:val="0"/>
                  <w:vAlign w:val="center"/>
                </w:tcPr>
                <w:p>
                  <w:pPr>
                    <w:spacing w:line="360" w:lineRule="auto"/>
                    <w:jc w:val="center"/>
                    <w:rPr>
                      <w:sz w:val="24"/>
                      <w:szCs w:val="24"/>
                    </w:rPr>
                  </w:pPr>
                  <w:r>
                    <w:rPr>
                      <w:rFonts w:hint="eastAsia"/>
                      <w:sz w:val="24"/>
                      <w:szCs w:val="24"/>
                    </w:rPr>
                    <w:t>冷却循环水系统</w:t>
                  </w:r>
                </w:p>
              </w:tc>
              <w:tc>
                <w:tcPr>
                  <w:tcW w:w="1359" w:type="pct"/>
                  <w:noWrap w:val="0"/>
                  <w:vAlign w:val="center"/>
                </w:tcPr>
                <w:p>
                  <w:pPr>
                    <w:jc w:val="center"/>
                    <w:rPr>
                      <w:sz w:val="24"/>
                      <w:szCs w:val="24"/>
                    </w:rPr>
                  </w:pPr>
                  <w:r>
                    <w:rPr>
                      <w:rFonts w:hint="eastAsia"/>
                      <w:sz w:val="24"/>
                      <w:szCs w:val="24"/>
                    </w:rPr>
                    <w:t>逆流式冷却塔</w:t>
                  </w:r>
                </w:p>
              </w:tc>
              <w:tc>
                <w:tcPr>
                  <w:tcW w:w="699" w:type="pct"/>
                  <w:noWrap w:val="0"/>
                  <w:vAlign w:val="center"/>
                </w:tcPr>
                <w:p>
                  <w:pPr>
                    <w:spacing w:line="360" w:lineRule="auto"/>
                    <w:jc w:val="center"/>
                    <w:rPr>
                      <w:sz w:val="24"/>
                      <w:szCs w:val="24"/>
                    </w:rPr>
                  </w:pPr>
                  <w:r>
                    <w:rPr>
                      <w:rFonts w:hint="eastAsia"/>
                      <w:sz w:val="24"/>
                      <w:szCs w:val="24"/>
                    </w:rPr>
                    <w:t>上海开利</w:t>
                  </w:r>
                </w:p>
              </w:tc>
              <w:tc>
                <w:tcPr>
                  <w:tcW w:w="594" w:type="pct"/>
                  <w:noWrap w:val="0"/>
                  <w:vAlign w:val="center"/>
                </w:tcPr>
                <w:p>
                  <w:pPr>
                    <w:spacing w:line="360" w:lineRule="auto"/>
                    <w:jc w:val="center"/>
                    <w:rPr>
                      <w:sz w:val="24"/>
                      <w:szCs w:val="24"/>
                    </w:rPr>
                  </w:pPr>
                  <w:r>
                    <w:rPr>
                      <w:rFonts w:hint="eastAsia"/>
                      <w:sz w:val="24"/>
                      <w:szCs w:val="24"/>
                    </w:rPr>
                    <w:t>1套</w:t>
                  </w:r>
                </w:p>
              </w:tc>
              <w:tc>
                <w:tcPr>
                  <w:tcW w:w="1179" w:type="dxa"/>
                  <w:noWrap w:val="0"/>
                  <w:vAlign w:val="center"/>
                </w:tcPr>
                <w:p>
                  <w:pPr>
                    <w:spacing w:line="360" w:lineRule="auto"/>
                    <w:jc w:val="center"/>
                    <w:rPr>
                      <w:rFonts w:hint="eastAsia"/>
                      <w:sz w:val="24"/>
                      <w:szCs w:val="24"/>
                    </w:rPr>
                  </w:pPr>
                  <w:r>
                    <w:rPr>
                      <w:rFonts w:hint="eastAsia"/>
                      <w:sz w:val="24"/>
                      <w:szCs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9</w:t>
                  </w:r>
                </w:p>
              </w:tc>
              <w:tc>
                <w:tcPr>
                  <w:tcW w:w="1445" w:type="pct"/>
                  <w:noWrap w:val="0"/>
                  <w:vAlign w:val="center"/>
                </w:tcPr>
                <w:p>
                  <w:pPr>
                    <w:spacing w:line="360" w:lineRule="auto"/>
                    <w:jc w:val="center"/>
                    <w:rPr>
                      <w:sz w:val="24"/>
                      <w:szCs w:val="24"/>
                    </w:rPr>
                  </w:pPr>
                  <w:r>
                    <w:rPr>
                      <w:rFonts w:hint="eastAsia"/>
                      <w:sz w:val="24"/>
                      <w:szCs w:val="24"/>
                    </w:rPr>
                    <w:t>加气机</w:t>
                  </w:r>
                </w:p>
              </w:tc>
              <w:tc>
                <w:tcPr>
                  <w:tcW w:w="1359" w:type="pct"/>
                  <w:noWrap w:val="0"/>
                  <w:vAlign w:val="center"/>
                </w:tcPr>
                <w:p>
                  <w:pPr>
                    <w:jc w:val="center"/>
                    <w:rPr>
                      <w:sz w:val="24"/>
                      <w:szCs w:val="24"/>
                    </w:rPr>
                  </w:pPr>
                  <w:r>
                    <w:rPr>
                      <w:rFonts w:hint="eastAsia"/>
                      <w:sz w:val="24"/>
                      <w:szCs w:val="24"/>
                    </w:rPr>
                    <w:t>通用三线双枪</w:t>
                  </w:r>
                </w:p>
              </w:tc>
              <w:tc>
                <w:tcPr>
                  <w:tcW w:w="699" w:type="pct"/>
                  <w:noWrap w:val="0"/>
                  <w:vAlign w:val="center"/>
                </w:tcPr>
                <w:p>
                  <w:pPr>
                    <w:spacing w:line="360" w:lineRule="auto"/>
                    <w:jc w:val="center"/>
                    <w:rPr>
                      <w:sz w:val="24"/>
                      <w:szCs w:val="24"/>
                    </w:rPr>
                  </w:pPr>
                  <w:r>
                    <w:rPr>
                      <w:rFonts w:hint="eastAsia"/>
                      <w:sz w:val="24"/>
                      <w:szCs w:val="24"/>
                    </w:rPr>
                    <w:t>华气厚普</w:t>
                  </w:r>
                </w:p>
              </w:tc>
              <w:tc>
                <w:tcPr>
                  <w:tcW w:w="594" w:type="pct"/>
                  <w:noWrap w:val="0"/>
                  <w:vAlign w:val="center"/>
                </w:tcPr>
                <w:p>
                  <w:pPr>
                    <w:spacing w:line="360" w:lineRule="auto"/>
                    <w:jc w:val="center"/>
                    <w:rPr>
                      <w:sz w:val="24"/>
                      <w:szCs w:val="24"/>
                    </w:rPr>
                  </w:pPr>
                  <w:r>
                    <w:rPr>
                      <w:rFonts w:hint="eastAsia"/>
                      <w:sz w:val="24"/>
                      <w:szCs w:val="24"/>
                    </w:rPr>
                    <w:t>3台</w:t>
                  </w:r>
                </w:p>
              </w:tc>
              <w:tc>
                <w:tcPr>
                  <w:tcW w:w="1179" w:type="dxa"/>
                  <w:noWrap w:val="0"/>
                  <w:vAlign w:val="center"/>
                </w:tcPr>
                <w:p>
                  <w:pPr>
                    <w:spacing w:line="360" w:lineRule="auto"/>
                    <w:jc w:val="center"/>
                    <w:rPr>
                      <w:rFonts w:hint="eastAsia"/>
                      <w:sz w:val="24"/>
                      <w:szCs w:val="24"/>
                    </w:rPr>
                  </w:pPr>
                  <w:r>
                    <w:rPr>
                      <w:rFonts w:hint="eastAsia"/>
                      <w:sz w:val="24"/>
                      <w:szCs w:val="24"/>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10" w:type="pct"/>
                  <w:noWrap w:val="0"/>
                  <w:vAlign w:val="center"/>
                </w:tcPr>
                <w:p>
                  <w:pPr>
                    <w:spacing w:line="360" w:lineRule="auto"/>
                    <w:jc w:val="center"/>
                    <w:rPr>
                      <w:sz w:val="24"/>
                      <w:szCs w:val="24"/>
                    </w:rPr>
                  </w:pPr>
                  <w:r>
                    <w:rPr>
                      <w:rFonts w:hint="eastAsia"/>
                      <w:sz w:val="24"/>
                      <w:szCs w:val="24"/>
                    </w:rPr>
                    <w:t>10</w:t>
                  </w:r>
                </w:p>
              </w:tc>
              <w:tc>
                <w:tcPr>
                  <w:tcW w:w="1445" w:type="pct"/>
                  <w:noWrap w:val="0"/>
                  <w:vAlign w:val="center"/>
                </w:tcPr>
                <w:p>
                  <w:pPr>
                    <w:spacing w:line="360" w:lineRule="auto"/>
                    <w:jc w:val="center"/>
                    <w:rPr>
                      <w:sz w:val="24"/>
                      <w:szCs w:val="24"/>
                    </w:rPr>
                  </w:pPr>
                  <w:r>
                    <w:rPr>
                      <w:rFonts w:hint="eastAsia"/>
                      <w:sz w:val="24"/>
                      <w:szCs w:val="24"/>
                    </w:rPr>
                    <w:t>配电系统</w:t>
                  </w:r>
                </w:p>
              </w:tc>
              <w:tc>
                <w:tcPr>
                  <w:tcW w:w="1359" w:type="pct"/>
                  <w:noWrap w:val="0"/>
                  <w:vAlign w:val="center"/>
                </w:tcPr>
                <w:p>
                  <w:pPr>
                    <w:jc w:val="center"/>
                    <w:rPr>
                      <w:sz w:val="24"/>
                      <w:szCs w:val="24"/>
                    </w:rPr>
                  </w:pPr>
                  <w:r>
                    <w:rPr>
                      <w:rFonts w:hint="eastAsia"/>
                      <w:sz w:val="24"/>
                      <w:szCs w:val="24"/>
                    </w:rPr>
                    <w:t>800KVA箱式变压器</w:t>
                  </w:r>
                </w:p>
              </w:tc>
              <w:tc>
                <w:tcPr>
                  <w:tcW w:w="699" w:type="pct"/>
                  <w:noWrap w:val="0"/>
                  <w:vAlign w:val="center"/>
                </w:tcPr>
                <w:p>
                  <w:pPr>
                    <w:spacing w:line="360" w:lineRule="auto"/>
                    <w:jc w:val="center"/>
                    <w:rPr>
                      <w:sz w:val="24"/>
                      <w:szCs w:val="24"/>
                    </w:rPr>
                  </w:pPr>
                  <w:r>
                    <w:rPr>
                      <w:rFonts w:hint="eastAsia"/>
                      <w:sz w:val="24"/>
                      <w:szCs w:val="24"/>
                    </w:rPr>
                    <w:t>华气厚普</w:t>
                  </w:r>
                </w:p>
              </w:tc>
              <w:tc>
                <w:tcPr>
                  <w:tcW w:w="594" w:type="pct"/>
                  <w:noWrap w:val="0"/>
                  <w:vAlign w:val="center"/>
                </w:tcPr>
                <w:p>
                  <w:pPr>
                    <w:spacing w:line="360" w:lineRule="auto"/>
                    <w:jc w:val="center"/>
                    <w:rPr>
                      <w:sz w:val="24"/>
                      <w:szCs w:val="24"/>
                    </w:rPr>
                  </w:pPr>
                  <w:r>
                    <w:rPr>
                      <w:rFonts w:hint="eastAsia"/>
                      <w:sz w:val="24"/>
                      <w:szCs w:val="24"/>
                    </w:rPr>
                    <w:t>1台</w:t>
                  </w:r>
                </w:p>
              </w:tc>
              <w:tc>
                <w:tcPr>
                  <w:tcW w:w="1179" w:type="dxa"/>
                  <w:noWrap w:val="0"/>
                  <w:vAlign w:val="center"/>
                </w:tcPr>
                <w:p>
                  <w:pPr>
                    <w:spacing w:line="360" w:lineRule="auto"/>
                    <w:jc w:val="center"/>
                    <w:rPr>
                      <w:rFonts w:hint="eastAsia"/>
                      <w:sz w:val="24"/>
                      <w:szCs w:val="24"/>
                    </w:rPr>
                  </w:pPr>
                  <w:r>
                    <w:rPr>
                      <w:rFonts w:hint="eastAsia"/>
                      <w:sz w:val="24"/>
                      <w:szCs w:val="24"/>
                    </w:rPr>
                    <w:t>1台</w:t>
                  </w:r>
                </w:p>
              </w:tc>
            </w:tr>
          </w:tbl>
          <w:p>
            <w:pPr>
              <w:ind w:firstLine="480" w:firstLineChars="200"/>
              <w:rPr>
                <w:rFonts w:hint="eastAsia" w:ascii="宋体" w:hAnsi="宋体" w:eastAsia="宋体" w:cs="宋体"/>
                <w:sz w:val="24"/>
                <w:szCs w:val="24"/>
              </w:rPr>
            </w:pPr>
          </w:p>
          <w:p>
            <w:pPr>
              <w:ind w:firstLine="480" w:firstLineChars="200"/>
              <w:rPr>
                <w:rFonts w:hint="eastAsia" w:ascii="宋体" w:hAnsi="宋体" w:eastAsia="宋体" w:cs="宋体"/>
                <w:sz w:val="24"/>
                <w:szCs w:val="24"/>
              </w:rPr>
            </w:pPr>
          </w:p>
          <w:p>
            <w:pPr>
              <w:ind w:firstLine="480" w:firstLineChars="200"/>
              <w:rPr>
                <w:rFonts w:hint="eastAsia" w:ascii="宋体" w:hAnsi="宋体" w:eastAsia="宋体" w:cs="宋体"/>
                <w:sz w:val="24"/>
                <w:szCs w:val="24"/>
              </w:rPr>
            </w:pPr>
          </w:p>
          <w:p>
            <w:pPr>
              <w:ind w:firstLine="480" w:firstLineChars="200"/>
              <w:rPr>
                <w:rFonts w:hint="eastAsia" w:ascii="宋体" w:hAnsi="宋体" w:eastAsia="宋体" w:cs="宋体"/>
                <w:sz w:val="24"/>
                <w:szCs w:val="24"/>
              </w:rPr>
            </w:pPr>
          </w:p>
          <w:p>
            <w:pPr>
              <w:ind w:firstLine="480" w:firstLineChars="200"/>
              <w:rPr>
                <w:rFonts w:hint="eastAsia" w:ascii="宋体" w:hAnsi="宋体" w:eastAsia="宋体" w:cs="宋体"/>
                <w:sz w:val="24"/>
                <w:szCs w:val="24"/>
              </w:rPr>
            </w:pPr>
          </w:p>
          <w:p>
            <w:pPr>
              <w:spacing w:line="360" w:lineRule="auto"/>
              <w:rPr>
                <w:rFonts w:hint="eastAsia" w:ascii="宋体" w:hAnsi="宋体" w:eastAsia="宋体" w:cs="宋体"/>
                <w:sz w:val="24"/>
                <w:szCs w:val="24"/>
              </w:rPr>
            </w:pPr>
            <w:r>
              <w:rPr>
                <w:rFonts w:hint="eastAsia" w:ascii="宋体" w:hAnsi="宋体" w:eastAsia="宋体" w:cs="宋体"/>
                <w:sz w:val="24"/>
                <w:szCs w:val="24"/>
              </w:rPr>
              <w:t>主要原辅材料及能源消耗见表4。</w:t>
            </w:r>
          </w:p>
          <w:p>
            <w:pPr>
              <w:spacing w:line="360" w:lineRule="auto"/>
              <w:rPr>
                <w:rFonts w:hAnsi="宋体"/>
                <w:sz w:val="24"/>
              </w:rPr>
            </w:pPr>
            <w:r>
              <w:rPr>
                <w:rFonts w:hint="eastAsia" w:hAnsi="宋体"/>
                <w:sz w:val="24"/>
              </w:rPr>
              <w:t xml:space="preserve">本项目原材料为液化天然气，供应量约LNG </w:t>
            </w:r>
            <w:r>
              <w:rPr>
                <w:rFonts w:hAnsi="宋体"/>
                <w:sz w:val="24"/>
              </w:rPr>
              <w:t>1</w:t>
            </w:r>
            <w:r>
              <w:rPr>
                <w:rFonts w:hint="eastAsia" w:hAnsi="宋体"/>
                <w:sz w:val="24"/>
              </w:rPr>
              <w:t>.2×</w:t>
            </w:r>
            <w:r>
              <w:rPr>
                <w:rFonts w:hAnsi="宋体"/>
                <w:sz w:val="24"/>
              </w:rPr>
              <w:t>10</w:t>
            </w:r>
            <w:r>
              <w:rPr>
                <w:rFonts w:hAnsi="宋体"/>
                <w:sz w:val="24"/>
                <w:vertAlign w:val="superscript"/>
              </w:rPr>
              <w:t>4</w:t>
            </w:r>
            <w:r>
              <w:rPr>
                <w:rFonts w:hAnsi="宋体"/>
                <w:sz w:val="24"/>
              </w:rPr>
              <w:t>m</w:t>
            </w:r>
            <w:r>
              <w:rPr>
                <w:rFonts w:hAnsi="宋体"/>
                <w:sz w:val="24"/>
                <w:vertAlign w:val="superscript"/>
              </w:rPr>
              <w:t>3</w:t>
            </w:r>
            <w:r>
              <w:rPr>
                <w:rFonts w:hAnsi="宋体"/>
                <w:sz w:val="24"/>
              </w:rPr>
              <w:t>/d</w:t>
            </w:r>
            <w:r>
              <w:rPr>
                <w:rFonts w:hint="eastAsia" w:hAnsi="宋体"/>
                <w:sz w:val="24"/>
              </w:rPr>
              <w:t>，C</w:t>
            </w:r>
            <w:r>
              <w:rPr>
                <w:rFonts w:hAnsi="宋体"/>
                <w:sz w:val="24"/>
              </w:rPr>
              <w:t>NG 1</w:t>
            </w:r>
            <w:r>
              <w:rPr>
                <w:rFonts w:hint="eastAsia" w:hAnsi="宋体"/>
                <w:sz w:val="24"/>
              </w:rPr>
              <w:t>.5×</w:t>
            </w:r>
            <w:r>
              <w:rPr>
                <w:rFonts w:hAnsi="宋体"/>
                <w:sz w:val="24"/>
              </w:rPr>
              <w:t>10</w:t>
            </w:r>
            <w:r>
              <w:rPr>
                <w:rFonts w:hAnsi="宋体"/>
                <w:sz w:val="24"/>
                <w:vertAlign w:val="superscript"/>
              </w:rPr>
              <w:t>4</w:t>
            </w:r>
            <w:r>
              <w:rPr>
                <w:rFonts w:hAnsi="宋体"/>
                <w:sz w:val="24"/>
              </w:rPr>
              <w:t>m</w:t>
            </w:r>
            <w:r>
              <w:rPr>
                <w:rFonts w:hAnsi="宋体"/>
                <w:sz w:val="24"/>
                <w:vertAlign w:val="superscript"/>
              </w:rPr>
              <w:t>3</w:t>
            </w:r>
            <w:r>
              <w:rPr>
                <w:rFonts w:hAnsi="宋体"/>
                <w:sz w:val="24"/>
              </w:rPr>
              <w:t>/d</w:t>
            </w:r>
            <w:r>
              <w:rPr>
                <w:rFonts w:hint="eastAsia" w:hAnsi="宋体"/>
                <w:sz w:val="24"/>
              </w:rPr>
              <w:t>成分如下：</w:t>
            </w:r>
          </w:p>
          <w:p>
            <w:pPr>
              <w:adjustRightInd w:val="0"/>
              <w:snapToGrid w:val="0"/>
              <w:spacing w:line="360" w:lineRule="auto"/>
              <w:jc w:val="center"/>
              <w:rPr>
                <w:rFonts w:hAnsi="宋体"/>
                <w:b/>
                <w:bCs/>
                <w:sz w:val="24"/>
              </w:rPr>
            </w:pPr>
            <w:r>
              <w:rPr>
                <w:rFonts w:ascii="Times New Roman" w:hAnsi="Times New Roman"/>
                <w:b/>
                <w:sz w:val="24"/>
                <w:szCs w:val="24"/>
              </w:rPr>
              <w:t>表</w:t>
            </w:r>
            <w:r>
              <w:rPr>
                <w:rFonts w:hint="eastAsia" w:ascii="Times New Roman" w:hAnsi="Times New Roman"/>
                <w:b/>
                <w:sz w:val="24"/>
                <w:szCs w:val="24"/>
              </w:rPr>
              <w:t>2-</w:t>
            </w:r>
            <w:r>
              <w:rPr>
                <w:rFonts w:hint="eastAsia" w:ascii="Times New Roman" w:hAnsi="Times New Roman"/>
                <w:b/>
                <w:sz w:val="24"/>
                <w:szCs w:val="24"/>
                <w:lang w:val="en-US" w:eastAsia="zh-CN"/>
              </w:rPr>
              <w:t>4</w:t>
            </w:r>
            <w:r>
              <w:rPr>
                <w:rFonts w:hAnsi="宋体"/>
                <w:b/>
                <w:bCs/>
                <w:sz w:val="24"/>
              </w:rPr>
              <w:t xml:space="preserve"> </w:t>
            </w:r>
            <w:r>
              <w:rPr>
                <w:rFonts w:hint="eastAsia" w:hAnsi="宋体"/>
                <w:b/>
                <w:bCs/>
                <w:sz w:val="24"/>
              </w:rPr>
              <w:t>液化天然气主要成分及理化性质表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2"/>
              <w:gridCol w:w="6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组分</w:t>
                  </w:r>
                </w:p>
              </w:tc>
              <w:tc>
                <w:tcPr>
                  <w:tcW w:w="6589" w:type="dxa"/>
                  <w:noWrap w:val="0"/>
                  <w:vAlign w:val="center"/>
                </w:tcPr>
                <w:p>
                  <w:pPr>
                    <w:jc w:val="center"/>
                    <w:rPr>
                      <w:rFonts w:hAnsi="宋体"/>
                      <w:sz w:val="24"/>
                      <w:szCs w:val="24"/>
                    </w:rPr>
                  </w:pPr>
                  <w:r>
                    <w:rPr>
                      <w:rFonts w:hint="eastAsia" w:hAnsi="宋体"/>
                      <w:sz w:val="24"/>
                      <w:szCs w:val="24"/>
                    </w:rPr>
                    <w:t>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甲烷</w:t>
                  </w:r>
                </w:p>
              </w:tc>
              <w:tc>
                <w:tcPr>
                  <w:tcW w:w="6589" w:type="dxa"/>
                  <w:noWrap w:val="0"/>
                  <w:vAlign w:val="center"/>
                </w:tcPr>
                <w:p>
                  <w:pPr>
                    <w:jc w:val="center"/>
                    <w:rPr>
                      <w:rFonts w:hAnsi="宋体"/>
                      <w:sz w:val="24"/>
                      <w:szCs w:val="24"/>
                    </w:rPr>
                  </w:pPr>
                  <w:r>
                    <w:rPr>
                      <w:rFonts w:hint="eastAsia" w:hAnsi="宋体"/>
                      <w:sz w:val="24"/>
                      <w:szCs w:val="24"/>
                    </w:rPr>
                    <w:t>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乙烷</w:t>
                  </w:r>
                </w:p>
              </w:tc>
              <w:tc>
                <w:tcPr>
                  <w:tcW w:w="6589" w:type="dxa"/>
                  <w:noWrap w:val="0"/>
                  <w:vAlign w:val="center"/>
                </w:tcPr>
                <w:p>
                  <w:pPr>
                    <w:jc w:val="center"/>
                    <w:rPr>
                      <w:rFonts w:hAnsi="宋体"/>
                      <w:sz w:val="24"/>
                      <w:szCs w:val="24"/>
                    </w:rPr>
                  </w:pPr>
                  <w:r>
                    <w:rPr>
                      <w:kern w:val="0"/>
                      <w:sz w:val="24"/>
                      <w:szCs w:val="24"/>
                    </w:rPr>
                    <w:t>0.229%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丙烷</w:t>
                  </w:r>
                </w:p>
              </w:tc>
              <w:tc>
                <w:tcPr>
                  <w:tcW w:w="6589" w:type="dxa"/>
                  <w:noWrap w:val="0"/>
                  <w:vAlign w:val="center"/>
                </w:tcPr>
                <w:p>
                  <w:pPr>
                    <w:jc w:val="center"/>
                    <w:rPr>
                      <w:rFonts w:hAnsi="宋体"/>
                      <w:sz w:val="24"/>
                      <w:szCs w:val="24"/>
                    </w:rPr>
                  </w:pPr>
                  <w:r>
                    <w:rPr>
                      <w:kern w:val="0"/>
                      <w:sz w:val="24"/>
                      <w:szCs w:val="24"/>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二氧化碳</w:t>
                  </w:r>
                </w:p>
              </w:tc>
              <w:tc>
                <w:tcPr>
                  <w:tcW w:w="6589" w:type="dxa"/>
                  <w:noWrap w:val="0"/>
                  <w:vAlign w:val="center"/>
                </w:tcPr>
                <w:p>
                  <w:pPr>
                    <w:jc w:val="center"/>
                    <w:rPr>
                      <w:rFonts w:hAnsi="宋体"/>
                      <w:sz w:val="24"/>
                      <w:szCs w:val="24"/>
                    </w:rPr>
                  </w:pPr>
                  <w:r>
                    <w:rPr>
                      <w:kern w:val="0"/>
                      <w:sz w:val="24"/>
                      <w:szCs w:val="24"/>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氧+氩</w:t>
                  </w:r>
                </w:p>
              </w:tc>
              <w:tc>
                <w:tcPr>
                  <w:tcW w:w="6589" w:type="dxa"/>
                  <w:noWrap w:val="0"/>
                  <w:vAlign w:val="center"/>
                </w:tcPr>
                <w:p>
                  <w:pPr>
                    <w:jc w:val="center"/>
                    <w:rPr>
                      <w:rFonts w:hAnsi="宋体"/>
                      <w:sz w:val="24"/>
                      <w:szCs w:val="24"/>
                    </w:rPr>
                  </w:pPr>
                  <w:r>
                    <w:rPr>
                      <w:kern w:val="0"/>
                      <w:sz w:val="24"/>
                      <w:szCs w:val="24"/>
                    </w:rPr>
                    <w:t>0.206%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氮</w:t>
                  </w:r>
                </w:p>
              </w:tc>
              <w:tc>
                <w:tcPr>
                  <w:tcW w:w="6589" w:type="dxa"/>
                  <w:noWrap w:val="0"/>
                  <w:vAlign w:val="center"/>
                </w:tcPr>
                <w:p>
                  <w:pPr>
                    <w:jc w:val="center"/>
                    <w:rPr>
                      <w:rFonts w:hAnsi="宋体"/>
                      <w:sz w:val="24"/>
                      <w:szCs w:val="24"/>
                    </w:rPr>
                  </w:pPr>
                  <w:r>
                    <w:rPr>
                      <w:kern w:val="0"/>
                      <w:sz w:val="24"/>
                      <w:szCs w:val="24"/>
                    </w:rPr>
                    <w:t>0.721%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氢+氦</w:t>
                  </w:r>
                </w:p>
              </w:tc>
              <w:tc>
                <w:tcPr>
                  <w:tcW w:w="6589" w:type="dxa"/>
                  <w:noWrap w:val="0"/>
                  <w:vAlign w:val="center"/>
                </w:tcPr>
                <w:p>
                  <w:pPr>
                    <w:jc w:val="center"/>
                    <w:rPr>
                      <w:rFonts w:hAnsi="宋体"/>
                      <w:sz w:val="24"/>
                      <w:szCs w:val="24"/>
                    </w:rPr>
                  </w:pPr>
                  <w:r>
                    <w:rPr>
                      <w:kern w:val="0"/>
                      <w:sz w:val="24"/>
                      <w:szCs w:val="24"/>
                    </w:rPr>
                    <w:t>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异丁烷</w:t>
                  </w:r>
                </w:p>
              </w:tc>
              <w:tc>
                <w:tcPr>
                  <w:tcW w:w="6589" w:type="dxa"/>
                  <w:noWrap w:val="0"/>
                  <w:vAlign w:val="center"/>
                </w:tcPr>
                <w:p>
                  <w:pPr>
                    <w:jc w:val="center"/>
                    <w:rPr>
                      <w:rFonts w:hAnsi="宋体"/>
                      <w:sz w:val="24"/>
                      <w:szCs w:val="24"/>
                    </w:rPr>
                  </w:pPr>
                  <w:r>
                    <w:rPr>
                      <w:kern w:val="0"/>
                      <w:sz w:val="24"/>
                      <w:szCs w:val="24"/>
                    </w:rPr>
                    <w:t>3.593*10</w:t>
                  </w:r>
                  <w:r>
                    <w:rPr>
                      <w:kern w:val="0"/>
                      <w:sz w:val="24"/>
                      <w:szCs w:val="24"/>
                      <w:vertAlign w:val="superscript"/>
                    </w:rPr>
                    <w:t xml:space="preserve">-6 </w:t>
                  </w:r>
                  <w:r>
                    <w:rPr>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正丁烷</w:t>
                  </w:r>
                </w:p>
              </w:tc>
              <w:tc>
                <w:tcPr>
                  <w:tcW w:w="6589" w:type="dxa"/>
                  <w:noWrap w:val="0"/>
                  <w:vAlign w:val="center"/>
                </w:tcPr>
                <w:p>
                  <w:pPr>
                    <w:jc w:val="center"/>
                    <w:rPr>
                      <w:rFonts w:hAnsi="宋体"/>
                      <w:sz w:val="24"/>
                      <w:szCs w:val="24"/>
                    </w:rPr>
                  </w:pPr>
                  <w:r>
                    <w:rPr>
                      <w:kern w:val="0"/>
                      <w:sz w:val="24"/>
                      <w:szCs w:val="24"/>
                    </w:rPr>
                    <w:t>3.844*10</w:t>
                  </w:r>
                  <w:r>
                    <w:rPr>
                      <w:kern w:val="0"/>
                      <w:sz w:val="24"/>
                      <w:szCs w:val="24"/>
                      <w:vertAlign w:val="superscript"/>
                    </w:rPr>
                    <w:t>-6</w:t>
                  </w:r>
                  <w:r>
                    <w:rPr>
                      <w:kern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低位发热值</w:t>
                  </w:r>
                </w:p>
              </w:tc>
              <w:tc>
                <w:tcPr>
                  <w:tcW w:w="6589" w:type="dxa"/>
                  <w:noWrap w:val="0"/>
                  <w:vAlign w:val="center"/>
                </w:tcPr>
                <w:p>
                  <w:pPr>
                    <w:jc w:val="center"/>
                    <w:rPr>
                      <w:rFonts w:hAnsi="宋体"/>
                      <w:sz w:val="24"/>
                      <w:szCs w:val="24"/>
                    </w:rPr>
                  </w:pPr>
                  <w:r>
                    <w:rPr>
                      <w:kern w:val="0"/>
                      <w:sz w:val="24"/>
                      <w:szCs w:val="24"/>
                    </w:rPr>
                    <w:t>33.59MJ/m</w:t>
                  </w:r>
                  <w:r>
                    <w:rPr>
                      <w:kern w:val="0"/>
                      <w:sz w:val="24"/>
                      <w:szCs w:val="24"/>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高位发热值</w:t>
                  </w:r>
                </w:p>
              </w:tc>
              <w:tc>
                <w:tcPr>
                  <w:tcW w:w="6589" w:type="dxa"/>
                  <w:noWrap w:val="0"/>
                  <w:vAlign w:val="center"/>
                </w:tcPr>
                <w:p>
                  <w:pPr>
                    <w:jc w:val="center"/>
                    <w:rPr>
                      <w:rFonts w:hAnsi="宋体"/>
                      <w:sz w:val="24"/>
                      <w:szCs w:val="24"/>
                    </w:rPr>
                  </w:pPr>
                  <w:r>
                    <w:rPr>
                      <w:kern w:val="0"/>
                      <w:sz w:val="24"/>
                      <w:szCs w:val="24"/>
                    </w:rPr>
                    <w:t>37.25MJ/m</w:t>
                  </w:r>
                  <w:r>
                    <w:rPr>
                      <w:kern w:val="0"/>
                      <w:sz w:val="24"/>
                      <w:szCs w:val="24"/>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2" w:type="dxa"/>
                  <w:noWrap w:val="0"/>
                  <w:vAlign w:val="center"/>
                </w:tcPr>
                <w:p>
                  <w:pPr>
                    <w:jc w:val="center"/>
                    <w:rPr>
                      <w:rFonts w:hAnsi="宋体"/>
                      <w:sz w:val="24"/>
                      <w:szCs w:val="24"/>
                    </w:rPr>
                  </w:pPr>
                  <w:r>
                    <w:rPr>
                      <w:rFonts w:hint="eastAsia" w:hAnsi="宋体"/>
                      <w:sz w:val="24"/>
                      <w:szCs w:val="24"/>
                    </w:rPr>
                    <w:t>密度</w:t>
                  </w:r>
                </w:p>
              </w:tc>
              <w:tc>
                <w:tcPr>
                  <w:tcW w:w="6589" w:type="dxa"/>
                  <w:noWrap w:val="0"/>
                  <w:vAlign w:val="center"/>
                </w:tcPr>
                <w:p>
                  <w:pPr>
                    <w:jc w:val="center"/>
                    <w:rPr>
                      <w:rFonts w:hAnsi="宋体"/>
                      <w:sz w:val="24"/>
                      <w:szCs w:val="24"/>
                    </w:rPr>
                  </w:pPr>
                  <w:r>
                    <w:rPr>
                      <w:kern w:val="0"/>
                      <w:sz w:val="24"/>
                      <w:szCs w:val="24"/>
                    </w:rPr>
                    <w:t>4310kg/m</w:t>
                  </w:r>
                  <w:r>
                    <w:rPr>
                      <w:kern w:val="0"/>
                      <w:sz w:val="24"/>
                      <w:szCs w:val="24"/>
                      <w:vertAlign w:val="superscript"/>
                    </w:rPr>
                    <w:t>3</w:t>
                  </w:r>
                  <w:r>
                    <w:rPr>
                      <w:rFonts w:hint="eastAsia" w:ascii="宋体" w:cs="宋体"/>
                      <w:kern w:val="0"/>
                      <w:sz w:val="24"/>
                      <w:szCs w:val="24"/>
                    </w:rPr>
                    <w:t>（液态）</w:t>
                  </w:r>
                </w:p>
              </w:tc>
            </w:tr>
          </w:tbl>
          <w:p>
            <w:pPr>
              <w:spacing w:line="360" w:lineRule="auto"/>
              <w:rPr>
                <w:rFonts w:hAnsi="宋体"/>
                <w:sz w:val="24"/>
              </w:rPr>
            </w:pPr>
            <w:r>
              <w:rPr>
                <w:rFonts w:hint="eastAsia" w:hAnsi="宋体"/>
                <w:sz w:val="24"/>
              </w:rPr>
              <w:t>从分析数据可知，气源甲烷含量高，其他杂质成分少，发热值、二氧化碳含量指标已达到《天然气》（</w:t>
            </w:r>
            <w:r>
              <w:rPr>
                <w:rFonts w:hAnsi="宋体"/>
                <w:sz w:val="24"/>
              </w:rPr>
              <w:t>GB17820-2012</w:t>
            </w:r>
            <w:r>
              <w:rPr>
                <w:rFonts w:hint="eastAsia" w:hAnsi="宋体"/>
                <w:sz w:val="24"/>
              </w:rPr>
              <w:t>）一类天然气标准，且不含硫</w:t>
            </w:r>
            <w:r>
              <w:rPr>
                <w:rFonts w:hint="eastAsia" w:hAnsi="宋体"/>
                <w:sz w:val="24"/>
                <w:lang w:eastAsia="zh-CN"/>
              </w:rPr>
              <w:t>，挥发的少量气体主要为非甲烷总烃</w:t>
            </w:r>
            <w:r>
              <w:rPr>
                <w:rFonts w:hint="eastAsia" w:hAnsi="宋体"/>
                <w:sz w:val="24"/>
              </w:rPr>
              <w:t>。</w:t>
            </w:r>
          </w:p>
          <w:p>
            <w:pPr>
              <w:spacing w:line="360" w:lineRule="auto"/>
              <w:jc w:val="center"/>
              <w:rPr>
                <w:rFonts w:hAnsi="宋体"/>
                <w:b/>
                <w:bCs/>
                <w:color w:val="000000" w:themeColor="text1"/>
                <w:sz w:val="24"/>
                <w:szCs w:val="24"/>
              </w:rPr>
            </w:pPr>
            <w:r>
              <w:rPr>
                <w:rFonts w:ascii="Times New Roman" w:hAnsi="Times New Roman"/>
                <w:b/>
                <w:sz w:val="24"/>
                <w:szCs w:val="24"/>
              </w:rPr>
              <w:t>表</w:t>
            </w:r>
            <w:r>
              <w:rPr>
                <w:rFonts w:hint="eastAsia" w:ascii="Times New Roman" w:hAnsi="Times New Roman"/>
                <w:b/>
                <w:sz w:val="24"/>
                <w:szCs w:val="24"/>
              </w:rPr>
              <w:t>2-</w:t>
            </w:r>
            <w:r>
              <w:rPr>
                <w:rFonts w:hint="eastAsia" w:ascii="Times New Roman" w:hAnsi="Times New Roman"/>
                <w:b/>
                <w:sz w:val="24"/>
                <w:szCs w:val="24"/>
                <w:lang w:val="en-US" w:eastAsia="zh-CN"/>
              </w:rPr>
              <w:t>5</w:t>
            </w:r>
            <w:r>
              <w:rPr>
                <w:rFonts w:hint="eastAsia" w:hAnsi="宋体"/>
                <w:b/>
                <w:bCs/>
                <w:sz w:val="24"/>
                <w:szCs w:val="24"/>
              </w:rPr>
              <w:t xml:space="preserve"> </w:t>
            </w:r>
            <w:r>
              <w:rPr>
                <w:rFonts w:hint="eastAsia" w:hAnsi="宋体"/>
                <w:b/>
                <w:bCs/>
                <w:color w:val="000000" w:themeColor="text1"/>
                <w:sz w:val="24"/>
                <w:szCs w:val="24"/>
              </w:rPr>
              <w:t>主要原辅材料及能耗情况表</w:t>
            </w:r>
          </w:p>
          <w:tbl>
            <w:tblPr>
              <w:tblStyle w:val="20"/>
              <w:tblW w:w="0" w:type="auto"/>
              <w:tblInd w:w="5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5"/>
              <w:gridCol w:w="2947"/>
              <w:gridCol w:w="3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5" w:type="dxa"/>
                  <w:noWrap w:val="0"/>
                  <w:vAlign w:val="center"/>
                </w:tcPr>
                <w:p>
                  <w:pPr>
                    <w:jc w:val="center"/>
                    <w:rPr>
                      <w:sz w:val="24"/>
                      <w:szCs w:val="24"/>
                    </w:rPr>
                  </w:pPr>
                  <w:r>
                    <w:rPr>
                      <w:rFonts w:hAnsi="宋体"/>
                      <w:sz w:val="24"/>
                      <w:szCs w:val="24"/>
                    </w:rPr>
                    <w:t>名称</w:t>
                  </w:r>
                </w:p>
              </w:tc>
              <w:tc>
                <w:tcPr>
                  <w:tcW w:w="2947" w:type="dxa"/>
                  <w:noWrap w:val="0"/>
                  <w:vAlign w:val="center"/>
                </w:tcPr>
                <w:p>
                  <w:pPr>
                    <w:jc w:val="center"/>
                    <w:rPr>
                      <w:sz w:val="24"/>
                      <w:szCs w:val="24"/>
                    </w:rPr>
                  </w:pPr>
                  <w:r>
                    <w:rPr>
                      <w:rFonts w:hAnsi="宋体"/>
                      <w:sz w:val="24"/>
                      <w:szCs w:val="24"/>
                    </w:rPr>
                    <w:t>年耗量</w:t>
                  </w:r>
                </w:p>
              </w:tc>
              <w:tc>
                <w:tcPr>
                  <w:tcW w:w="3522" w:type="dxa"/>
                  <w:noWrap w:val="0"/>
                  <w:vAlign w:val="center"/>
                </w:tcPr>
                <w:p>
                  <w:pPr>
                    <w:jc w:val="center"/>
                    <w:rPr>
                      <w:sz w:val="24"/>
                      <w:szCs w:val="24"/>
                    </w:rPr>
                  </w:pPr>
                  <w:r>
                    <w:rPr>
                      <w:rFonts w:hAnsi="宋体"/>
                      <w:sz w:val="24"/>
                      <w:szCs w:val="24"/>
                    </w:rPr>
                    <w:t>主要化学成分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5" w:type="dxa"/>
                  <w:noWrap w:val="0"/>
                  <w:vAlign w:val="center"/>
                </w:tcPr>
                <w:p>
                  <w:pPr>
                    <w:jc w:val="center"/>
                    <w:rPr>
                      <w:sz w:val="24"/>
                      <w:szCs w:val="24"/>
                    </w:rPr>
                  </w:pPr>
                  <w:r>
                    <w:rPr>
                      <w:rFonts w:hAnsi="宋体"/>
                      <w:sz w:val="24"/>
                      <w:szCs w:val="24"/>
                    </w:rPr>
                    <w:t>天然气</w:t>
                  </w:r>
                </w:p>
              </w:tc>
              <w:tc>
                <w:tcPr>
                  <w:tcW w:w="2947" w:type="dxa"/>
                  <w:noWrap w:val="0"/>
                  <w:vAlign w:val="center"/>
                </w:tcPr>
                <w:p>
                  <w:pPr>
                    <w:jc w:val="center"/>
                    <w:rPr>
                      <w:sz w:val="24"/>
                      <w:szCs w:val="24"/>
                    </w:rPr>
                  </w:pPr>
                  <w:r>
                    <w:rPr>
                      <w:sz w:val="24"/>
                      <w:szCs w:val="24"/>
                    </w:rPr>
                    <w:t>1095</w:t>
                  </w:r>
                  <w:r>
                    <w:rPr>
                      <w:rFonts w:hAnsi="宋体"/>
                      <w:sz w:val="24"/>
                      <w:szCs w:val="24"/>
                    </w:rPr>
                    <w:t>万</w:t>
                  </w:r>
                  <w:r>
                    <w:rPr>
                      <w:sz w:val="24"/>
                      <w:szCs w:val="24"/>
                    </w:rPr>
                    <w:t>m</w:t>
                  </w:r>
                  <w:r>
                    <w:rPr>
                      <w:sz w:val="24"/>
                      <w:szCs w:val="24"/>
                      <w:vertAlign w:val="superscript"/>
                    </w:rPr>
                    <w:t>3</w:t>
                  </w:r>
                  <w:r>
                    <w:rPr>
                      <w:sz w:val="24"/>
                      <w:szCs w:val="24"/>
                    </w:rPr>
                    <w:t>/a</w:t>
                  </w:r>
                </w:p>
              </w:tc>
              <w:tc>
                <w:tcPr>
                  <w:tcW w:w="3522" w:type="dxa"/>
                  <w:noWrap w:val="0"/>
                  <w:vAlign w:val="center"/>
                </w:tcPr>
                <w:p>
                  <w:pPr>
                    <w:jc w:val="center"/>
                    <w:rPr>
                      <w:sz w:val="24"/>
                      <w:szCs w:val="24"/>
                    </w:rPr>
                  </w:pPr>
                  <w:r>
                    <w:rPr>
                      <w:rFonts w:hAnsi="宋体"/>
                      <w:sz w:val="24"/>
                      <w:szCs w:val="24"/>
                    </w:rPr>
                    <w:t>甲烷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5" w:type="dxa"/>
                  <w:noWrap w:val="0"/>
                  <w:vAlign w:val="center"/>
                </w:tcPr>
                <w:p>
                  <w:pPr>
                    <w:jc w:val="center"/>
                    <w:rPr>
                      <w:sz w:val="24"/>
                      <w:szCs w:val="24"/>
                    </w:rPr>
                  </w:pPr>
                  <w:r>
                    <w:rPr>
                      <w:rFonts w:hAnsi="宋体"/>
                      <w:sz w:val="24"/>
                      <w:szCs w:val="24"/>
                    </w:rPr>
                    <w:t>电</w:t>
                  </w:r>
                </w:p>
              </w:tc>
              <w:tc>
                <w:tcPr>
                  <w:tcW w:w="2947" w:type="dxa"/>
                  <w:noWrap w:val="0"/>
                  <w:vAlign w:val="center"/>
                </w:tcPr>
                <w:p>
                  <w:pPr>
                    <w:jc w:val="center"/>
                    <w:rPr>
                      <w:sz w:val="24"/>
                      <w:szCs w:val="24"/>
                    </w:rPr>
                  </w:pPr>
                  <w:r>
                    <w:rPr>
                      <w:sz w:val="24"/>
                      <w:szCs w:val="24"/>
                    </w:rPr>
                    <w:t>15.2</w:t>
                  </w:r>
                  <w:r>
                    <w:rPr>
                      <w:rFonts w:hint="eastAsia"/>
                      <w:sz w:val="24"/>
                      <w:szCs w:val="24"/>
                    </w:rPr>
                    <w:t>×</w:t>
                  </w:r>
                  <w:r>
                    <w:rPr>
                      <w:sz w:val="24"/>
                      <w:szCs w:val="24"/>
                    </w:rPr>
                    <w:t>10</w:t>
                  </w:r>
                  <w:r>
                    <w:rPr>
                      <w:sz w:val="24"/>
                      <w:szCs w:val="24"/>
                      <w:vertAlign w:val="superscript"/>
                    </w:rPr>
                    <w:t>4</w:t>
                  </w:r>
                  <w:r>
                    <w:rPr>
                      <w:sz w:val="24"/>
                      <w:szCs w:val="24"/>
                    </w:rPr>
                    <w:t>kWh/a</w:t>
                  </w:r>
                </w:p>
              </w:tc>
              <w:tc>
                <w:tcPr>
                  <w:tcW w:w="3522" w:type="dxa"/>
                  <w:noWrap w:val="0"/>
                  <w:vAlign w:val="center"/>
                </w:tcPr>
                <w:p>
                  <w:pPr>
                    <w:jc w:val="center"/>
                    <w:rPr>
                      <w:sz w:val="24"/>
                      <w:szCs w:val="24"/>
                    </w:rPr>
                  </w:pPr>
                  <w:r>
                    <w:rPr>
                      <w:rFonts w:hint="eastAsia"/>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5" w:type="dxa"/>
                  <w:noWrap w:val="0"/>
                  <w:vAlign w:val="center"/>
                </w:tcPr>
                <w:p>
                  <w:pPr>
                    <w:jc w:val="center"/>
                    <w:rPr>
                      <w:sz w:val="24"/>
                      <w:szCs w:val="24"/>
                    </w:rPr>
                  </w:pPr>
                  <w:r>
                    <w:rPr>
                      <w:rFonts w:hAnsi="宋体"/>
                      <w:sz w:val="24"/>
                      <w:szCs w:val="24"/>
                    </w:rPr>
                    <w:t>自来水</w:t>
                  </w:r>
                </w:p>
              </w:tc>
              <w:tc>
                <w:tcPr>
                  <w:tcW w:w="2947" w:type="dxa"/>
                  <w:noWrap w:val="0"/>
                  <w:vAlign w:val="center"/>
                </w:tcPr>
                <w:p>
                  <w:pPr>
                    <w:jc w:val="center"/>
                    <w:rPr>
                      <w:sz w:val="24"/>
                      <w:szCs w:val="24"/>
                    </w:rPr>
                  </w:pPr>
                  <w:r>
                    <w:rPr>
                      <w:rFonts w:hint="eastAsia"/>
                      <w:sz w:val="24"/>
                      <w:szCs w:val="24"/>
                    </w:rPr>
                    <w:t>2500</w:t>
                  </w:r>
                  <w:r>
                    <w:rPr>
                      <w:sz w:val="24"/>
                      <w:szCs w:val="24"/>
                    </w:rPr>
                    <w:t>m</w:t>
                  </w:r>
                  <w:r>
                    <w:rPr>
                      <w:sz w:val="24"/>
                      <w:szCs w:val="24"/>
                      <w:vertAlign w:val="superscript"/>
                    </w:rPr>
                    <w:t>3</w:t>
                  </w:r>
                  <w:r>
                    <w:rPr>
                      <w:sz w:val="24"/>
                      <w:szCs w:val="24"/>
                    </w:rPr>
                    <w:t>/a</w:t>
                  </w:r>
                </w:p>
              </w:tc>
              <w:tc>
                <w:tcPr>
                  <w:tcW w:w="3522" w:type="dxa"/>
                  <w:noWrap w:val="0"/>
                  <w:vAlign w:val="center"/>
                </w:tcPr>
                <w:p>
                  <w:pPr>
                    <w:jc w:val="center"/>
                    <w:rPr>
                      <w:sz w:val="24"/>
                      <w:szCs w:val="24"/>
                    </w:rPr>
                  </w:pPr>
                  <w:r>
                    <w:rPr>
                      <w:rFonts w:hint="eastAsia"/>
                      <w:sz w:val="24"/>
                      <w:szCs w:val="24"/>
                    </w:rPr>
                    <w:t>水</w:t>
                  </w:r>
                </w:p>
              </w:tc>
            </w:tr>
          </w:tbl>
          <w:p>
            <w:pPr>
              <w:spacing w:line="360" w:lineRule="auto"/>
              <w:outlineLvl w:val="0"/>
              <w:rPr>
                <w:rFonts w:ascii="Times New Roman" w:hAnsi="Times New Roman"/>
                <w:b/>
                <w:color w:val="000000" w:themeColor="text1"/>
                <w:sz w:val="24"/>
                <w:szCs w:val="24"/>
              </w:rPr>
            </w:pPr>
            <w:r>
              <w:rPr>
                <w:rFonts w:hint="eastAsia" w:ascii="Times New Roman" w:hAnsi="Times New Roman"/>
                <w:b/>
                <w:color w:val="000000" w:themeColor="text1"/>
                <w:sz w:val="24"/>
                <w:szCs w:val="24"/>
                <w:lang w:val="en-US" w:eastAsia="zh-CN"/>
              </w:rPr>
              <w:t>5</w:t>
            </w:r>
            <w:r>
              <w:rPr>
                <w:rFonts w:ascii="Times New Roman" w:hAnsi="Times New Roman"/>
                <w:b/>
                <w:color w:val="000000" w:themeColor="text1"/>
                <w:sz w:val="24"/>
                <w:szCs w:val="24"/>
              </w:rPr>
              <w:t>、工作制度及劳动定员</w:t>
            </w:r>
          </w:p>
          <w:p>
            <w:pPr>
              <w:ind w:firstLine="720" w:firstLineChars="300"/>
              <w:rPr>
                <w:color w:val="000000" w:themeColor="text1"/>
                <w:sz w:val="24"/>
                <w:szCs w:val="24"/>
              </w:rPr>
            </w:pPr>
            <w:r>
              <w:rPr>
                <w:rFonts w:hAnsi="宋体"/>
                <w:color w:val="000000" w:themeColor="text1"/>
                <w:sz w:val="24"/>
              </w:rPr>
              <w:t>本项目</w:t>
            </w:r>
            <w:r>
              <w:rPr>
                <w:rFonts w:hint="eastAsia" w:hAnsi="宋体"/>
                <w:color w:val="000000" w:themeColor="text1"/>
                <w:sz w:val="24"/>
                <w:lang w:eastAsia="zh-CN"/>
              </w:rPr>
              <w:t>有</w:t>
            </w:r>
            <w:r>
              <w:rPr>
                <w:rFonts w:hAnsi="宋体"/>
                <w:color w:val="000000" w:themeColor="text1"/>
                <w:sz w:val="24"/>
              </w:rPr>
              <w:t>员工</w:t>
            </w:r>
            <w:r>
              <w:rPr>
                <w:rFonts w:hint="eastAsia" w:hAnsi="宋体"/>
                <w:color w:val="000000" w:themeColor="text1"/>
                <w:sz w:val="24"/>
              </w:rPr>
              <w:t>20</w:t>
            </w:r>
            <w:r>
              <w:rPr>
                <w:rFonts w:hAnsi="宋体"/>
                <w:color w:val="000000" w:themeColor="text1"/>
                <w:sz w:val="24"/>
              </w:rPr>
              <w:t>人，工人年工作时间约为</w:t>
            </w:r>
            <w:r>
              <w:rPr>
                <w:rFonts w:hint="eastAsia" w:hAnsi="宋体"/>
                <w:color w:val="000000" w:themeColor="text1"/>
                <w:sz w:val="24"/>
              </w:rPr>
              <w:t>365</w:t>
            </w:r>
            <w:r>
              <w:rPr>
                <w:rFonts w:hAnsi="宋体"/>
                <w:color w:val="000000" w:themeColor="text1"/>
                <w:sz w:val="24"/>
              </w:rPr>
              <w:t>天，</w:t>
            </w:r>
            <w:r>
              <w:rPr>
                <w:rFonts w:hint="eastAsia" w:ascii="宋体" w:cs="宋体"/>
                <w:color w:val="000000" w:themeColor="text1"/>
                <w:kern w:val="0"/>
                <w:sz w:val="24"/>
              </w:rPr>
              <w:t>年正常工作天数约</w:t>
            </w:r>
            <w:r>
              <w:rPr>
                <w:color w:val="000000" w:themeColor="text1"/>
                <w:kern w:val="0"/>
                <w:sz w:val="24"/>
              </w:rPr>
              <w:t>365</w:t>
            </w:r>
            <w:r>
              <w:rPr>
                <w:rFonts w:hint="eastAsia" w:ascii="宋体" w:cs="宋体"/>
                <w:color w:val="000000" w:themeColor="text1"/>
                <w:kern w:val="0"/>
                <w:sz w:val="24"/>
              </w:rPr>
              <w:t>天，三班倒制，每班</w:t>
            </w:r>
            <w:r>
              <w:rPr>
                <w:color w:val="000000" w:themeColor="text1"/>
                <w:kern w:val="0"/>
                <w:sz w:val="24"/>
              </w:rPr>
              <w:t>8</w:t>
            </w:r>
            <w:r>
              <w:rPr>
                <w:rFonts w:hint="eastAsia" w:ascii="宋体" w:cs="宋体"/>
                <w:color w:val="000000" w:themeColor="text1"/>
                <w:kern w:val="0"/>
                <w:sz w:val="24"/>
              </w:rPr>
              <w:t>小时</w:t>
            </w:r>
            <w:r>
              <w:rPr>
                <w:color w:val="000000" w:themeColor="text1"/>
                <w:sz w:val="24"/>
                <w:szCs w:val="24"/>
              </w:rPr>
              <w:t>。</w:t>
            </w:r>
          </w:p>
          <w:p>
            <w:pPr>
              <w:spacing w:line="360" w:lineRule="auto"/>
              <w:rPr>
                <w:rFonts w:hint="eastAsia" w:ascii="宋体" w:hAnsi="宋体" w:eastAsia="宋体" w:cs="宋体"/>
                <w:b/>
                <w:bCs/>
                <w:color w:val="000000" w:themeColor="text1"/>
                <w:sz w:val="24"/>
                <w:szCs w:val="24"/>
              </w:rPr>
            </w:pPr>
            <w:r>
              <w:rPr>
                <w:rFonts w:hint="eastAsia" w:ascii="宋体" w:hAnsi="宋体" w:eastAsia="宋体" w:cs="宋体"/>
                <w:b/>
                <w:bCs/>
                <w:color w:val="000000" w:themeColor="text1"/>
                <w:sz w:val="24"/>
                <w:szCs w:val="24"/>
                <w:lang w:val="en-US" w:eastAsia="zh-CN"/>
              </w:rPr>
              <w:t>6</w:t>
            </w:r>
            <w:r>
              <w:rPr>
                <w:rFonts w:hint="eastAsia" w:ascii="宋体" w:hAnsi="宋体" w:eastAsia="宋体" w:cs="宋体"/>
                <w:b/>
                <w:bCs/>
                <w:color w:val="000000" w:themeColor="text1"/>
                <w:sz w:val="24"/>
                <w:szCs w:val="24"/>
              </w:rPr>
              <w:t>、项目变动情况</w:t>
            </w:r>
          </w:p>
          <w:p>
            <w:pPr>
              <w:spacing w:line="480" w:lineRule="exact"/>
              <w:ind w:firstLine="360" w:firstLineChars="150"/>
              <w:rPr>
                <w:rFonts w:hint="eastAsia" w:ascii="宋体" w:hAnsi="宋体" w:eastAsia="宋体" w:cs="宋体"/>
                <w:b/>
                <w:bCs/>
                <w:color w:val="000000" w:themeColor="text1"/>
                <w:sz w:val="24"/>
                <w:szCs w:val="24"/>
              </w:rPr>
            </w:pPr>
            <w:r>
              <w:rPr>
                <w:rFonts w:hint="eastAsia" w:ascii="宋体" w:hAnsi="宋体" w:eastAsia="宋体" w:cs="宋体"/>
                <w:color w:val="000000" w:themeColor="text1"/>
                <w:sz w:val="24"/>
                <w:szCs w:val="24"/>
              </w:rPr>
              <w:t>实际建设内容基本与环评及批复一致</w:t>
            </w:r>
            <w:r>
              <w:rPr>
                <w:rFonts w:hint="eastAsia" w:ascii="宋体" w:hAnsi="宋体" w:eastAsia="宋体" w:cs="宋体"/>
                <w:color w:val="000000" w:themeColor="text1"/>
                <w:sz w:val="24"/>
                <w:szCs w:val="24"/>
                <w:lang w:eastAsia="zh-CN"/>
              </w:rPr>
              <w:t>，无变动情况</w:t>
            </w:r>
            <w:r>
              <w:rPr>
                <w:rFonts w:hint="eastAsia" w:ascii="宋体" w:hAnsi="宋体" w:eastAsia="宋体" w:cs="宋体"/>
                <w:color w:val="000000" w:themeColor="text1"/>
                <w:sz w:val="24"/>
                <w:szCs w:val="24"/>
              </w:rPr>
              <w:t>。</w:t>
            </w:r>
          </w:p>
          <w:p>
            <w:pPr>
              <w:tabs>
                <w:tab w:val="left" w:pos="5352"/>
              </w:tabs>
              <w:spacing w:line="360" w:lineRule="auto"/>
              <w:jc w:val="left"/>
              <w:rPr>
                <w:rFonts w:ascii="Times New Roman" w:hAnsi="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18" w:hRule="atLeast"/>
          <w:jc w:val="center"/>
        </w:trPr>
        <w:tc>
          <w:tcPr>
            <w:tcW w:w="10205" w:type="dxa"/>
            <w:noWrap w:val="0"/>
            <w:vAlign w:val="top"/>
          </w:tcPr>
          <w:p>
            <w:pPr>
              <w:tabs>
                <w:tab w:val="left" w:pos="5352"/>
              </w:tabs>
              <w:spacing w:line="360" w:lineRule="auto"/>
              <w:jc w:val="left"/>
              <w:rPr>
                <w:rFonts w:hint="eastAsia" w:ascii="Times New Roman" w:hAnsi="Times New Roman"/>
                <w:b/>
                <w:color w:val="000000"/>
                <w:sz w:val="18"/>
                <w:szCs w:val="18"/>
              </w:rPr>
            </w:pPr>
            <w:r>
              <w:rPr>
                <w:rFonts w:ascii="Times New Roman" w:hAnsi="Times New Roman"/>
                <w:b/>
                <w:color w:val="000000"/>
                <w:sz w:val="24"/>
              </w:rPr>
              <w:t>主要</w:t>
            </w:r>
            <w:r>
              <w:rPr>
                <w:rFonts w:hint="eastAsia" w:ascii="Times New Roman" w:hAnsi="Times New Roman"/>
                <w:b/>
                <w:color w:val="000000"/>
                <w:sz w:val="24"/>
              </w:rPr>
              <w:t>工艺流程及产污环节</w:t>
            </w:r>
          </w:p>
          <w:p>
            <w:pPr>
              <w:tabs>
                <w:tab w:val="left" w:pos="915"/>
              </w:tabs>
              <w:spacing w:line="360" w:lineRule="auto"/>
              <w:rPr>
                <w:rFonts w:ascii="Times New Roman" w:hAnsi="Times New Roman"/>
                <w:b/>
                <w:sz w:val="24"/>
              </w:rPr>
            </w:pPr>
            <w:r>
              <w:rPr>
                <w:rFonts w:ascii="Times New Roman" w:hAnsi="Times New Roman"/>
                <w:b/>
                <w:sz w:val="24"/>
              </w:rPr>
              <w:t>1.主要生产工艺</w:t>
            </w:r>
            <w:r>
              <w:rPr>
                <w:rFonts w:hint="eastAsia" w:ascii="Times New Roman" w:hAnsi="Times New Roman"/>
                <w:b/>
                <w:sz w:val="24"/>
              </w:rPr>
              <w:t>流程</w:t>
            </w:r>
          </w:p>
          <w:p>
            <w:pPr>
              <w:spacing w:line="360" w:lineRule="auto"/>
              <w:rPr>
                <w:rFonts w:ascii="黑体" w:eastAsia="黑体"/>
                <w:bCs/>
                <w:sz w:val="28"/>
                <w:szCs w:val="28"/>
              </w:rPr>
            </w:pPr>
            <w:r>
              <w:rPr>
                <w:rFonts w:hint="eastAsia" w:ascii="黑体" w:eastAsia="黑体"/>
                <w:bCs/>
                <w:sz w:val="28"/>
                <w:szCs w:val="28"/>
              </w:rPr>
              <w:t>生产工艺流程简述（图示）</w:t>
            </w:r>
          </w:p>
          <w:p>
            <w:pPr>
              <w:spacing w:line="360" w:lineRule="auto"/>
              <w:ind w:firstLine="480" w:firstLineChars="200"/>
              <w:rPr>
                <w:rFonts w:ascii="宋体" w:hAnsi="宋体"/>
                <w:sz w:val="24"/>
              </w:rPr>
            </w:pPr>
            <w:r>
              <w:rPr>
                <w:rFonts w:hint="eastAsia" w:ascii="宋体" w:hAnsi="宋体"/>
                <w:sz w:val="24"/>
              </w:rPr>
              <w:t>（一）项目施工建设工艺及产污流程图</w:t>
            </w:r>
          </w:p>
          <w:p>
            <w:pPr>
              <w:spacing w:line="360" w:lineRule="auto"/>
              <w:rPr>
                <w:rFonts w:ascii="黑体" w:eastAsia="黑体"/>
                <w:bCs/>
                <w:sz w:val="28"/>
                <w:szCs w:val="28"/>
              </w:rPr>
            </w:pPr>
            <w:r>
              <w:object>
                <v:shape id="_x0000_i1025" o:spt="75" type="#_x0000_t75" style="height:109.5pt;width:440.15pt;" o:ole="t" filled="f" o:preferrelative="t" stroked="f" coordsize="21600,21600">
                  <v:path/>
                  <v:fill on="f" focussize="0,0"/>
                  <v:stroke on="f"/>
                  <v:imagedata r:id="rId30" o:title=""/>
                  <o:lock v:ext="edit" aspectratio="t"/>
                  <w10:wrap type="none"/>
                  <w10:anchorlock/>
                </v:shape>
                <o:OLEObject Type="Embed" ProgID="Visio.Drawing.11" ShapeID="_x0000_i1025" DrawAspect="Content" ObjectID="_1468075725" r:id="rId29">
                  <o:LockedField>false</o:LockedField>
                </o:OLEObject>
              </w:object>
            </w:r>
          </w:p>
          <w:p>
            <w:pPr>
              <w:tabs>
                <w:tab w:val="left" w:pos="2580"/>
                <w:tab w:val="left" w:pos="7560"/>
              </w:tabs>
              <w:spacing w:line="360" w:lineRule="auto"/>
              <w:jc w:val="center"/>
              <w:rPr>
                <w:bCs/>
                <w:sz w:val="24"/>
              </w:rPr>
            </w:pPr>
            <w:r>
              <w:rPr>
                <w:bCs/>
                <w:sz w:val="24"/>
              </w:rPr>
              <w:t>图</w:t>
            </w:r>
            <w:r>
              <w:rPr>
                <w:rFonts w:hint="eastAsia"/>
                <w:bCs/>
                <w:sz w:val="24"/>
              </w:rPr>
              <w:t>1</w:t>
            </w:r>
            <w:r>
              <w:rPr>
                <w:bCs/>
                <w:sz w:val="24"/>
              </w:rPr>
              <w:t xml:space="preserve">   项目施工工艺流程及产污位置图</w:t>
            </w:r>
          </w:p>
          <w:p>
            <w:pPr>
              <w:spacing w:line="360" w:lineRule="auto"/>
              <w:ind w:firstLine="480" w:firstLineChars="200"/>
              <w:rPr>
                <w:sz w:val="24"/>
              </w:rPr>
            </w:pPr>
            <w:r>
              <w:rPr>
                <w:rFonts w:hint="eastAsia"/>
                <w:sz w:val="24"/>
              </w:rPr>
              <w:t>（二）项目运营期工艺流程及产污位置图</w:t>
            </w:r>
          </w:p>
          <w:p>
            <w:pPr>
              <w:spacing w:line="360" w:lineRule="auto"/>
              <w:ind w:firstLine="480" w:firstLineChars="200"/>
              <w:rPr>
                <w:rFonts w:ascii="宋体" w:hAnsi="宋体"/>
                <w:sz w:val="24"/>
              </w:rPr>
            </w:pPr>
            <w:r>
              <w:rPr>
                <w:rFonts w:hint="eastAsia" w:ascii="宋体" w:hAnsi="宋体"/>
                <w:sz w:val="24"/>
              </w:rPr>
              <w:t>(1)LNG加气工艺流程图</w:t>
            </w:r>
          </w:p>
          <w:p>
            <w:pPr>
              <w:spacing w:line="360" w:lineRule="auto"/>
              <w:jc w:val="center"/>
              <w:rPr>
                <w:rFonts w:ascii="宋体" w:hAnsi="宋体"/>
                <w:sz w:val="24"/>
              </w:rPr>
            </w:pPr>
            <w:r>
              <w:rPr>
                <w:rFonts w:ascii="宋体" w:hAnsi="宋体"/>
                <w:sz w:val="24"/>
              </w:rPr>
              <w:drawing>
                <wp:inline distT="0" distB="0" distL="114300" distR="114300">
                  <wp:extent cx="5272405" cy="2385695"/>
                  <wp:effectExtent l="0" t="0" r="4445" b="1460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1"/>
                          <a:stretch>
                            <a:fillRect/>
                          </a:stretch>
                        </pic:blipFill>
                        <pic:spPr>
                          <a:xfrm>
                            <a:off x="0" y="0"/>
                            <a:ext cx="5272405" cy="2385695"/>
                          </a:xfrm>
                          <a:prstGeom prst="rect">
                            <a:avLst/>
                          </a:prstGeom>
                          <a:noFill/>
                          <a:ln>
                            <a:noFill/>
                          </a:ln>
                        </pic:spPr>
                      </pic:pic>
                    </a:graphicData>
                  </a:graphic>
                </wp:inline>
              </w:drawing>
            </w:r>
          </w:p>
          <w:p>
            <w:pPr>
              <w:spacing w:line="360" w:lineRule="auto"/>
              <w:ind w:firstLine="480" w:firstLineChars="200"/>
              <w:jc w:val="center"/>
              <w:rPr>
                <w:rFonts w:ascii="宋体" w:hAnsi="宋体"/>
                <w:sz w:val="24"/>
              </w:rPr>
            </w:pPr>
            <w:r>
              <w:rPr>
                <w:rFonts w:hint="eastAsia" w:ascii="宋体" w:hAnsi="宋体"/>
                <w:sz w:val="24"/>
              </w:rPr>
              <w:t>图2 LNG工艺及产污图</w:t>
            </w:r>
          </w:p>
          <w:p>
            <w:pPr>
              <w:spacing w:line="360" w:lineRule="auto"/>
              <w:ind w:firstLine="480" w:firstLineChars="200"/>
              <w:rPr>
                <w:rFonts w:ascii="宋体" w:hAnsi="宋体"/>
                <w:sz w:val="24"/>
              </w:rPr>
            </w:pPr>
            <w:r>
              <w:rPr>
                <w:rFonts w:hint="eastAsia" w:ascii="宋体" w:hAnsi="宋体"/>
                <w:sz w:val="24"/>
              </w:rPr>
              <w:t>本项目使用的</w:t>
            </w:r>
            <w:r>
              <w:rPr>
                <w:rFonts w:ascii="宋体" w:hAnsi="宋体"/>
                <w:sz w:val="24"/>
              </w:rPr>
              <w:t>LNG</w:t>
            </w:r>
            <w:r>
              <w:rPr>
                <w:rFonts w:hint="eastAsia" w:ascii="宋体" w:hAnsi="宋体"/>
                <w:sz w:val="24"/>
              </w:rPr>
              <w:t>为经过脱硫、脱水的净化天然气，本项目内不需脱硫脱水。</w:t>
            </w:r>
          </w:p>
          <w:p>
            <w:pPr>
              <w:spacing w:line="360" w:lineRule="auto"/>
              <w:ind w:firstLine="480" w:firstLineChars="200"/>
              <w:rPr>
                <w:rFonts w:ascii="宋体" w:hAnsi="宋体"/>
                <w:sz w:val="24"/>
              </w:rPr>
            </w:pPr>
            <w:r>
              <w:rPr>
                <w:rFonts w:ascii="宋体" w:hAnsi="宋体"/>
                <w:sz w:val="24"/>
              </w:rPr>
              <w:t xml:space="preserve">LNG </w:t>
            </w:r>
            <w:r>
              <w:rPr>
                <w:rFonts w:hint="eastAsia" w:ascii="宋体" w:hAnsi="宋体"/>
                <w:sz w:val="24"/>
              </w:rPr>
              <w:t>加气站工艺流程分为卸车流程、升压流程、加气流程、卸压流程等四部分。</w:t>
            </w:r>
          </w:p>
          <w:p>
            <w:pPr>
              <w:spacing w:line="360" w:lineRule="auto"/>
              <w:ind w:firstLine="482" w:firstLineChars="200"/>
              <w:rPr>
                <w:rFonts w:ascii="宋体" w:hAnsi="宋体"/>
                <w:b/>
                <w:sz w:val="24"/>
              </w:rPr>
            </w:pPr>
            <w:r>
              <w:rPr>
                <w:rFonts w:ascii="宋体" w:hAnsi="宋体"/>
                <w:b/>
                <w:sz w:val="24"/>
              </w:rPr>
              <w:t>1</w:t>
            </w:r>
            <w:r>
              <w:rPr>
                <w:rFonts w:hint="eastAsia" w:ascii="宋体" w:hAnsi="宋体"/>
                <w:b/>
                <w:sz w:val="24"/>
              </w:rPr>
              <w:t>）、卸车流程</w:t>
            </w:r>
          </w:p>
          <w:p>
            <w:pPr>
              <w:spacing w:line="360" w:lineRule="auto"/>
              <w:ind w:firstLine="480" w:firstLineChars="200"/>
              <w:rPr>
                <w:rFonts w:ascii="宋体" w:hAnsi="宋体"/>
                <w:sz w:val="24"/>
              </w:rPr>
            </w:pPr>
            <w:r>
              <w:rPr>
                <w:rFonts w:hint="eastAsia" w:ascii="宋体" w:hAnsi="宋体"/>
                <w:sz w:val="24"/>
              </w:rPr>
              <w:t>把汽车槽车内的</w:t>
            </w:r>
            <w:r>
              <w:rPr>
                <w:rFonts w:ascii="宋体" w:hAnsi="宋体"/>
                <w:sz w:val="24"/>
              </w:rPr>
              <w:t xml:space="preserve">LNG </w:t>
            </w:r>
            <w:r>
              <w:rPr>
                <w:rFonts w:hint="eastAsia" w:ascii="宋体" w:hAnsi="宋体"/>
                <w:sz w:val="24"/>
              </w:rPr>
              <w:t>转移至</w:t>
            </w:r>
            <w:r>
              <w:rPr>
                <w:rFonts w:ascii="宋体" w:hAnsi="宋体"/>
                <w:sz w:val="24"/>
              </w:rPr>
              <w:t xml:space="preserve">LNG </w:t>
            </w:r>
            <w:r>
              <w:rPr>
                <w:rFonts w:hint="eastAsia" w:ascii="宋体" w:hAnsi="宋体"/>
                <w:sz w:val="24"/>
              </w:rPr>
              <w:t>加气站的储罐内，使</w:t>
            </w:r>
            <w:r>
              <w:rPr>
                <w:rFonts w:ascii="宋体" w:hAnsi="宋体"/>
                <w:sz w:val="24"/>
              </w:rPr>
              <w:t xml:space="preserve">LNG </w:t>
            </w:r>
            <w:r>
              <w:rPr>
                <w:rFonts w:hint="eastAsia" w:ascii="宋体" w:hAnsi="宋体"/>
                <w:sz w:val="24"/>
              </w:rPr>
              <w:t>经过泵从罐上、下进液管分别进入</w:t>
            </w:r>
            <w:r>
              <w:rPr>
                <w:rFonts w:ascii="宋体" w:hAnsi="宋体"/>
                <w:sz w:val="24"/>
              </w:rPr>
              <w:t xml:space="preserve">LNG </w:t>
            </w:r>
            <w:r>
              <w:rPr>
                <w:rFonts w:hint="eastAsia" w:ascii="宋体" w:hAnsi="宋体"/>
                <w:sz w:val="24"/>
              </w:rPr>
              <w:t>储罐。卸车有</w:t>
            </w:r>
            <w:r>
              <w:rPr>
                <w:rFonts w:ascii="宋体" w:hAnsi="宋体"/>
                <w:sz w:val="24"/>
              </w:rPr>
              <w:t xml:space="preserve">3 </w:t>
            </w:r>
            <w:r>
              <w:rPr>
                <w:rFonts w:hint="eastAsia" w:ascii="宋体" w:hAnsi="宋体"/>
                <w:sz w:val="24"/>
              </w:rPr>
              <w:t>种方式：增压器卸车、泵卸车、增压器和泵联合卸车，本项目采用增压器和泵联合卸车方式。</w:t>
            </w:r>
          </w:p>
          <w:p>
            <w:pPr>
              <w:spacing w:line="360" w:lineRule="auto"/>
              <w:ind w:firstLine="480" w:firstLineChars="200"/>
              <w:rPr>
                <w:rFonts w:ascii="宋体" w:hAnsi="宋体"/>
                <w:sz w:val="24"/>
              </w:rPr>
            </w:pPr>
            <w:r>
              <w:rPr>
                <w:rFonts w:hint="eastAsia" w:ascii="宋体" w:hAnsi="宋体"/>
                <w:sz w:val="24"/>
              </w:rPr>
              <w:t>先将</w:t>
            </w:r>
            <w:r>
              <w:rPr>
                <w:rFonts w:ascii="宋体" w:hAnsi="宋体"/>
                <w:sz w:val="24"/>
              </w:rPr>
              <w:t xml:space="preserve">LNG </w:t>
            </w:r>
            <w:r>
              <w:rPr>
                <w:rFonts w:hint="eastAsia" w:ascii="宋体" w:hAnsi="宋体"/>
                <w:sz w:val="24"/>
              </w:rPr>
              <w:t>槽车和</w:t>
            </w:r>
            <w:r>
              <w:rPr>
                <w:rFonts w:ascii="宋体" w:hAnsi="宋体"/>
                <w:sz w:val="24"/>
              </w:rPr>
              <w:t xml:space="preserve">LNG </w:t>
            </w:r>
            <w:r>
              <w:rPr>
                <w:rFonts w:hint="eastAsia" w:ascii="宋体" w:hAnsi="宋体"/>
                <w:sz w:val="24"/>
              </w:rPr>
              <w:t>储罐的气相空间连通，然后断开，在卸车的过程中通过增压器增大槽车的气相压力，用泵将槽车内的</w:t>
            </w:r>
            <w:r>
              <w:rPr>
                <w:rFonts w:ascii="宋体" w:hAnsi="宋体"/>
                <w:sz w:val="24"/>
              </w:rPr>
              <w:t xml:space="preserve">LNG </w:t>
            </w:r>
            <w:r>
              <w:rPr>
                <w:rFonts w:hint="eastAsia" w:ascii="宋体" w:hAnsi="宋体"/>
                <w:sz w:val="24"/>
              </w:rPr>
              <w:t>卸入储罐，卸完车后需要给槽车卸压，排出的气体量约为</w:t>
            </w:r>
            <w:r>
              <w:rPr>
                <w:rFonts w:ascii="宋体" w:hAnsi="宋体"/>
                <w:sz w:val="24"/>
              </w:rPr>
              <w:t>120Nm</w:t>
            </w:r>
            <w:r>
              <w:rPr>
                <w:rFonts w:ascii="宋体" w:hAnsi="宋体"/>
                <w:sz w:val="24"/>
                <w:vertAlign w:val="superscript"/>
              </w:rPr>
              <w:t>3</w:t>
            </w:r>
            <w:r>
              <w:rPr>
                <w:rFonts w:hint="eastAsia" w:ascii="宋体" w:hAnsi="宋体"/>
                <w:sz w:val="24"/>
              </w:rPr>
              <w:t>，放散时间约</w:t>
            </w:r>
            <w:r>
              <w:rPr>
                <w:rFonts w:ascii="宋体" w:hAnsi="宋体"/>
                <w:sz w:val="24"/>
              </w:rPr>
              <w:t>1h</w:t>
            </w:r>
            <w:r>
              <w:rPr>
                <w:rFonts w:hint="eastAsia" w:ascii="宋体" w:hAnsi="宋体"/>
                <w:sz w:val="24"/>
              </w:rPr>
              <w:t>，接入站区</w:t>
            </w:r>
            <w:r>
              <w:rPr>
                <w:rFonts w:ascii="宋体" w:hAnsi="宋体"/>
                <w:sz w:val="24"/>
              </w:rPr>
              <w:t xml:space="preserve">LNG </w:t>
            </w:r>
            <w:r>
              <w:rPr>
                <w:rFonts w:hint="eastAsia" w:ascii="宋体" w:hAnsi="宋体"/>
                <w:sz w:val="24"/>
              </w:rPr>
              <w:t>储罐卸压系统经</w:t>
            </w:r>
            <w:r>
              <w:rPr>
                <w:rFonts w:ascii="宋体" w:hAnsi="宋体"/>
                <w:sz w:val="24"/>
              </w:rPr>
              <w:t xml:space="preserve">EAG </w:t>
            </w:r>
            <w:r>
              <w:rPr>
                <w:rFonts w:hint="eastAsia" w:ascii="宋体" w:hAnsi="宋体"/>
                <w:sz w:val="24"/>
              </w:rPr>
              <w:t>加热器加热后放散。</w:t>
            </w:r>
          </w:p>
          <w:p>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）、升压流程</w:t>
            </w:r>
          </w:p>
          <w:p>
            <w:pPr>
              <w:spacing w:line="360" w:lineRule="auto"/>
              <w:ind w:firstLine="480" w:firstLineChars="200"/>
              <w:rPr>
                <w:rFonts w:ascii="宋体" w:hAnsi="宋体"/>
                <w:sz w:val="24"/>
              </w:rPr>
            </w:pPr>
            <w:r>
              <w:rPr>
                <w:rFonts w:ascii="宋体" w:hAnsi="宋体"/>
                <w:sz w:val="24"/>
              </w:rPr>
              <w:t xml:space="preserve">LNG </w:t>
            </w:r>
            <w:r>
              <w:rPr>
                <w:rFonts w:hint="eastAsia" w:ascii="宋体" w:hAnsi="宋体"/>
                <w:sz w:val="24"/>
              </w:rPr>
              <w:t>车辆发动机需要车载气瓶内饱和液体压力较高，一般在</w:t>
            </w:r>
            <w:r>
              <w:rPr>
                <w:rFonts w:ascii="宋体" w:hAnsi="宋体"/>
                <w:sz w:val="24"/>
              </w:rPr>
              <w:t>0.4</w:t>
            </w:r>
            <w:r>
              <w:rPr>
                <w:rFonts w:hint="eastAsia" w:ascii="宋体" w:hAnsi="宋体"/>
                <w:sz w:val="24"/>
              </w:rPr>
              <w:t>～</w:t>
            </w:r>
            <w:r>
              <w:rPr>
                <w:rFonts w:ascii="宋体" w:hAnsi="宋体"/>
                <w:sz w:val="24"/>
              </w:rPr>
              <w:t>0.8MPa</w:t>
            </w:r>
            <w:r>
              <w:rPr>
                <w:rFonts w:hint="eastAsia" w:ascii="宋体" w:hAnsi="宋体"/>
                <w:sz w:val="24"/>
              </w:rPr>
              <w:t>，而运输和储存需要</w:t>
            </w:r>
            <w:r>
              <w:rPr>
                <w:rFonts w:ascii="宋体" w:hAnsi="宋体"/>
                <w:sz w:val="24"/>
              </w:rPr>
              <w:t xml:space="preserve">LNG </w:t>
            </w:r>
            <w:r>
              <w:rPr>
                <w:rFonts w:hint="eastAsia" w:ascii="宋体" w:hAnsi="宋体"/>
                <w:sz w:val="24"/>
              </w:rPr>
              <w:t>饱和液体压力越低越好。所以在给汽车加气之前须对储罐中的</w:t>
            </w:r>
            <w:r>
              <w:rPr>
                <w:rFonts w:ascii="宋体" w:hAnsi="宋体"/>
                <w:sz w:val="24"/>
              </w:rPr>
              <w:t xml:space="preserve">LNG </w:t>
            </w:r>
            <w:r>
              <w:rPr>
                <w:rFonts w:hint="eastAsia" w:ascii="宋体" w:hAnsi="宋体"/>
                <w:sz w:val="24"/>
              </w:rPr>
              <w:t>进行升压升温。</w:t>
            </w:r>
            <w:r>
              <w:rPr>
                <w:rFonts w:ascii="宋体" w:hAnsi="宋体"/>
                <w:sz w:val="24"/>
              </w:rPr>
              <w:t xml:space="preserve">LNG </w:t>
            </w:r>
            <w:r>
              <w:rPr>
                <w:rFonts w:hint="eastAsia" w:ascii="宋体" w:hAnsi="宋体"/>
                <w:sz w:val="24"/>
              </w:rPr>
              <w:t>加气站储罐升压的目的是得到一定压力的饱和液体，在升压的同时饱和温度相应升高。</w:t>
            </w:r>
            <w:r>
              <w:rPr>
                <w:rFonts w:ascii="宋体" w:hAnsi="宋体"/>
                <w:sz w:val="24"/>
              </w:rPr>
              <w:t xml:space="preserve">LNG </w:t>
            </w:r>
            <w:r>
              <w:rPr>
                <w:rFonts w:hint="eastAsia" w:ascii="宋体" w:hAnsi="宋体"/>
                <w:sz w:val="24"/>
              </w:rPr>
              <w:t>加气站的升压采用下进气方式，升压方式可以通过增压器升压，也可以通过增压器与泵联合使用进行升压。增压器升压优点是不耗电，缺点是升压时间长，理论需要五个多小时。增压器和泵联合升压优点是升压时间短，减少放空损失，缺点是需要电耗。本设计采用增压器和泵联合升压并且加大增压器的传热面积，大大缩短升压时间，只需一个多小时，从而确保加气时间。</w:t>
            </w:r>
          </w:p>
          <w:p>
            <w:pPr>
              <w:spacing w:line="360" w:lineRule="auto"/>
              <w:ind w:firstLine="482" w:firstLineChars="200"/>
              <w:rPr>
                <w:rFonts w:ascii="宋体" w:hAnsi="宋体"/>
                <w:b/>
                <w:sz w:val="24"/>
              </w:rPr>
            </w:pPr>
            <w:r>
              <w:rPr>
                <w:rFonts w:ascii="宋体" w:hAnsi="宋体"/>
                <w:b/>
                <w:sz w:val="24"/>
              </w:rPr>
              <w:t>3</w:t>
            </w:r>
            <w:r>
              <w:rPr>
                <w:rFonts w:hint="eastAsia" w:ascii="宋体" w:hAnsi="宋体"/>
                <w:b/>
                <w:sz w:val="24"/>
              </w:rPr>
              <w:t>）、加液流程</w:t>
            </w:r>
          </w:p>
          <w:p>
            <w:pPr>
              <w:spacing w:line="360" w:lineRule="auto"/>
              <w:ind w:firstLine="480" w:firstLineChars="200"/>
              <w:rPr>
                <w:rFonts w:ascii="宋体" w:hAnsi="宋体"/>
                <w:sz w:val="24"/>
              </w:rPr>
            </w:pPr>
            <w:r>
              <w:rPr>
                <w:rFonts w:hint="eastAsia" w:ascii="宋体" w:hAnsi="宋体"/>
                <w:sz w:val="24"/>
              </w:rPr>
              <w:t>向汽车加注</w:t>
            </w:r>
            <w:r>
              <w:rPr>
                <w:rFonts w:ascii="宋体" w:hAnsi="宋体"/>
                <w:sz w:val="24"/>
              </w:rPr>
              <w:t xml:space="preserve">LNG </w:t>
            </w:r>
            <w:r>
              <w:rPr>
                <w:rFonts w:hint="eastAsia" w:ascii="宋体" w:hAnsi="宋体"/>
                <w:sz w:val="24"/>
              </w:rPr>
              <w:t>时，</w:t>
            </w:r>
            <w:r>
              <w:rPr>
                <w:rFonts w:ascii="宋体" w:hAnsi="宋体"/>
                <w:sz w:val="24"/>
              </w:rPr>
              <w:t xml:space="preserve">LNG </w:t>
            </w:r>
            <w:r>
              <w:rPr>
                <w:rFonts w:hint="eastAsia" w:ascii="宋体" w:hAnsi="宋体"/>
                <w:sz w:val="24"/>
              </w:rPr>
              <w:t>加气站储罐中的饱和</w:t>
            </w:r>
            <w:r>
              <w:rPr>
                <w:rFonts w:ascii="宋体" w:hAnsi="宋体"/>
                <w:sz w:val="24"/>
              </w:rPr>
              <w:t xml:space="preserve">LNG </w:t>
            </w:r>
            <w:r>
              <w:rPr>
                <w:rFonts w:hint="eastAsia" w:ascii="宋体" w:hAnsi="宋体"/>
                <w:sz w:val="24"/>
              </w:rPr>
              <w:t>首先通过潜液泵加压，然后由加液机给汽车加液。采用双管加气，车载储气瓶为上进液喷淋式，加进去的</w:t>
            </w:r>
            <w:r>
              <w:rPr>
                <w:rFonts w:ascii="宋体" w:hAnsi="宋体"/>
                <w:sz w:val="24"/>
              </w:rPr>
              <w:t xml:space="preserve">LNG </w:t>
            </w:r>
            <w:r>
              <w:rPr>
                <w:rFonts w:hint="eastAsia" w:ascii="宋体" w:hAnsi="宋体"/>
                <w:sz w:val="24"/>
              </w:rPr>
              <w:t>直接吸收车载气瓶内气体的热量，使瓶内压力降低，减少放空气体，并提高了加气速度。加注过程中车载气瓶里的</w:t>
            </w:r>
            <w:r>
              <w:rPr>
                <w:rFonts w:ascii="宋体" w:hAnsi="宋体"/>
                <w:sz w:val="24"/>
              </w:rPr>
              <w:t xml:space="preserve">BOG </w:t>
            </w:r>
            <w:r>
              <w:rPr>
                <w:rFonts w:hint="eastAsia" w:ascii="宋体" w:hAnsi="宋体"/>
                <w:sz w:val="24"/>
              </w:rPr>
              <w:t>在压力作用下通过加气枪的气相管回到</w:t>
            </w:r>
            <w:r>
              <w:rPr>
                <w:rFonts w:ascii="宋体" w:hAnsi="宋体"/>
                <w:sz w:val="24"/>
              </w:rPr>
              <w:t xml:space="preserve">LNG </w:t>
            </w:r>
            <w:r>
              <w:rPr>
                <w:rFonts w:hint="eastAsia" w:ascii="宋体" w:hAnsi="宋体"/>
                <w:sz w:val="24"/>
              </w:rPr>
              <w:t>储罐。</w:t>
            </w:r>
          </w:p>
          <w:p>
            <w:pPr>
              <w:spacing w:line="360" w:lineRule="auto"/>
              <w:ind w:firstLine="480" w:firstLineChars="200"/>
              <w:rPr>
                <w:rFonts w:ascii="宋体" w:hAnsi="宋体"/>
                <w:sz w:val="24"/>
              </w:rPr>
            </w:pPr>
            <w:r>
              <w:rPr>
                <w:rFonts w:hint="eastAsia" w:ascii="宋体" w:hAnsi="宋体"/>
                <w:sz w:val="24"/>
              </w:rPr>
              <w:t>在原料</w:t>
            </w:r>
            <w:r>
              <w:rPr>
                <w:rFonts w:ascii="宋体" w:hAnsi="宋体"/>
                <w:sz w:val="24"/>
              </w:rPr>
              <w:t xml:space="preserve">LNG </w:t>
            </w:r>
            <w:r>
              <w:rPr>
                <w:rFonts w:hint="eastAsia" w:ascii="宋体" w:hAnsi="宋体"/>
                <w:sz w:val="24"/>
              </w:rPr>
              <w:t>卸车和加液时，需要在使用高压汽化器同时使用</w:t>
            </w:r>
            <w:r>
              <w:rPr>
                <w:rFonts w:ascii="宋体" w:hAnsi="宋体"/>
                <w:sz w:val="24"/>
              </w:rPr>
              <w:t xml:space="preserve">BOG </w:t>
            </w:r>
            <w:r>
              <w:rPr>
                <w:rFonts w:hint="eastAsia" w:ascii="宋体" w:hAnsi="宋体"/>
                <w:sz w:val="24"/>
              </w:rPr>
              <w:t>加热器将汽化的天然气进行加热，使其温度大于</w:t>
            </w:r>
            <w:r>
              <w:rPr>
                <w:rFonts w:ascii="宋体" w:hAnsi="宋体"/>
                <w:sz w:val="24"/>
              </w:rPr>
              <w:t>-107</w:t>
            </w:r>
            <w:r>
              <w:rPr>
                <w:rFonts w:hint="eastAsia" w:ascii="宋体" w:hAnsi="宋体"/>
                <w:sz w:val="24"/>
              </w:rPr>
              <w:t>℃，避免对后面管材的影响。</w:t>
            </w:r>
          </w:p>
          <w:p>
            <w:pPr>
              <w:spacing w:line="360" w:lineRule="auto"/>
              <w:ind w:firstLine="482" w:firstLineChars="200"/>
              <w:rPr>
                <w:rFonts w:ascii="宋体" w:hAnsi="宋体"/>
                <w:b/>
                <w:sz w:val="24"/>
              </w:rPr>
            </w:pPr>
            <w:r>
              <w:rPr>
                <w:rFonts w:ascii="宋体" w:hAnsi="宋体"/>
                <w:b/>
                <w:sz w:val="24"/>
              </w:rPr>
              <w:t>4</w:t>
            </w:r>
            <w:r>
              <w:rPr>
                <w:rFonts w:hint="eastAsia" w:ascii="宋体" w:hAnsi="宋体"/>
                <w:b/>
                <w:sz w:val="24"/>
              </w:rPr>
              <w:t>）、卸压流程</w:t>
            </w:r>
          </w:p>
          <w:p>
            <w:pPr>
              <w:spacing w:line="360" w:lineRule="auto"/>
              <w:ind w:firstLine="480" w:firstLineChars="200"/>
              <w:rPr>
                <w:sz w:val="24"/>
              </w:rPr>
            </w:pPr>
            <w:r>
              <w:rPr>
                <w:rFonts w:hAnsi="宋体"/>
                <w:sz w:val="24"/>
              </w:rPr>
              <w:t>由于系统漏热以及外界带进的热量，致使</w:t>
            </w:r>
            <w:r>
              <w:rPr>
                <w:sz w:val="24"/>
              </w:rPr>
              <w:t xml:space="preserve">LNG </w:t>
            </w:r>
            <w:r>
              <w:rPr>
                <w:rFonts w:hAnsi="宋体"/>
                <w:sz w:val="24"/>
              </w:rPr>
              <w:t>气化产生的气体，会使系统压力升高。当系统压力大于设定值（</w:t>
            </w:r>
            <w:r>
              <w:rPr>
                <w:sz w:val="24"/>
              </w:rPr>
              <w:t>0.1MPa</w:t>
            </w:r>
            <w:r>
              <w:rPr>
                <w:rFonts w:hAnsi="宋体"/>
                <w:sz w:val="24"/>
              </w:rPr>
              <w:t>）时，系统中的安全阀打开，释放系统中的气体，降低压力，保证系统安全。</w:t>
            </w:r>
          </w:p>
          <w:p>
            <w:pPr>
              <w:spacing w:line="360" w:lineRule="auto"/>
              <w:ind w:firstLine="480" w:firstLineChars="200"/>
              <w:rPr>
                <w:sz w:val="24"/>
              </w:rPr>
            </w:pPr>
            <w:r>
              <w:rPr>
                <w:rFonts w:hAnsi="宋体"/>
                <w:sz w:val="24"/>
              </w:rPr>
              <w:t>通过对目前国内外先进工艺的</w:t>
            </w:r>
            <w:r>
              <w:rPr>
                <w:sz w:val="24"/>
              </w:rPr>
              <w:t xml:space="preserve">LNG </w:t>
            </w:r>
            <w:r>
              <w:rPr>
                <w:rFonts w:hAnsi="宋体"/>
                <w:sz w:val="24"/>
              </w:rPr>
              <w:t>加气站的调查了解，正常工作状态下，系统的放空与操作过程和流程设计有很大关系。操作和设计过程中尽量减少使用增压器。设计中由于系统漏热所带进系统的热量，先通过给</w:t>
            </w:r>
            <w:r>
              <w:rPr>
                <w:sz w:val="24"/>
              </w:rPr>
              <w:t>LNG</w:t>
            </w:r>
            <w:r>
              <w:rPr>
                <w:rFonts w:hAnsi="宋体"/>
                <w:sz w:val="24"/>
              </w:rPr>
              <w:t>加气站储罐内的液体升温，充分利用自然产生的热量，减少人为产生的热量，从而减少放空气体的量。操作过程中如果需要给储罐增压时，应该在车辆加气前两个小时，根据储罐液体压力情况进行增压。</w:t>
            </w:r>
          </w:p>
          <w:p>
            <w:pPr>
              <w:spacing w:line="360" w:lineRule="auto"/>
              <w:ind w:firstLine="482" w:firstLineChars="200"/>
              <w:rPr>
                <w:rFonts w:ascii="宋体" w:hAnsi="宋体"/>
                <w:b/>
                <w:sz w:val="24"/>
              </w:rPr>
            </w:pPr>
            <w:r>
              <w:rPr>
                <w:rFonts w:hint="eastAsia" w:ascii="宋体" w:hAnsi="宋体"/>
                <w:b/>
                <w:sz w:val="24"/>
              </w:rPr>
              <w:t>系统控制及工艺保证：</w:t>
            </w:r>
          </w:p>
          <w:p>
            <w:pPr>
              <w:spacing w:line="360" w:lineRule="auto"/>
              <w:ind w:firstLine="480" w:firstLineChars="200"/>
              <w:rPr>
                <w:rFonts w:ascii="宋体" w:hAnsi="宋体"/>
                <w:sz w:val="24"/>
              </w:rPr>
            </w:pPr>
            <w:r>
              <w:rPr>
                <w:rFonts w:hint="eastAsia" w:ascii="宋体" w:hAnsi="宋体"/>
                <w:sz w:val="24"/>
              </w:rPr>
              <w:t>系统密闭性：本项目工艺系统为密闭系统，由仪表自控系统进行控制。</w:t>
            </w:r>
          </w:p>
          <w:p>
            <w:pPr>
              <w:spacing w:line="360" w:lineRule="auto"/>
              <w:ind w:firstLine="480" w:firstLineChars="200"/>
              <w:rPr>
                <w:rFonts w:ascii="宋体" w:hAnsi="宋体"/>
                <w:sz w:val="24"/>
              </w:rPr>
            </w:pPr>
            <w:r>
              <w:rPr>
                <w:rFonts w:hint="eastAsia" w:ascii="宋体" w:hAnsi="宋体"/>
                <w:sz w:val="24"/>
              </w:rPr>
              <w:t>仪表自控系统：主要包括</w:t>
            </w:r>
            <w:r>
              <w:rPr>
                <w:rFonts w:ascii="宋体" w:hAnsi="宋体"/>
                <w:sz w:val="24"/>
              </w:rPr>
              <w:t xml:space="preserve">PLC </w:t>
            </w:r>
            <w:r>
              <w:rPr>
                <w:rFonts w:hint="eastAsia" w:ascii="宋体" w:hAnsi="宋体"/>
                <w:sz w:val="24"/>
              </w:rPr>
              <w:t>控制系统、电脑图形控制软件和数据采集处理系统。加气站通过仪表自控系统实现加气站监视和电气控制以及对加气站内所有的设备和仪表进行监控。</w:t>
            </w:r>
          </w:p>
          <w:p>
            <w:pPr>
              <w:spacing w:line="360" w:lineRule="auto"/>
              <w:ind w:firstLine="480" w:firstLineChars="200"/>
              <w:rPr>
                <w:rFonts w:ascii="宋体" w:hAnsi="宋体"/>
                <w:sz w:val="24"/>
              </w:rPr>
            </w:pPr>
            <w:r>
              <w:rPr>
                <w:rFonts w:hint="eastAsia" w:ascii="宋体" w:hAnsi="宋体"/>
                <w:sz w:val="24"/>
              </w:rPr>
              <w:t>仪表风系统：是加气站自控阀门的控制系统，通过空压机提供的压缩空气为气动阀门提供动力。</w:t>
            </w:r>
          </w:p>
          <w:p>
            <w:pPr>
              <w:spacing w:line="360" w:lineRule="auto"/>
              <w:ind w:firstLine="480" w:firstLineChars="200"/>
              <w:rPr>
                <w:rFonts w:ascii="宋体" w:hAnsi="宋体"/>
                <w:sz w:val="24"/>
              </w:rPr>
            </w:pPr>
            <w:r>
              <w:rPr>
                <w:rFonts w:hint="eastAsia" w:ascii="宋体" w:hAnsi="宋体"/>
                <w:sz w:val="24"/>
              </w:rPr>
              <w:t>增压器：本项目选用空温式换热器，增压借助于换热器管外的空气给热，使管内</w:t>
            </w:r>
            <w:r>
              <w:rPr>
                <w:rFonts w:ascii="宋体" w:hAnsi="宋体"/>
                <w:sz w:val="24"/>
              </w:rPr>
              <w:t xml:space="preserve">LNG </w:t>
            </w:r>
            <w:r>
              <w:rPr>
                <w:rFonts w:hint="eastAsia" w:ascii="宋体" w:hAnsi="宋体"/>
                <w:sz w:val="24"/>
              </w:rPr>
              <w:t>升高温度进行汽化来实现增压。</w:t>
            </w:r>
          </w:p>
          <w:p>
            <w:pPr>
              <w:spacing w:line="360" w:lineRule="auto"/>
              <w:ind w:firstLine="480" w:firstLineChars="200"/>
              <w:rPr>
                <w:rFonts w:ascii="宋体" w:hAnsi="宋体"/>
                <w:sz w:val="24"/>
              </w:rPr>
            </w:pPr>
            <w:r>
              <w:rPr>
                <w:sz w:val="24"/>
              </w:rPr>
              <w:t>BOG</w:t>
            </w:r>
            <w:r>
              <w:rPr>
                <w:rFonts w:hAnsi="宋体"/>
                <w:sz w:val="24"/>
              </w:rPr>
              <w:t>：</w:t>
            </w:r>
            <w:r>
              <w:rPr>
                <w:sz w:val="24"/>
              </w:rPr>
              <w:t>Boiled off gas</w:t>
            </w:r>
            <w:r>
              <w:rPr>
                <w:rFonts w:hAnsi="宋体"/>
                <w:sz w:val="24"/>
              </w:rPr>
              <w:t>，闪蒸汽，是指</w:t>
            </w:r>
            <w:r>
              <w:rPr>
                <w:sz w:val="24"/>
              </w:rPr>
              <w:t xml:space="preserve">LNG </w:t>
            </w:r>
            <w:r>
              <w:rPr>
                <w:rFonts w:hAnsi="宋体"/>
                <w:sz w:val="24"/>
              </w:rPr>
              <w:t>储罐日蒸发率大约为</w:t>
            </w:r>
            <w:r>
              <w:rPr>
                <w:sz w:val="24"/>
              </w:rPr>
              <w:t>0.2%</w:t>
            </w:r>
            <w:r>
              <w:rPr>
                <w:rFonts w:hAnsi="宋体"/>
                <w:sz w:val="24"/>
              </w:rPr>
              <w:t>，这部分蒸发了的气体，简称</w:t>
            </w:r>
            <w:r>
              <w:rPr>
                <w:sz w:val="24"/>
              </w:rPr>
              <w:t>BOG</w:t>
            </w:r>
            <w:r>
              <w:rPr>
                <w:rFonts w:hAnsi="宋体"/>
                <w:sz w:val="24"/>
              </w:rPr>
              <w:t>，液相容器和管道中如果不及时排出，将造成储罐压力升高，为此设置了降压调节阀，可根据压力自动排出废</w:t>
            </w:r>
            <w:r>
              <w:rPr>
                <w:sz w:val="24"/>
              </w:rPr>
              <w:t>BOG</w:t>
            </w:r>
            <w:r>
              <w:rPr>
                <w:rFonts w:hAnsi="宋体"/>
                <w:sz w:val="24"/>
              </w:rPr>
              <w:t>。槽车卸车后由于气相压力增大，为保证安全，需要在卸完车后给槽车卸压。储</w:t>
            </w:r>
            <w:r>
              <w:rPr>
                <w:rFonts w:hint="eastAsia" w:ascii="宋体" w:hAnsi="宋体"/>
                <w:sz w:val="24"/>
              </w:rPr>
              <w:t>罐蒸发的</w:t>
            </w:r>
            <w:r>
              <w:rPr>
                <w:rFonts w:ascii="宋体" w:hAnsi="宋体"/>
                <w:sz w:val="24"/>
              </w:rPr>
              <w:t xml:space="preserve">BOG </w:t>
            </w:r>
            <w:r>
              <w:rPr>
                <w:rFonts w:hint="eastAsia" w:ascii="宋体" w:hAnsi="宋体"/>
                <w:sz w:val="24"/>
              </w:rPr>
              <w:t>和槽车卸车的</w:t>
            </w:r>
            <w:r>
              <w:rPr>
                <w:rFonts w:ascii="宋体" w:hAnsi="宋体"/>
                <w:sz w:val="24"/>
              </w:rPr>
              <w:t>BOG</w:t>
            </w:r>
            <w:r>
              <w:rPr>
                <w:rFonts w:hint="eastAsia" w:ascii="宋体" w:hAnsi="宋体"/>
                <w:sz w:val="24"/>
              </w:rPr>
              <w:t>，由于低温系统安全阀超压放空的全部是</w:t>
            </w:r>
            <w:r>
              <w:rPr>
                <w:rFonts w:ascii="宋体" w:hAnsi="宋体"/>
                <w:sz w:val="24"/>
              </w:rPr>
              <w:t xml:space="preserve">BOG </w:t>
            </w:r>
            <w:r>
              <w:rPr>
                <w:rFonts w:hint="eastAsia" w:ascii="宋体" w:hAnsi="宋体"/>
                <w:sz w:val="24"/>
              </w:rPr>
              <w:t>低温气体，在大约</w:t>
            </w:r>
            <w:r>
              <w:rPr>
                <w:rFonts w:ascii="宋体" w:hAnsi="宋体"/>
                <w:sz w:val="24"/>
              </w:rPr>
              <w:t>-107</w:t>
            </w:r>
            <w:r>
              <w:rPr>
                <w:rFonts w:hint="eastAsia" w:ascii="宋体" w:hAnsi="宋体"/>
                <w:sz w:val="24"/>
              </w:rPr>
              <w:t>℃以下时，天然气的重度大于常温下的空气，排放不易扩散，会向下积聚，因此通过本项目内设置的</w:t>
            </w:r>
            <w:r>
              <w:rPr>
                <w:rFonts w:ascii="宋体" w:hAnsi="宋体"/>
                <w:sz w:val="24"/>
              </w:rPr>
              <w:t xml:space="preserve">1 </w:t>
            </w:r>
            <w:r>
              <w:rPr>
                <w:rFonts w:hint="eastAsia" w:ascii="宋体" w:hAnsi="宋体"/>
                <w:sz w:val="24"/>
              </w:rPr>
              <w:t>台</w:t>
            </w:r>
            <w:r>
              <w:rPr>
                <w:rFonts w:ascii="宋体" w:hAnsi="宋体"/>
                <w:sz w:val="24"/>
              </w:rPr>
              <w:t xml:space="preserve">EAG </w:t>
            </w:r>
            <w:r>
              <w:rPr>
                <w:rFonts w:hint="eastAsia" w:ascii="宋体" w:hAnsi="宋体"/>
                <w:sz w:val="24"/>
              </w:rPr>
              <w:t>加热器进行加热，经过与空气换热后的天然气比重会小于空气，高点放散后将容易扩散，从而不易形成爆炸性混合物。由于本项目处现已有天然气管网，因此本项目储罐产生的废</w:t>
            </w:r>
            <w:r>
              <w:rPr>
                <w:rFonts w:ascii="宋体" w:hAnsi="宋体"/>
                <w:sz w:val="24"/>
              </w:rPr>
              <w:t xml:space="preserve">BOG </w:t>
            </w:r>
            <w:r>
              <w:rPr>
                <w:rFonts w:hint="eastAsia" w:ascii="宋体" w:hAnsi="宋体"/>
                <w:sz w:val="24"/>
              </w:rPr>
              <w:t>及槽车卸车</w:t>
            </w:r>
            <w:r>
              <w:rPr>
                <w:rFonts w:ascii="宋体" w:hAnsi="宋体"/>
                <w:sz w:val="24"/>
              </w:rPr>
              <w:t xml:space="preserve">BOG </w:t>
            </w:r>
            <w:r>
              <w:rPr>
                <w:rFonts w:hint="eastAsia" w:ascii="宋体" w:hAnsi="宋体"/>
                <w:sz w:val="24"/>
              </w:rPr>
              <w:t>通过加热调压后进入天然气管网，创造一定经济价值的同时也减轻了环境污染。</w:t>
            </w:r>
          </w:p>
          <w:p>
            <w:pPr>
              <w:spacing w:line="360" w:lineRule="auto"/>
              <w:ind w:firstLine="480" w:firstLineChars="200"/>
              <w:rPr>
                <w:rFonts w:ascii="宋体" w:hAnsi="宋体"/>
                <w:sz w:val="24"/>
              </w:rPr>
            </w:pPr>
            <w:r>
              <w:rPr>
                <w:rFonts w:ascii="宋体" w:hAnsi="宋体"/>
                <w:sz w:val="24"/>
              </w:rPr>
              <w:t xml:space="preserve">BOG </w:t>
            </w:r>
            <w:r>
              <w:rPr>
                <w:rFonts w:hint="eastAsia" w:ascii="宋体" w:hAnsi="宋体"/>
                <w:sz w:val="24"/>
              </w:rPr>
              <w:t>通过加热后放散的方式处理。</w:t>
            </w:r>
          </w:p>
          <w:p>
            <w:pPr>
              <w:spacing w:line="360" w:lineRule="auto"/>
              <w:ind w:firstLine="480" w:firstLineChars="200"/>
              <w:rPr>
                <w:rFonts w:ascii="宋体" w:hAnsi="宋体"/>
                <w:sz w:val="24"/>
              </w:rPr>
            </w:pPr>
            <w:r>
              <w:rPr>
                <w:rFonts w:ascii="宋体" w:hAnsi="宋体"/>
                <w:sz w:val="24"/>
              </w:rPr>
              <w:t>EAG</w:t>
            </w:r>
            <w:r>
              <w:rPr>
                <w:rFonts w:hint="eastAsia" w:ascii="宋体" w:hAnsi="宋体"/>
                <w:sz w:val="24"/>
              </w:rPr>
              <w:t>：</w:t>
            </w:r>
            <w:r>
              <w:rPr>
                <w:rFonts w:ascii="宋体" w:hAnsi="宋体"/>
                <w:sz w:val="24"/>
              </w:rPr>
              <w:t>Escape air gas</w:t>
            </w:r>
            <w:r>
              <w:rPr>
                <w:rFonts w:hint="eastAsia" w:ascii="宋体" w:hAnsi="宋体"/>
                <w:sz w:val="24"/>
              </w:rPr>
              <w:t>，放散气体统称</w:t>
            </w:r>
            <w:r>
              <w:rPr>
                <w:rFonts w:ascii="宋体" w:hAnsi="宋体"/>
                <w:sz w:val="24"/>
              </w:rPr>
              <w:t>EAG</w:t>
            </w:r>
            <w:r>
              <w:rPr>
                <w:rFonts w:hint="eastAsia" w:ascii="宋体" w:hAnsi="宋体"/>
                <w:sz w:val="24"/>
              </w:rPr>
              <w:t>，本项目放散气</w:t>
            </w:r>
            <w:r>
              <w:rPr>
                <w:rFonts w:ascii="宋体" w:hAnsi="宋体"/>
                <w:sz w:val="24"/>
              </w:rPr>
              <w:t xml:space="preserve">EAG </w:t>
            </w:r>
            <w:r>
              <w:rPr>
                <w:rFonts w:hint="eastAsia" w:ascii="宋体" w:hAnsi="宋体"/>
                <w:sz w:val="24"/>
              </w:rPr>
              <w:t>包括储罐卸压和槽车卸车后卸压需要放散的</w:t>
            </w:r>
            <w:r>
              <w:rPr>
                <w:rFonts w:ascii="宋体" w:hAnsi="宋体"/>
                <w:sz w:val="24"/>
              </w:rPr>
              <w:t>BOG</w:t>
            </w:r>
            <w:r>
              <w:rPr>
                <w:rFonts w:hint="eastAsia" w:ascii="宋体" w:hAnsi="宋体"/>
                <w:sz w:val="24"/>
              </w:rPr>
              <w:t>。</w:t>
            </w:r>
          </w:p>
          <w:p>
            <w:pPr>
              <w:spacing w:line="360" w:lineRule="auto"/>
              <w:ind w:firstLine="480" w:firstLineChars="200"/>
              <w:rPr>
                <w:rFonts w:ascii="宋体" w:hAnsi="宋体"/>
                <w:sz w:val="24"/>
              </w:rPr>
            </w:pPr>
            <w:r>
              <w:rPr>
                <w:rFonts w:ascii="宋体" w:hAnsi="宋体"/>
                <w:sz w:val="24"/>
              </w:rPr>
              <w:t xml:space="preserve">BOG </w:t>
            </w:r>
            <w:r>
              <w:rPr>
                <w:rFonts w:hint="eastAsia" w:ascii="宋体" w:hAnsi="宋体"/>
                <w:sz w:val="24"/>
              </w:rPr>
              <w:t>加热器：用于在原料</w:t>
            </w:r>
            <w:r>
              <w:rPr>
                <w:rFonts w:ascii="宋体" w:hAnsi="宋体"/>
                <w:sz w:val="24"/>
              </w:rPr>
              <w:t xml:space="preserve">LNG </w:t>
            </w:r>
            <w:r>
              <w:rPr>
                <w:rFonts w:hint="eastAsia" w:ascii="宋体" w:hAnsi="宋体"/>
                <w:sz w:val="24"/>
              </w:rPr>
              <w:t>卸车和加液时，需要在使用高压汽化器同时使用</w:t>
            </w:r>
            <w:r>
              <w:rPr>
                <w:rFonts w:ascii="宋体" w:hAnsi="宋体"/>
                <w:sz w:val="24"/>
              </w:rPr>
              <w:t xml:space="preserve">BOG </w:t>
            </w:r>
            <w:r>
              <w:rPr>
                <w:rFonts w:hint="eastAsia" w:ascii="宋体" w:hAnsi="宋体"/>
                <w:sz w:val="24"/>
              </w:rPr>
              <w:t>加热器将汽化的天然气进行加热，使其温度大于</w:t>
            </w:r>
            <w:r>
              <w:rPr>
                <w:rFonts w:ascii="宋体" w:hAnsi="宋体"/>
                <w:sz w:val="24"/>
              </w:rPr>
              <w:t>-107</w:t>
            </w:r>
            <w:r>
              <w:rPr>
                <w:rFonts w:hint="eastAsia" w:ascii="宋体" w:hAnsi="宋体"/>
                <w:sz w:val="24"/>
              </w:rPr>
              <w:t>℃，避免对后面管材的影响。</w:t>
            </w:r>
          </w:p>
          <w:p>
            <w:pPr>
              <w:spacing w:line="360" w:lineRule="auto"/>
              <w:ind w:firstLine="480" w:firstLineChars="200"/>
              <w:rPr>
                <w:rFonts w:ascii="宋体" w:hAnsi="宋体"/>
                <w:sz w:val="24"/>
              </w:rPr>
            </w:pPr>
            <w:r>
              <w:rPr>
                <w:rFonts w:ascii="宋体" w:hAnsi="宋体"/>
                <w:sz w:val="24"/>
              </w:rPr>
              <w:t xml:space="preserve">EAG </w:t>
            </w:r>
            <w:r>
              <w:rPr>
                <w:rFonts w:hint="eastAsia" w:ascii="宋体" w:hAnsi="宋体"/>
                <w:sz w:val="24"/>
              </w:rPr>
              <w:t>加热器：本项目放散气</w:t>
            </w:r>
            <w:r>
              <w:rPr>
                <w:rFonts w:ascii="宋体" w:hAnsi="宋体"/>
                <w:sz w:val="24"/>
              </w:rPr>
              <w:t xml:space="preserve">EAG </w:t>
            </w:r>
            <w:r>
              <w:rPr>
                <w:rFonts w:hint="eastAsia" w:ascii="宋体" w:hAnsi="宋体"/>
                <w:sz w:val="24"/>
              </w:rPr>
              <w:t>包括储罐卸压和槽车卸车后卸压需要放散的</w:t>
            </w:r>
            <w:r>
              <w:rPr>
                <w:rFonts w:ascii="宋体" w:hAnsi="宋体"/>
                <w:sz w:val="24"/>
              </w:rPr>
              <w:t>BOG</w:t>
            </w:r>
            <w:r>
              <w:rPr>
                <w:rFonts w:hint="eastAsia" w:ascii="宋体" w:hAnsi="宋体"/>
                <w:sz w:val="24"/>
              </w:rPr>
              <w:t>，均需通过</w:t>
            </w:r>
            <w:r>
              <w:rPr>
                <w:rFonts w:ascii="宋体" w:hAnsi="宋体"/>
                <w:sz w:val="24"/>
              </w:rPr>
              <w:t xml:space="preserve">EAG </w:t>
            </w:r>
            <w:r>
              <w:rPr>
                <w:rFonts w:hint="eastAsia" w:ascii="宋体" w:hAnsi="宋体"/>
                <w:sz w:val="24"/>
              </w:rPr>
              <w:t>加热器加热后放散。</w:t>
            </w:r>
          </w:p>
          <w:p>
            <w:pPr>
              <w:spacing w:line="360" w:lineRule="auto"/>
              <w:ind w:firstLine="480" w:firstLineChars="200"/>
              <w:rPr>
                <w:rFonts w:ascii="宋体" w:hAnsi="宋体"/>
                <w:sz w:val="24"/>
              </w:rPr>
            </w:pPr>
            <w:r>
              <w:rPr>
                <w:rFonts w:hint="eastAsia" w:ascii="宋体" w:hAnsi="宋体"/>
                <w:sz w:val="24"/>
              </w:rPr>
              <w:t>检修废气：本项目每年度需进行一次检修，检修时各管道内气体均需放散，放散气通过</w:t>
            </w:r>
            <w:r>
              <w:rPr>
                <w:rFonts w:ascii="宋体" w:hAnsi="宋体"/>
                <w:sz w:val="24"/>
              </w:rPr>
              <w:t xml:space="preserve">EAG </w:t>
            </w:r>
            <w:r>
              <w:rPr>
                <w:rFonts w:hint="eastAsia" w:ascii="宋体" w:hAnsi="宋体"/>
                <w:sz w:val="24"/>
              </w:rPr>
              <w:t>加热器加热后放散，最大放散量不超过</w:t>
            </w:r>
            <w:r>
              <w:rPr>
                <w:rFonts w:ascii="宋体" w:hAnsi="宋体"/>
                <w:sz w:val="24"/>
              </w:rPr>
              <w:t>140m</w:t>
            </w:r>
            <w:r>
              <w:rPr>
                <w:rFonts w:ascii="宋体" w:hAnsi="宋体"/>
                <w:sz w:val="24"/>
                <w:vertAlign w:val="superscript"/>
              </w:rPr>
              <w:t>3</w:t>
            </w:r>
            <w:r>
              <w:rPr>
                <w:rFonts w:hint="eastAsia" w:ascii="宋体" w:hAnsi="宋体"/>
                <w:sz w:val="24"/>
              </w:rPr>
              <w:t>，持续时间不超过</w:t>
            </w:r>
            <w:r>
              <w:rPr>
                <w:rFonts w:ascii="宋体" w:hAnsi="宋体"/>
                <w:sz w:val="24"/>
              </w:rPr>
              <w:t>1h</w:t>
            </w:r>
            <w:r>
              <w:rPr>
                <w:rFonts w:hint="eastAsia" w:ascii="宋体" w:hAnsi="宋体"/>
                <w:sz w:val="24"/>
              </w:rPr>
              <w:t>。</w:t>
            </w:r>
          </w:p>
          <w:p>
            <w:pPr>
              <w:spacing w:line="360" w:lineRule="auto"/>
              <w:ind w:firstLine="480" w:firstLineChars="200"/>
              <w:rPr>
                <w:sz w:val="24"/>
              </w:rPr>
            </w:pPr>
            <w:r>
              <w:rPr>
                <w:rFonts w:hint="eastAsia"/>
                <w:sz w:val="24"/>
              </w:rPr>
              <w:t>卸车周期：本项目由建设单位租用槽车用于</w:t>
            </w:r>
            <w:r>
              <w:rPr>
                <w:sz w:val="24"/>
              </w:rPr>
              <w:t xml:space="preserve"> LNG </w:t>
            </w:r>
            <w:r>
              <w:rPr>
                <w:rFonts w:hint="eastAsia"/>
                <w:sz w:val="24"/>
              </w:rPr>
              <w:t>运输，根据本项目加气量1.2×10</w:t>
            </w:r>
            <w:r>
              <w:rPr>
                <w:rFonts w:hint="eastAsia"/>
                <w:sz w:val="24"/>
                <w:vertAlign w:val="superscript"/>
              </w:rPr>
              <w:t>4</w:t>
            </w:r>
            <w:r>
              <w:rPr>
                <w:rFonts w:hint="eastAsia"/>
                <w:sz w:val="24"/>
              </w:rPr>
              <w:t>万</w:t>
            </w:r>
            <w:r>
              <w:rPr>
                <w:sz w:val="24"/>
              </w:rPr>
              <w:t>Nm</w:t>
            </w:r>
            <w:r>
              <w:rPr>
                <w:sz w:val="24"/>
                <w:vertAlign w:val="superscript"/>
              </w:rPr>
              <w:t>3</w:t>
            </w:r>
            <w:r>
              <w:rPr>
                <w:sz w:val="24"/>
              </w:rPr>
              <w:t>/d</w:t>
            </w:r>
            <w:r>
              <w:rPr>
                <w:rFonts w:hint="eastAsia"/>
                <w:sz w:val="24"/>
              </w:rPr>
              <w:t>，估算出年用量为438</w:t>
            </w:r>
            <w:r>
              <w:rPr>
                <w:sz w:val="24"/>
              </w:rPr>
              <w:t>×10</w:t>
            </w:r>
            <w:r>
              <w:rPr>
                <w:sz w:val="24"/>
                <w:vertAlign w:val="superscript"/>
              </w:rPr>
              <w:t>4</w:t>
            </w:r>
            <w:r>
              <w:rPr>
                <w:sz w:val="24"/>
              </w:rPr>
              <w:t>Nm</w:t>
            </w:r>
            <w:r>
              <w:rPr>
                <w:sz w:val="24"/>
                <w:vertAlign w:val="superscript"/>
              </w:rPr>
              <w:t>3</w:t>
            </w:r>
            <w:r>
              <w:rPr>
                <w:sz w:val="24"/>
              </w:rPr>
              <w:t>/a</w:t>
            </w:r>
            <w:r>
              <w:rPr>
                <w:rFonts w:hint="eastAsia"/>
                <w:sz w:val="24"/>
              </w:rPr>
              <w:t>，运输周期约219</w:t>
            </w:r>
            <w:r>
              <w:rPr>
                <w:sz w:val="24"/>
              </w:rPr>
              <w:t xml:space="preserve"> </w:t>
            </w:r>
            <w:r>
              <w:rPr>
                <w:rFonts w:hint="eastAsia"/>
                <w:sz w:val="24"/>
              </w:rPr>
              <w:t>车</w:t>
            </w:r>
            <w:r>
              <w:rPr>
                <w:sz w:val="24"/>
              </w:rPr>
              <w:t>/a</w:t>
            </w:r>
            <w:r>
              <w:rPr>
                <w:rFonts w:hint="eastAsia"/>
                <w:sz w:val="24"/>
              </w:rPr>
              <w:t>，平均1车</w:t>
            </w:r>
            <w:r>
              <w:rPr>
                <w:sz w:val="24"/>
              </w:rPr>
              <w:t>/</w:t>
            </w:r>
            <w:r>
              <w:rPr>
                <w:rFonts w:hint="eastAsia"/>
                <w:sz w:val="24"/>
              </w:rPr>
              <w:t>2</w:t>
            </w:r>
            <w:r>
              <w:rPr>
                <w:sz w:val="24"/>
              </w:rPr>
              <w:t>d</w:t>
            </w:r>
            <w:r>
              <w:rPr>
                <w:rFonts w:hint="eastAsia"/>
                <w:sz w:val="24"/>
              </w:rPr>
              <w:t>。</w:t>
            </w:r>
          </w:p>
          <w:p>
            <w:pPr>
              <w:spacing w:line="360" w:lineRule="auto"/>
              <w:ind w:firstLine="480" w:firstLineChars="200"/>
              <w:rPr>
                <w:rFonts w:ascii="宋体" w:hAnsi="宋体"/>
                <w:sz w:val="24"/>
              </w:rPr>
            </w:pPr>
            <w:r>
              <w:rPr>
                <w:rFonts w:hint="eastAsia" w:ascii="宋体" w:hAnsi="宋体"/>
                <w:sz w:val="24"/>
              </w:rPr>
              <w:t>（2）CNG加气工艺</w:t>
            </w:r>
          </w:p>
          <w:p>
            <w:pPr>
              <w:spacing w:line="360" w:lineRule="auto"/>
              <w:ind w:firstLine="480" w:firstLineChars="200"/>
              <w:rPr>
                <w:rFonts w:ascii="宋体" w:hAnsi="宋体"/>
                <w:sz w:val="24"/>
              </w:rPr>
            </w:pPr>
            <w:r>
              <w:rPr>
                <w:rFonts w:hint="eastAsia" w:ascii="宋体" w:cs="宋体"/>
                <w:kern w:val="0"/>
                <w:sz w:val="24"/>
              </w:rPr>
              <w:t>加气工艺</w:t>
            </w:r>
          </w:p>
          <w:p>
            <w:pPr>
              <w:spacing w:line="360" w:lineRule="auto"/>
              <w:ind w:firstLine="480" w:firstLineChars="200"/>
              <w:rPr>
                <w:sz w:val="24"/>
              </w:rPr>
            </w:pPr>
            <w:r>
              <w:rPr>
                <w:rFonts w:hAnsi="宋体"/>
                <w:sz w:val="24"/>
              </w:rPr>
              <w:t>本项目天然气由华润燃气有限公司提供，天然气经输气管线输送至加气站内。压力约为</w:t>
            </w:r>
            <w:r>
              <w:rPr>
                <w:sz w:val="24"/>
              </w:rPr>
              <w:t>0.</w:t>
            </w:r>
            <w:r>
              <w:rPr>
                <w:rFonts w:hint="eastAsia"/>
                <w:sz w:val="24"/>
              </w:rPr>
              <w:t>36</w:t>
            </w:r>
            <w:r>
              <w:rPr>
                <w:sz w:val="24"/>
              </w:rPr>
              <w:t xml:space="preserve">MPa </w:t>
            </w:r>
            <w:r>
              <w:rPr>
                <w:rFonts w:hAnsi="宋体"/>
                <w:sz w:val="24"/>
              </w:rPr>
              <w:t>的原料天然气进站后，先经过滤、计量，然后经调压装置将压力稳定至</w:t>
            </w:r>
            <w:r>
              <w:rPr>
                <w:sz w:val="24"/>
              </w:rPr>
              <w:t>0.35MPa</w:t>
            </w:r>
            <w:r>
              <w:rPr>
                <w:rFonts w:hAnsi="宋体"/>
                <w:sz w:val="24"/>
              </w:rPr>
              <w:t>，再进入压缩机，经压缩机四级增压</w:t>
            </w:r>
            <w:r>
              <w:rPr>
                <w:rFonts w:hint="eastAsia" w:hAnsi="宋体"/>
                <w:sz w:val="24"/>
              </w:rPr>
              <w:t>后，气体压力达到</w:t>
            </w:r>
            <w:r>
              <w:rPr>
                <w:rFonts w:hAnsi="宋体"/>
                <w:sz w:val="24"/>
              </w:rPr>
              <w:t>25MPa</w:t>
            </w:r>
            <w:r>
              <w:rPr>
                <w:rFonts w:hint="eastAsia" w:hAnsi="宋体"/>
                <w:sz w:val="24"/>
              </w:rPr>
              <w:t>。从压缩机出来的高压天然气再进入后置高压深度脱水装置，深度脱去其中的水分，使其露点达到或低于</w:t>
            </w:r>
            <w:r>
              <w:rPr>
                <w:rFonts w:hAnsi="宋体"/>
                <w:sz w:val="24"/>
              </w:rPr>
              <w:t>-62</w:t>
            </w:r>
            <w:r>
              <w:rPr>
                <w:rFonts w:hint="eastAsia" w:hAnsi="宋体"/>
                <w:sz w:val="24"/>
              </w:rPr>
              <w:t>℃（常压下）（当最低气温低于</w:t>
            </w:r>
            <w:r>
              <w:rPr>
                <w:rFonts w:hAnsi="宋体"/>
                <w:sz w:val="24"/>
              </w:rPr>
              <w:t>-8</w:t>
            </w:r>
            <w:r>
              <w:rPr>
                <w:rFonts w:hint="eastAsia" w:hAnsi="宋体"/>
                <w:sz w:val="24"/>
              </w:rPr>
              <w:t>℃，在最高操作压力下，水露点应比最低气温低</w:t>
            </w:r>
            <w:r>
              <w:rPr>
                <w:rFonts w:hAnsi="宋体"/>
                <w:sz w:val="24"/>
              </w:rPr>
              <w:t>5</w:t>
            </w:r>
            <w:r>
              <w:rPr>
                <w:rFonts w:hint="eastAsia" w:hAnsi="宋体"/>
                <w:sz w:val="24"/>
              </w:rPr>
              <w:t>℃），脱水后的高压天然气通过顺序控制盘进入高、中、低压三组储气井储存，储气瓶分为高、中、低三组，按</w:t>
            </w:r>
            <w:r>
              <w:rPr>
                <w:rFonts w:hAnsi="宋体"/>
                <w:sz w:val="24"/>
              </w:rPr>
              <w:t>1:1:1</w:t>
            </w:r>
            <w:r>
              <w:rPr>
                <w:rFonts w:hint="eastAsia" w:hAnsi="宋体"/>
                <w:sz w:val="24"/>
              </w:rPr>
              <w:t>配置；当利用储气井供汽车充气时，按低、中、高三组压力依此通过售气机向车辆充气，当车载储气瓶内压力达到</w:t>
            </w:r>
            <w:r>
              <w:rPr>
                <w:rFonts w:hAnsi="宋体"/>
                <w:sz w:val="24"/>
              </w:rPr>
              <w:t>20MPa</w:t>
            </w:r>
            <w:r>
              <w:rPr>
                <w:rFonts w:hint="eastAsia" w:hAnsi="宋体"/>
                <w:sz w:val="24"/>
              </w:rPr>
              <w:t>时，自动关闭充气阀门。当储气井内气体压力低于设定下限值时程控阀门组自动开启，压缩机以高、中、低为序向储气瓶充气直至到设定上限值；在储气井压力均低于设定下限时，压缩机直接为汽车充气。储气井补充充气下限值为：低</w:t>
            </w:r>
            <w:r>
              <w:rPr>
                <w:rFonts w:hAnsi="宋体"/>
                <w:sz w:val="24"/>
              </w:rPr>
              <w:t>12MPa</w:t>
            </w:r>
            <w:r>
              <w:rPr>
                <w:rFonts w:hint="eastAsia" w:hAnsi="宋体"/>
                <w:sz w:val="24"/>
              </w:rPr>
              <w:t>，中</w:t>
            </w:r>
            <w:r>
              <w:rPr>
                <w:rFonts w:hAnsi="宋体"/>
                <w:sz w:val="24"/>
              </w:rPr>
              <w:t>18MPa</w:t>
            </w:r>
            <w:r>
              <w:rPr>
                <w:rFonts w:hint="eastAsia" w:hAnsi="宋体"/>
                <w:sz w:val="24"/>
              </w:rPr>
              <w:t>，高</w:t>
            </w:r>
            <w:r>
              <w:rPr>
                <w:rFonts w:hAnsi="宋体"/>
                <w:sz w:val="24"/>
              </w:rPr>
              <w:t>22MPa</w:t>
            </w:r>
            <w:r>
              <w:rPr>
                <w:rFonts w:hint="eastAsia" w:hAnsi="宋体"/>
                <w:sz w:val="24"/>
              </w:rPr>
              <w:t>。</w:t>
            </w:r>
          </w:p>
          <w:p>
            <w:pPr>
              <w:spacing w:line="360" w:lineRule="auto"/>
              <w:jc w:val="center"/>
              <w:rPr>
                <w:rFonts w:ascii="宋体" w:hAnsi="宋体"/>
                <w:sz w:val="24"/>
              </w:rPr>
            </w:pPr>
            <w:r>
              <w:rPr>
                <w:rFonts w:ascii="宋体" w:hAnsi="宋体"/>
                <w:sz w:val="24"/>
              </w:rPr>
              <w:drawing>
                <wp:inline distT="0" distB="0" distL="114300" distR="114300">
                  <wp:extent cx="5276850" cy="1750060"/>
                  <wp:effectExtent l="0" t="0" r="0" b="254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32"/>
                          <a:srcRect t="3342"/>
                          <a:stretch>
                            <a:fillRect/>
                          </a:stretch>
                        </pic:blipFill>
                        <pic:spPr>
                          <a:xfrm>
                            <a:off x="0" y="0"/>
                            <a:ext cx="5276850" cy="1750060"/>
                          </a:xfrm>
                          <a:prstGeom prst="rect">
                            <a:avLst/>
                          </a:prstGeom>
                          <a:noFill/>
                          <a:ln>
                            <a:noFill/>
                          </a:ln>
                        </pic:spPr>
                      </pic:pic>
                    </a:graphicData>
                  </a:graphic>
                </wp:inline>
              </w:drawing>
            </w:r>
          </w:p>
          <w:p>
            <w:pPr>
              <w:spacing w:line="360" w:lineRule="auto"/>
              <w:ind w:firstLine="480" w:firstLineChars="200"/>
              <w:jc w:val="center"/>
              <w:rPr>
                <w:rFonts w:ascii="宋体" w:hAnsi="宋体"/>
                <w:sz w:val="24"/>
              </w:rPr>
            </w:pPr>
            <w:r>
              <w:rPr>
                <w:rFonts w:hint="eastAsia" w:ascii="宋体" w:hAnsi="宋体"/>
                <w:sz w:val="24"/>
              </w:rPr>
              <w:t>图3 CNG加气工艺流程图</w:t>
            </w:r>
          </w:p>
          <w:p>
            <w:pPr>
              <w:spacing w:line="360" w:lineRule="auto"/>
              <w:ind w:firstLine="480" w:firstLineChars="200"/>
              <w:jc w:val="left"/>
              <w:rPr>
                <w:rFonts w:ascii="宋体" w:hAnsi="宋体"/>
                <w:sz w:val="24"/>
              </w:rPr>
            </w:pPr>
            <w:r>
              <w:rPr>
                <w:rFonts w:hint="eastAsia" w:ascii="宋体" w:hAnsi="宋体"/>
                <w:sz w:val="24"/>
              </w:rPr>
              <w:t>具体工艺流程如下：</w:t>
            </w:r>
          </w:p>
          <w:p>
            <w:pPr>
              <w:spacing w:line="360" w:lineRule="auto"/>
              <w:ind w:firstLine="480"/>
              <w:jc w:val="left"/>
              <w:rPr>
                <w:rFonts w:ascii="宋体" w:hAnsi="宋体"/>
                <w:sz w:val="24"/>
              </w:rPr>
            </w:pPr>
            <w:r>
              <w:rPr>
                <w:rFonts w:hint="eastAsia" w:ascii="宋体" w:hAnsi="宋体"/>
                <w:sz w:val="24"/>
              </w:rPr>
              <w:t>①</w:t>
            </w:r>
            <w:r>
              <w:rPr>
                <w:rFonts w:ascii="宋体" w:hAnsi="宋体"/>
                <w:sz w:val="24"/>
              </w:rPr>
              <w:t xml:space="preserve"> </w:t>
            </w:r>
            <w:r>
              <w:rPr>
                <w:rFonts w:hint="eastAsia" w:ascii="宋体" w:hAnsi="宋体"/>
                <w:sz w:val="24"/>
              </w:rPr>
              <w:t>压缩</w:t>
            </w:r>
          </w:p>
          <w:p>
            <w:pPr>
              <w:spacing w:line="360" w:lineRule="auto"/>
              <w:ind w:firstLine="480" w:firstLineChars="200"/>
              <w:jc w:val="left"/>
              <w:rPr>
                <w:rFonts w:ascii="宋体" w:hAnsi="宋体"/>
                <w:sz w:val="24"/>
              </w:rPr>
            </w:pPr>
            <w:r>
              <w:rPr>
                <w:rFonts w:hint="eastAsia" w:ascii="宋体" w:hAnsi="宋体"/>
                <w:sz w:val="24"/>
              </w:rPr>
              <w:t>经天然气管道输送来的天然气，经过过滤器过滤，涡轮流量计计量，再调压至</w:t>
            </w:r>
            <w:r>
              <w:rPr>
                <w:rFonts w:ascii="宋体" w:hAnsi="宋体"/>
                <w:sz w:val="24"/>
              </w:rPr>
              <w:t>0.3</w:t>
            </w:r>
            <w:r>
              <w:rPr>
                <w:rFonts w:hint="eastAsia" w:ascii="宋体" w:hAnsi="宋体"/>
                <w:sz w:val="24"/>
              </w:rPr>
              <w:t>6</w:t>
            </w:r>
            <w:r>
              <w:rPr>
                <w:rFonts w:ascii="宋体" w:hAnsi="宋体"/>
                <w:sz w:val="24"/>
              </w:rPr>
              <w:t xml:space="preserve">Mpa </w:t>
            </w:r>
            <w:r>
              <w:rPr>
                <w:rFonts w:hint="eastAsia" w:ascii="宋体" w:hAnsi="宋体"/>
                <w:sz w:val="24"/>
              </w:rPr>
              <w:t>后进入缓冲罐（过滤、计量、调压一起共同组成进气撬），再经压缩机一级缸压缩后，经过主机一级分离冷却进入二级缸压缩，再进行二级分离冷却进入三级缸压缩，经过三级分离后进入四级缸压缩，经过四级分离冷却后的高压气（</w:t>
            </w:r>
            <w:r>
              <w:rPr>
                <w:rFonts w:ascii="宋体" w:hAnsi="宋体"/>
                <w:sz w:val="24"/>
              </w:rPr>
              <w:t>25MPa</w:t>
            </w:r>
            <w:r>
              <w:rPr>
                <w:rFonts w:hint="eastAsia" w:ascii="宋体" w:hAnsi="宋体"/>
                <w:sz w:val="24"/>
              </w:rPr>
              <w:t>）进入脱水装置进行脱水。压缩机工艺冷却水采用循环冷却水系统。冷却水泵抽冷却水塔存水盘中水供压缩机冷却之用，回水经冷却塔冷却后回于存水盘。冷却水补充通过浮球阀控制。</w:t>
            </w:r>
          </w:p>
          <w:p>
            <w:pPr>
              <w:spacing w:line="360" w:lineRule="auto"/>
              <w:ind w:firstLine="480" w:firstLineChars="200"/>
              <w:jc w:val="left"/>
              <w:rPr>
                <w:rFonts w:ascii="宋体" w:hAnsi="宋体"/>
                <w:sz w:val="24"/>
              </w:rPr>
            </w:pPr>
            <w:r>
              <w:rPr>
                <w:rFonts w:hint="eastAsia" w:ascii="宋体" w:hAnsi="宋体"/>
                <w:sz w:val="24"/>
              </w:rPr>
              <w:t>②</w:t>
            </w:r>
            <w:r>
              <w:rPr>
                <w:rFonts w:ascii="宋体" w:hAnsi="宋体"/>
                <w:sz w:val="24"/>
              </w:rPr>
              <w:t xml:space="preserve"> </w:t>
            </w:r>
            <w:r>
              <w:rPr>
                <w:rFonts w:hint="eastAsia" w:ascii="宋体" w:hAnsi="宋体"/>
                <w:sz w:val="24"/>
              </w:rPr>
              <w:t>脱水</w:t>
            </w:r>
          </w:p>
          <w:p>
            <w:pPr>
              <w:spacing w:line="360" w:lineRule="auto"/>
              <w:ind w:firstLine="480" w:firstLineChars="200"/>
              <w:jc w:val="left"/>
              <w:rPr>
                <w:rFonts w:ascii="宋体" w:hAnsi="宋体"/>
                <w:sz w:val="24"/>
              </w:rPr>
            </w:pPr>
            <w:r>
              <w:rPr>
                <w:rFonts w:hint="eastAsia" w:ascii="宋体" w:hAnsi="宋体"/>
                <w:sz w:val="24"/>
              </w:rPr>
              <w:t>深度脱水装置包括吸附和再生流程。</w:t>
            </w:r>
          </w:p>
          <w:p>
            <w:pPr>
              <w:spacing w:line="360" w:lineRule="auto"/>
              <w:ind w:firstLine="480" w:firstLineChars="200"/>
              <w:jc w:val="left"/>
              <w:rPr>
                <w:rFonts w:ascii="宋体" w:hAnsi="宋体"/>
                <w:sz w:val="24"/>
              </w:rPr>
            </w:pPr>
            <w:r>
              <w:rPr>
                <w:rFonts w:hint="eastAsia" w:ascii="宋体" w:hAnsi="宋体"/>
                <w:sz w:val="24"/>
              </w:rPr>
              <w:t>本项目设有一套双塔式高压微热干燥器深度脱水装置，进行间歇脱水。</w:t>
            </w:r>
          </w:p>
          <w:p>
            <w:pPr>
              <w:spacing w:line="360" w:lineRule="auto"/>
              <w:ind w:firstLine="480" w:firstLineChars="200"/>
              <w:jc w:val="left"/>
              <w:rPr>
                <w:rFonts w:ascii="宋体" w:hAnsi="宋体"/>
                <w:sz w:val="24"/>
              </w:rPr>
            </w:pPr>
            <w:r>
              <w:rPr>
                <w:rFonts w:hint="eastAsia" w:ascii="宋体" w:hAnsi="宋体"/>
                <w:sz w:val="24"/>
              </w:rPr>
              <w:t>吸附流程：经压缩机压缩后的高压气，分离冷却后进入脱水装置，经过分离过滤器吸附流程：经压缩机压缩后的高压气，分离冷却后进入脱水装置，经过分离过滤器分离可能存在的游离水、游离油和杂质，然后进入吸附塔，塔内的分子筛（</w:t>
            </w:r>
            <w:r>
              <w:rPr>
                <w:rFonts w:ascii="宋体" w:hAnsi="宋体"/>
                <w:sz w:val="24"/>
              </w:rPr>
              <w:t xml:space="preserve">4A </w:t>
            </w:r>
            <w:r>
              <w:rPr>
                <w:rFonts w:hint="eastAsia" w:ascii="宋体" w:hAnsi="宋体"/>
                <w:sz w:val="24"/>
              </w:rPr>
              <w:t>型）有效的吸附压缩天然气中的饱和水，分子筛吸附微量水分，在吸附过程中会产生少量的废气，为水蒸气，经吸附脱水后的高压气通过控制盘进入储气系统或计量加气系统。</w:t>
            </w:r>
          </w:p>
          <w:p>
            <w:pPr>
              <w:spacing w:line="360" w:lineRule="auto"/>
              <w:ind w:firstLine="480" w:firstLineChars="200"/>
              <w:jc w:val="left"/>
              <w:rPr>
                <w:rFonts w:ascii="宋体" w:hAnsi="宋体"/>
                <w:sz w:val="24"/>
              </w:rPr>
            </w:pPr>
            <w:r>
              <w:rPr>
                <w:rFonts w:hint="eastAsia" w:ascii="宋体" w:hAnsi="宋体"/>
                <w:sz w:val="24"/>
              </w:rPr>
              <w:t>再生流程：当分子筛正常吸附</w:t>
            </w:r>
            <w:r>
              <w:rPr>
                <w:rFonts w:ascii="宋体" w:hAnsi="宋体"/>
                <w:sz w:val="24"/>
              </w:rPr>
              <w:t>10000m</w:t>
            </w:r>
            <w:r>
              <w:rPr>
                <w:rFonts w:ascii="宋体" w:hAnsi="宋体"/>
                <w:sz w:val="24"/>
                <w:vertAlign w:val="superscript"/>
              </w:rPr>
              <w:t>3</w:t>
            </w:r>
            <w:r>
              <w:rPr>
                <w:rFonts w:hint="eastAsia" w:ascii="宋体" w:hAnsi="宋体"/>
                <w:sz w:val="24"/>
              </w:rPr>
              <w:t>压缩天然气后，应对其进行再生处理，调压阀前取低压气（</w:t>
            </w:r>
            <w:r>
              <w:rPr>
                <w:rFonts w:ascii="宋体" w:hAnsi="宋体"/>
                <w:sz w:val="24"/>
              </w:rPr>
              <w:t>0.3</w:t>
            </w:r>
            <w:r>
              <w:rPr>
                <w:rFonts w:hint="eastAsia" w:ascii="宋体" w:hAnsi="宋体"/>
                <w:sz w:val="24"/>
              </w:rPr>
              <w:t>～</w:t>
            </w:r>
            <w:r>
              <w:rPr>
                <w:rFonts w:ascii="宋体" w:hAnsi="宋体"/>
                <w:sz w:val="24"/>
              </w:rPr>
              <w:t>0.5MPa</w:t>
            </w:r>
            <w:r>
              <w:rPr>
                <w:rFonts w:hint="eastAsia" w:ascii="宋体" w:hAnsi="宋体"/>
                <w:sz w:val="24"/>
              </w:rPr>
              <w:t>），经稳压流程后，进入深度脱水装置的电热装置，将温度升至</w:t>
            </w:r>
            <w:r>
              <w:rPr>
                <w:rFonts w:ascii="宋体" w:hAnsi="宋体"/>
                <w:sz w:val="24"/>
              </w:rPr>
              <w:t>250</w:t>
            </w:r>
            <w:r>
              <w:rPr>
                <w:rFonts w:hint="eastAsia" w:ascii="宋体" w:hAnsi="宋体"/>
                <w:sz w:val="24"/>
              </w:rPr>
              <w:t>～</w:t>
            </w:r>
            <w:r>
              <w:rPr>
                <w:rFonts w:ascii="宋体" w:hAnsi="宋体"/>
                <w:sz w:val="24"/>
              </w:rPr>
              <w:t>280</w:t>
            </w:r>
            <w:r>
              <w:rPr>
                <w:rFonts w:hint="eastAsia" w:ascii="宋体" w:hAnsi="宋体"/>
                <w:sz w:val="24"/>
              </w:rPr>
              <w:t>℃，进入再生塔（即吸附</w:t>
            </w:r>
            <w:r>
              <w:rPr>
                <w:rFonts w:ascii="宋体" w:hAnsi="宋体"/>
                <w:sz w:val="24"/>
              </w:rPr>
              <w:t>10000m</w:t>
            </w:r>
            <w:r>
              <w:rPr>
                <w:rFonts w:ascii="宋体" w:hAnsi="宋体"/>
                <w:sz w:val="24"/>
                <w:vertAlign w:val="superscript"/>
              </w:rPr>
              <w:t>3</w:t>
            </w:r>
            <w:r>
              <w:rPr>
                <w:rFonts w:hint="eastAsia" w:ascii="宋体" w:hAnsi="宋体"/>
                <w:sz w:val="24"/>
              </w:rPr>
              <w:t>）压缩天然气后的吸附塔，带出分子筛吸附的水分，经冷凝和分离后，水分排除。</w:t>
            </w:r>
          </w:p>
          <w:p>
            <w:pPr>
              <w:spacing w:line="360" w:lineRule="auto"/>
              <w:ind w:firstLine="480" w:firstLineChars="200"/>
              <w:jc w:val="left"/>
              <w:rPr>
                <w:rFonts w:ascii="宋体" w:hAnsi="宋体"/>
                <w:sz w:val="24"/>
              </w:rPr>
            </w:pPr>
            <w:r>
              <w:rPr>
                <w:rFonts w:hint="eastAsia" w:ascii="宋体" w:hAnsi="宋体"/>
                <w:sz w:val="24"/>
              </w:rPr>
              <w:t>③</w:t>
            </w:r>
            <w:r>
              <w:rPr>
                <w:rFonts w:ascii="宋体" w:hAnsi="宋体"/>
                <w:sz w:val="24"/>
              </w:rPr>
              <w:t xml:space="preserve"> </w:t>
            </w:r>
            <w:r>
              <w:rPr>
                <w:rFonts w:hint="eastAsia" w:ascii="宋体" w:hAnsi="宋体"/>
                <w:sz w:val="24"/>
              </w:rPr>
              <w:t>废气回收再利用</w:t>
            </w:r>
          </w:p>
          <w:p>
            <w:pPr>
              <w:spacing w:line="360" w:lineRule="auto"/>
              <w:ind w:firstLine="480" w:firstLineChars="200"/>
              <w:jc w:val="left"/>
              <w:rPr>
                <w:rFonts w:ascii="宋体" w:hAnsi="宋体"/>
                <w:sz w:val="24"/>
              </w:rPr>
            </w:pPr>
            <w:r>
              <w:rPr>
                <w:rFonts w:hint="eastAsia" w:ascii="宋体" w:hAnsi="宋体"/>
                <w:sz w:val="24"/>
              </w:rPr>
              <w:t>在深度脱水装置进行脱水工序时，部分由于压力不足的低压天然气，无法充分得到脱水处理，该部分低压气体，通过再生气管线，回流进入回收罐，重新进入生产工序。</w:t>
            </w:r>
          </w:p>
          <w:p>
            <w:pPr>
              <w:spacing w:line="360" w:lineRule="auto"/>
              <w:ind w:firstLine="480" w:firstLineChars="200"/>
              <w:jc w:val="left"/>
              <w:rPr>
                <w:rFonts w:ascii="宋体" w:hAnsi="宋体"/>
                <w:sz w:val="24"/>
              </w:rPr>
            </w:pPr>
            <w:r>
              <w:rPr>
                <w:rFonts w:hint="eastAsia" w:ascii="宋体" w:hAnsi="宋体"/>
                <w:sz w:val="24"/>
              </w:rPr>
              <w:t>该回收装置主要由管线和单向阀门组成，沿进气管道铺设。</w:t>
            </w:r>
          </w:p>
          <w:p>
            <w:pPr>
              <w:spacing w:line="360" w:lineRule="auto"/>
              <w:ind w:firstLine="480" w:firstLineChars="200"/>
              <w:jc w:val="left"/>
              <w:rPr>
                <w:rFonts w:ascii="宋体" w:hAnsi="宋体"/>
                <w:sz w:val="24"/>
              </w:rPr>
            </w:pPr>
            <w:r>
              <w:rPr>
                <w:rFonts w:hint="eastAsia" w:ascii="宋体" w:hAnsi="宋体"/>
                <w:sz w:val="24"/>
              </w:rPr>
              <w:t>④</w:t>
            </w:r>
            <w:r>
              <w:rPr>
                <w:rFonts w:ascii="宋体" w:hAnsi="宋体"/>
                <w:sz w:val="24"/>
              </w:rPr>
              <w:t xml:space="preserve"> </w:t>
            </w:r>
            <w:r>
              <w:rPr>
                <w:rFonts w:hint="eastAsia" w:ascii="宋体" w:hAnsi="宋体"/>
                <w:sz w:val="24"/>
              </w:rPr>
              <w:t>储气</w:t>
            </w:r>
          </w:p>
          <w:p>
            <w:pPr>
              <w:spacing w:line="360" w:lineRule="auto"/>
              <w:ind w:firstLine="480" w:firstLineChars="200"/>
              <w:jc w:val="center"/>
              <w:rPr>
                <w:rFonts w:ascii="宋体" w:hAnsi="宋体"/>
                <w:sz w:val="24"/>
              </w:rPr>
            </w:pPr>
            <w:r>
              <w:rPr>
                <w:rFonts w:hint="eastAsia" w:ascii="宋体" w:hAnsi="宋体"/>
                <w:sz w:val="24"/>
              </w:rPr>
              <w:t>采用4个容积为2、3、4、5</w:t>
            </w:r>
            <w:r>
              <w:rPr>
                <w:rFonts w:ascii="宋体" w:hAnsi="宋体"/>
                <w:sz w:val="24"/>
              </w:rPr>
              <w:t xml:space="preserve"> m</w:t>
            </w:r>
            <w:r>
              <w:rPr>
                <w:rFonts w:ascii="宋体" w:hAnsi="宋体"/>
                <w:sz w:val="24"/>
                <w:vertAlign w:val="superscript"/>
              </w:rPr>
              <w:t>3</w:t>
            </w:r>
            <w:r>
              <w:rPr>
                <w:rFonts w:ascii="宋体" w:hAnsi="宋体"/>
                <w:sz w:val="24"/>
              </w:rPr>
              <w:t xml:space="preserve"> </w:t>
            </w:r>
            <w:r>
              <w:rPr>
                <w:rFonts w:hint="eastAsia" w:ascii="宋体" w:hAnsi="宋体"/>
                <w:sz w:val="24"/>
              </w:rPr>
              <w:t>储气井进行储存，为加气机供气做准备。该储气井结构如下。</w:t>
            </w:r>
          </w:p>
          <w:p>
            <w:pPr>
              <w:spacing w:line="360" w:lineRule="auto"/>
              <w:ind w:firstLine="480" w:firstLineChars="200"/>
              <w:jc w:val="center"/>
              <w:rPr>
                <w:rFonts w:ascii="宋体" w:hAnsi="宋体"/>
                <w:sz w:val="24"/>
              </w:rPr>
            </w:pPr>
            <w:r>
              <w:rPr>
                <w:rFonts w:ascii="宋体" w:hAnsi="宋体"/>
                <w:sz w:val="24"/>
              </w:rPr>
              <w:drawing>
                <wp:inline distT="0" distB="0" distL="114300" distR="114300">
                  <wp:extent cx="3619500" cy="2656840"/>
                  <wp:effectExtent l="0" t="0" r="0" b="1016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3"/>
                          <a:stretch>
                            <a:fillRect/>
                          </a:stretch>
                        </pic:blipFill>
                        <pic:spPr>
                          <a:xfrm>
                            <a:off x="0" y="0"/>
                            <a:ext cx="3619500" cy="2656840"/>
                          </a:xfrm>
                          <a:prstGeom prst="rect">
                            <a:avLst/>
                          </a:prstGeom>
                          <a:noFill/>
                          <a:ln>
                            <a:noFill/>
                          </a:ln>
                        </pic:spPr>
                      </pic:pic>
                    </a:graphicData>
                  </a:graphic>
                </wp:inline>
              </w:drawing>
            </w:r>
          </w:p>
          <w:p>
            <w:pPr>
              <w:spacing w:line="360" w:lineRule="auto"/>
              <w:ind w:firstLine="480" w:firstLineChars="200"/>
              <w:jc w:val="center"/>
              <w:rPr>
                <w:rFonts w:ascii="宋体" w:hAnsi="宋体"/>
                <w:sz w:val="24"/>
              </w:rPr>
            </w:pPr>
            <w:r>
              <w:rPr>
                <w:rFonts w:hint="eastAsia" w:ascii="宋体" w:hAnsi="宋体"/>
                <w:sz w:val="24"/>
              </w:rPr>
              <w:t>图4 项目储气井结构</w:t>
            </w:r>
          </w:p>
          <w:p>
            <w:pPr>
              <w:spacing w:line="360" w:lineRule="auto"/>
              <w:ind w:firstLine="480" w:firstLineChars="200"/>
              <w:rPr>
                <w:rFonts w:ascii="宋体" w:hAnsi="宋体"/>
                <w:sz w:val="24"/>
              </w:rPr>
            </w:pPr>
            <w:r>
              <w:rPr>
                <w:rFonts w:hint="eastAsia" w:ascii="宋体" w:hAnsi="宋体"/>
                <w:sz w:val="24"/>
              </w:rPr>
              <w:t>储气井由井口装置、井底封头和井筒组成，如上图所示。公称容积为3</w:t>
            </w:r>
            <w:r>
              <w:rPr>
                <w:rFonts w:ascii="宋体" w:hAnsi="宋体"/>
                <w:sz w:val="24"/>
              </w:rPr>
              <w:t>m</w:t>
            </w:r>
            <w:r>
              <w:rPr>
                <w:rFonts w:ascii="宋体" w:hAnsi="宋体"/>
                <w:sz w:val="24"/>
                <w:vertAlign w:val="superscript"/>
              </w:rPr>
              <w:t>3</w:t>
            </w:r>
            <w:r>
              <w:rPr>
                <w:rFonts w:hint="eastAsia" w:ascii="宋体" w:hAnsi="宋体"/>
                <w:sz w:val="24"/>
              </w:rPr>
              <w:t>，共</w:t>
            </w:r>
            <w:r>
              <w:rPr>
                <w:rFonts w:ascii="宋体" w:hAnsi="宋体"/>
                <w:sz w:val="24"/>
              </w:rPr>
              <w:t>3</w:t>
            </w:r>
            <w:r>
              <w:rPr>
                <w:rFonts w:hint="eastAsia" w:ascii="宋体" w:hAnsi="宋体"/>
                <w:sz w:val="24"/>
              </w:rPr>
              <w:t>座，分别为高压组、中压组、低压组；设计压力</w:t>
            </w:r>
            <w:r>
              <w:rPr>
                <w:rFonts w:ascii="宋体" w:hAnsi="宋体"/>
                <w:sz w:val="24"/>
              </w:rPr>
              <w:t>32 MPa</w:t>
            </w:r>
            <w:r>
              <w:rPr>
                <w:rFonts w:hint="eastAsia" w:ascii="宋体" w:hAnsi="宋体"/>
                <w:sz w:val="24"/>
              </w:rPr>
              <w:t>，额定工作压力为</w:t>
            </w:r>
            <w:r>
              <w:rPr>
                <w:rFonts w:ascii="宋体" w:hAnsi="宋体"/>
                <w:sz w:val="24"/>
              </w:rPr>
              <w:t>25 MPa</w:t>
            </w:r>
            <w:r>
              <w:rPr>
                <w:rFonts w:hint="eastAsia" w:ascii="宋体" w:hAnsi="宋体"/>
                <w:sz w:val="24"/>
              </w:rPr>
              <w:t>。</w:t>
            </w:r>
          </w:p>
          <w:p>
            <w:pPr>
              <w:spacing w:line="360" w:lineRule="auto"/>
              <w:ind w:firstLine="480" w:firstLineChars="200"/>
              <w:rPr>
                <w:rFonts w:ascii="宋体" w:hAnsi="宋体"/>
                <w:sz w:val="24"/>
              </w:rPr>
            </w:pPr>
            <w:r>
              <w:rPr>
                <w:rFonts w:hint="eastAsia" w:ascii="宋体" w:hAnsi="宋体"/>
                <w:sz w:val="24"/>
              </w:rPr>
              <w:t>井身结构：气井套管上、井底封头与套管采用管箍连接，封头采用优质碳素钢材、套管底封头腐蚀裕量大于</w:t>
            </w:r>
            <w:r>
              <w:rPr>
                <w:rFonts w:ascii="宋体" w:hAnsi="宋体"/>
                <w:sz w:val="24"/>
              </w:rPr>
              <w:t>5mm</w:t>
            </w:r>
            <w:r>
              <w:rPr>
                <w:rFonts w:hint="eastAsia" w:ascii="宋体" w:hAnsi="宋体"/>
                <w:sz w:val="24"/>
              </w:rPr>
              <w:t>，套管与井底、井壁空间用水泥浆固井。储气井井口设放散管；为排除井内积液，从井口下排液管至井底，通过气压排液。</w:t>
            </w:r>
          </w:p>
          <w:p>
            <w:pPr>
              <w:spacing w:line="360" w:lineRule="auto"/>
              <w:ind w:firstLine="480" w:firstLineChars="200"/>
              <w:rPr>
                <w:rFonts w:ascii="宋体" w:hAnsi="宋体"/>
                <w:sz w:val="24"/>
              </w:rPr>
            </w:pPr>
            <w:r>
              <w:rPr>
                <w:rFonts w:hint="eastAsia" w:ascii="宋体" w:hAnsi="宋体"/>
                <w:sz w:val="24"/>
              </w:rPr>
              <w:t>安全措施：项目已在储气井旁，设有消防砂池以及应急消防设备，能确保在事故发生时，险情能够得到及时的控制，防护等级为甲类防护。储气井井口压力表定期由相关部门校验并作记录；井口压盖螺栓涂抹黄油保护，并定期对井口进行油漆防腐。</w:t>
            </w:r>
          </w:p>
          <w:p>
            <w:pPr>
              <w:spacing w:line="360" w:lineRule="auto"/>
              <w:ind w:firstLine="480" w:firstLineChars="200"/>
              <w:rPr>
                <w:rFonts w:ascii="宋体" w:hAnsi="宋体"/>
                <w:sz w:val="24"/>
              </w:rPr>
            </w:pPr>
            <w:r>
              <w:rPr>
                <w:rFonts w:hint="eastAsia" w:ascii="宋体" w:hAnsi="宋体"/>
                <w:sz w:val="24"/>
              </w:rPr>
              <w:t>⑤</w:t>
            </w:r>
            <w:r>
              <w:rPr>
                <w:rFonts w:ascii="宋体" w:hAnsi="宋体"/>
                <w:sz w:val="24"/>
              </w:rPr>
              <w:t xml:space="preserve"> </w:t>
            </w:r>
            <w:r>
              <w:rPr>
                <w:rFonts w:hint="eastAsia" w:ascii="宋体" w:hAnsi="宋体"/>
                <w:sz w:val="24"/>
              </w:rPr>
              <w:t>加气</w:t>
            </w:r>
          </w:p>
          <w:p>
            <w:pPr>
              <w:spacing w:line="360" w:lineRule="auto"/>
              <w:ind w:firstLine="480" w:firstLineChars="200"/>
              <w:rPr>
                <w:rFonts w:hAnsi="宋体"/>
                <w:sz w:val="24"/>
              </w:rPr>
            </w:pPr>
            <w:r>
              <w:rPr>
                <w:sz w:val="24"/>
              </w:rPr>
              <w:t>CNG</w:t>
            </w:r>
            <w:r>
              <w:rPr>
                <w:rFonts w:hAnsi="宋体"/>
                <w:sz w:val="24"/>
              </w:rPr>
              <w:t>汽车充气时，按低、中、高三组压力依序通过售气机向车辆充气。当汽车钢瓶内压力达到</w:t>
            </w:r>
            <w:r>
              <w:rPr>
                <w:sz w:val="24"/>
              </w:rPr>
              <w:t>20.00Mpa</w:t>
            </w:r>
            <w:r>
              <w:rPr>
                <w:rFonts w:hAnsi="宋体"/>
                <w:sz w:val="24"/>
              </w:rPr>
              <w:t>时关闭充气阀门。当储气井内气体压力低于设定下限值时程控阀门组自动开启，压缩机以高、中、低为序向储气装置充气直到设定上限值。储气井补充充气下限值为：低：</w:t>
            </w:r>
            <w:r>
              <w:rPr>
                <w:sz w:val="24"/>
              </w:rPr>
              <w:t>12.0Mpa</w:t>
            </w:r>
            <w:r>
              <w:rPr>
                <w:rFonts w:hAnsi="宋体"/>
                <w:sz w:val="24"/>
              </w:rPr>
              <w:t>，中：</w:t>
            </w:r>
            <w:r>
              <w:rPr>
                <w:sz w:val="24"/>
              </w:rPr>
              <w:t>18.0Mpa</w:t>
            </w:r>
            <w:r>
              <w:rPr>
                <w:rFonts w:hAnsi="宋体"/>
                <w:sz w:val="24"/>
              </w:rPr>
              <w:t>，高：</w:t>
            </w:r>
            <w:r>
              <w:rPr>
                <w:sz w:val="24"/>
              </w:rPr>
              <w:t>22.0Mpa</w:t>
            </w:r>
            <w:r>
              <w:rPr>
                <w:rFonts w:hAnsi="宋体"/>
                <w:sz w:val="24"/>
              </w:rPr>
              <w:t>。</w:t>
            </w:r>
          </w:p>
          <w:p>
            <w:pPr>
              <w:pStyle w:val="13"/>
              <w:spacing w:after="0" w:line="360" w:lineRule="auto"/>
              <w:ind w:left="0" w:leftChars="0" w:firstLine="361" w:firstLineChars="200"/>
              <w:jc w:val="left"/>
              <w:rPr>
                <w:rFonts w:hint="eastAsia" w:ascii="Times New Roman" w:hAnsi="Times New Roman"/>
                <w:b/>
                <w:color w:val="000000"/>
                <w:sz w:val="18"/>
                <w:szCs w:val="18"/>
              </w:rPr>
            </w:pPr>
          </w:p>
        </w:tc>
      </w:tr>
    </w:tbl>
    <w:p>
      <w:pPr>
        <w:spacing w:line="0" w:lineRule="atLeast"/>
        <w:rPr>
          <w:rFonts w:hint="eastAsia" w:ascii="Times New Roman" w:hAnsi="Times New Roman"/>
          <w:b/>
          <w:sz w:val="24"/>
        </w:rPr>
      </w:pPr>
    </w:p>
    <w:p>
      <w:pPr>
        <w:spacing w:line="0" w:lineRule="atLeast"/>
        <w:rPr>
          <w:rFonts w:ascii="Times New Roman" w:hAnsi="Times New Roman"/>
          <w:b/>
          <w:sz w:val="24"/>
        </w:rPr>
      </w:pPr>
      <w:r>
        <w:rPr>
          <w:rFonts w:hint="eastAsia" w:ascii="Times New Roman" w:hAnsi="Times New Roman"/>
          <w:b/>
          <w:sz w:val="24"/>
        </w:rPr>
        <w:t>表三 主要污染源、污染物处理和排放</w:t>
      </w:r>
    </w:p>
    <w:tbl>
      <w:tblPr>
        <w:tblStyle w:val="20"/>
        <w:tblW w:w="93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8" w:hRule="atLeast"/>
          <w:jc w:val="center"/>
        </w:trPr>
        <w:tc>
          <w:tcPr>
            <w:tcW w:w="9334" w:type="dxa"/>
            <w:noWrap w:val="0"/>
            <w:vAlign w:val="top"/>
          </w:tcPr>
          <w:p>
            <w:pPr>
              <w:numPr>
                <w:ilvl w:val="0"/>
                <w:numId w:val="2"/>
              </w:numPr>
              <w:spacing w:line="360" w:lineRule="auto"/>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废水主要污染源、污染物处理和排放情况</w:t>
            </w:r>
          </w:p>
          <w:p>
            <w:pPr>
              <w:numPr>
                <w:ilvl w:val="0"/>
                <w:numId w:val="0"/>
              </w:numPr>
              <w:spacing w:line="360" w:lineRule="auto"/>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（1）废水主要来源：</w:t>
            </w:r>
            <w:r>
              <w:rPr>
                <w:rFonts w:hint="eastAsia" w:ascii="宋体" w:hAnsi="宋体" w:eastAsia="宋体"/>
                <w:color w:val="000000" w:themeColor="text1"/>
                <w:sz w:val="24"/>
                <w:szCs w:val="24"/>
              </w:rPr>
              <w:t>项目废水</w:t>
            </w:r>
            <w:r>
              <w:rPr>
                <w:rFonts w:hint="eastAsia" w:ascii="宋体" w:hAnsi="宋体" w:eastAsia="宋体"/>
                <w:color w:val="000000" w:themeColor="text1"/>
                <w:sz w:val="24"/>
                <w:szCs w:val="24"/>
                <w:lang w:eastAsia="zh-CN"/>
              </w:rPr>
              <w:t>主要</w:t>
            </w:r>
            <w:r>
              <w:rPr>
                <w:rFonts w:hint="eastAsia" w:ascii="宋体" w:hAnsi="宋体" w:eastAsia="宋体"/>
                <w:color w:val="000000" w:themeColor="text1"/>
                <w:sz w:val="24"/>
                <w:szCs w:val="24"/>
              </w:rPr>
              <w:t>为生活污水</w:t>
            </w:r>
            <w:r>
              <w:rPr>
                <w:rFonts w:hint="eastAsia" w:ascii="宋体" w:hAnsi="宋体" w:eastAsia="宋体"/>
                <w:color w:val="000000" w:themeColor="text1"/>
                <w:sz w:val="24"/>
                <w:szCs w:val="24"/>
                <w:lang w:eastAsia="zh-CN"/>
              </w:rPr>
              <w:t>、地面冲洗废水</w:t>
            </w:r>
            <w:r>
              <w:rPr>
                <w:rFonts w:ascii="Times New Roman" w:hAnsi="Times New Roman"/>
                <w:color w:val="000000" w:themeColor="text1"/>
                <w:sz w:val="24"/>
                <w:szCs w:val="24"/>
              </w:rPr>
              <w:t>。</w:t>
            </w:r>
          </w:p>
          <w:p>
            <w:pPr>
              <w:spacing w:line="320" w:lineRule="exact"/>
              <w:ind w:left="-108" w:right="-102" w:firstLine="480" w:firstLineChars="200"/>
              <w:jc w:val="both"/>
              <w:rPr>
                <w:rFonts w:hint="eastAsia" w:ascii="Times New Roman" w:hAnsi="Times New Roman" w:eastAsiaTheme="minorEastAsia"/>
                <w:color w:val="000000" w:themeColor="text1"/>
                <w:sz w:val="24"/>
                <w:szCs w:val="24"/>
                <w:lang w:eastAsia="zh-CN"/>
              </w:rPr>
            </w:pPr>
            <w:r>
              <w:rPr>
                <w:rFonts w:ascii="Times New Roman" w:hAnsi="Times New Roman"/>
                <w:color w:val="000000" w:themeColor="text1"/>
                <w:sz w:val="24"/>
                <w:szCs w:val="24"/>
              </w:rPr>
              <w:t>（2）处理措施：根据</w:t>
            </w:r>
            <w:r>
              <w:rPr>
                <w:rFonts w:hint="eastAsia" w:ascii="Times New Roman" w:hAnsi="Times New Roman"/>
                <w:color w:val="000000" w:themeColor="text1"/>
                <w:sz w:val="24"/>
                <w:szCs w:val="24"/>
              </w:rPr>
              <w:t>现场勘察</w:t>
            </w:r>
            <w:r>
              <w:rPr>
                <w:rFonts w:ascii="Times New Roman" w:hAnsi="Times New Roman"/>
                <w:color w:val="000000" w:themeColor="text1"/>
                <w:sz w:val="24"/>
                <w:szCs w:val="24"/>
              </w:rPr>
              <w:t>情况，</w:t>
            </w:r>
            <w:r>
              <w:rPr>
                <w:rFonts w:hint="eastAsia" w:ascii="Times New Roman" w:hAnsi="Times New Roman"/>
                <w:color w:val="000000" w:themeColor="text1"/>
                <w:sz w:val="24"/>
                <w:szCs w:val="24"/>
                <w:lang w:eastAsia="zh-CN"/>
              </w:rPr>
              <w:t>生活</w:t>
            </w:r>
            <w:r>
              <w:rPr>
                <w:rFonts w:cs="Times New Roman"/>
                <w:color w:val="000000" w:themeColor="text1"/>
                <w:sz w:val="24"/>
                <w:szCs w:val="24"/>
              </w:rPr>
              <w:t>污水采用化粪池预处理后</w:t>
            </w:r>
            <w:r>
              <w:rPr>
                <w:rFonts w:hint="eastAsia" w:cs="Times New Roman"/>
                <w:color w:val="000000" w:themeColor="text1"/>
                <w:sz w:val="24"/>
                <w:szCs w:val="24"/>
                <w:lang w:eastAsia="zh-CN"/>
              </w:rPr>
              <w:t>达到</w:t>
            </w:r>
            <w:r>
              <w:rPr>
                <w:rFonts w:hint="eastAsia" w:ascii="宋体" w:hAnsi="宋体" w:eastAsia="宋体" w:cs="宋体"/>
                <w:color w:val="000000" w:themeColor="text1"/>
                <w:sz w:val="24"/>
                <w:szCs w:val="24"/>
              </w:rPr>
              <w:t>《污水综合排放标准》(GB8978-1996</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表4中三级标准</w:t>
            </w:r>
            <w:r>
              <w:rPr>
                <w:rFonts w:hint="eastAsia" w:ascii="宋体" w:hAnsi="宋体" w:eastAsia="宋体" w:cs="宋体"/>
                <w:color w:val="000000" w:themeColor="text1"/>
                <w:sz w:val="24"/>
                <w:szCs w:val="24"/>
                <w:lang w:eastAsia="zh-CN"/>
              </w:rPr>
              <w:t>及</w:t>
            </w:r>
            <w:r>
              <w:rPr>
                <w:rFonts w:hint="eastAsia" w:ascii="Times New Roman" w:hAnsi="Times New Roman"/>
                <w:sz w:val="24"/>
                <w:szCs w:val="24"/>
                <w:lang w:eastAsia="zh-CN"/>
              </w:rPr>
              <w:t>吉安市</w:t>
            </w:r>
            <w:r>
              <w:rPr>
                <w:rFonts w:hint="eastAsia" w:hAnsi="宋体"/>
                <w:sz w:val="24"/>
              </w:rPr>
              <w:t>新源污水处理厂接管标准</w:t>
            </w:r>
            <w:r>
              <w:rPr>
                <w:rFonts w:hint="eastAsia" w:ascii="宋体" w:hAnsi="宋体" w:eastAsia="宋体" w:cs="宋体"/>
                <w:color w:val="000000" w:themeColor="text1"/>
                <w:sz w:val="24"/>
                <w:szCs w:val="24"/>
                <w:lang w:eastAsia="zh-CN"/>
              </w:rPr>
              <w:t>后</w:t>
            </w:r>
            <w:r>
              <w:rPr>
                <w:rFonts w:cs="Times New Roman"/>
                <w:color w:val="000000" w:themeColor="text1"/>
                <w:sz w:val="24"/>
                <w:szCs w:val="24"/>
              </w:rPr>
              <w:t>接入市政污水管网</w:t>
            </w:r>
            <w:r>
              <w:rPr>
                <w:rFonts w:hint="eastAsia" w:cs="Times New Roman"/>
                <w:color w:val="000000" w:themeColor="text1"/>
                <w:sz w:val="24"/>
                <w:szCs w:val="24"/>
                <w:lang w:eastAsia="zh-CN"/>
              </w:rPr>
              <w:t>。</w:t>
            </w:r>
          </w:p>
          <w:p>
            <w:pPr>
              <w:spacing w:line="360" w:lineRule="auto"/>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2、废气主要污染源、污染物处理和排放情况</w:t>
            </w:r>
          </w:p>
          <w:p>
            <w:pPr>
              <w:spacing w:line="360" w:lineRule="auto"/>
              <w:ind w:firstLine="480" w:firstLineChars="200"/>
              <w:rPr>
                <w:rFonts w:hint="eastAsia" w:ascii="Times New Roman" w:hAnsi="Times New Roman"/>
                <w:color w:val="000000" w:themeColor="text1"/>
                <w:sz w:val="24"/>
                <w:szCs w:val="24"/>
              </w:rPr>
            </w:pPr>
            <w:r>
              <w:rPr>
                <w:rFonts w:hint="eastAsia" w:ascii="Times New Roman" w:hAnsi="Times New Roman"/>
                <w:color w:val="000000" w:themeColor="text1"/>
                <w:sz w:val="24"/>
                <w:szCs w:val="24"/>
              </w:rPr>
              <w:t>（1）废气主要来源：</w:t>
            </w:r>
            <w:r>
              <w:rPr>
                <w:rFonts w:hint="eastAsia" w:ascii="宋体" w:hAnsi="宋体" w:eastAsia="宋体" w:cs="宋体"/>
                <w:bCs/>
                <w:color w:val="000000" w:themeColor="text1"/>
                <w:kern w:val="2"/>
                <w:sz w:val="24"/>
                <w:szCs w:val="24"/>
              </w:rPr>
              <w:t>项目主要的大气污染源为</w:t>
            </w:r>
            <w:r>
              <w:rPr>
                <w:rFonts w:hint="eastAsia" w:ascii="宋体" w:hAnsi="宋体" w:eastAsia="宋体" w:cs="宋体"/>
                <w:bCs/>
                <w:color w:val="000000" w:themeColor="text1"/>
                <w:sz w:val="24"/>
                <w:szCs w:val="24"/>
              </w:rPr>
              <w:t>LNG储罐、槽车泄压时放散尾气；储罐、传输、加气过程逸漏的少量气体</w:t>
            </w:r>
            <w:r>
              <w:rPr>
                <w:rFonts w:hint="eastAsia" w:ascii="宋体" w:hAnsi="宋体" w:eastAsia="宋体" w:cs="宋体"/>
                <w:bCs/>
                <w:color w:val="000000" w:themeColor="text1"/>
                <w:sz w:val="24"/>
                <w:szCs w:val="24"/>
                <w:lang w:eastAsia="zh-CN"/>
              </w:rPr>
              <w:t>，</w:t>
            </w:r>
            <w:r>
              <w:rPr>
                <w:rFonts w:hint="eastAsia" w:ascii="宋体" w:hAnsi="宋体" w:eastAsia="宋体" w:cs="宋体"/>
                <w:bCs/>
                <w:color w:val="000000" w:themeColor="text1"/>
                <w:sz w:val="24"/>
                <w:szCs w:val="24"/>
              </w:rPr>
              <w:t>CNG压缩、加气过程漏的少量气体，放散气体</w:t>
            </w:r>
            <w:r>
              <w:rPr>
                <w:rFonts w:hint="eastAsia" w:ascii="宋体" w:hAnsi="宋体" w:eastAsia="宋体" w:cs="宋体"/>
                <w:bCs/>
                <w:color w:val="000000" w:themeColor="text1"/>
                <w:kern w:val="2"/>
                <w:sz w:val="24"/>
                <w:szCs w:val="24"/>
              </w:rPr>
              <w:t>，主要成分为颗粒物、</w:t>
            </w:r>
            <w:r>
              <w:rPr>
                <w:rFonts w:hint="eastAsia" w:ascii="宋体" w:hAnsi="宋体" w:eastAsia="宋体" w:cs="宋体"/>
                <w:bCs/>
                <w:color w:val="000000" w:themeColor="text1"/>
                <w:kern w:val="2"/>
                <w:sz w:val="24"/>
                <w:szCs w:val="24"/>
                <w:lang w:eastAsia="zh-CN"/>
              </w:rPr>
              <w:t>非甲烷总烃</w:t>
            </w:r>
            <w:r>
              <w:rPr>
                <w:rFonts w:hint="eastAsia" w:ascii="宋体" w:hAnsi="宋体" w:eastAsia="宋体" w:cs="宋体"/>
                <w:color w:val="000000" w:themeColor="text1"/>
                <w:sz w:val="24"/>
                <w:szCs w:val="24"/>
              </w:rPr>
              <w:t>。</w:t>
            </w:r>
          </w:p>
          <w:p>
            <w:pPr>
              <w:adjustRightInd w:val="0"/>
              <w:snapToGrid w:val="0"/>
              <w:spacing w:line="360" w:lineRule="auto"/>
              <w:ind w:firstLine="480" w:firstLineChars="200"/>
              <w:rPr>
                <w:rFonts w:hint="eastAsia" w:ascii="Times New Roman" w:hAnsi="Times New Roman"/>
                <w:color w:val="000000" w:themeColor="text1"/>
                <w:sz w:val="24"/>
                <w:szCs w:val="24"/>
              </w:rPr>
            </w:pPr>
            <w:r>
              <w:rPr>
                <w:rFonts w:ascii="Times New Roman" w:hAnsi="Times New Roman"/>
                <w:color w:val="000000" w:themeColor="text1"/>
                <w:sz w:val="24"/>
                <w:szCs w:val="24"/>
              </w:rPr>
              <w:t>（2）处理措施：</w:t>
            </w:r>
            <w:r>
              <w:rPr>
                <w:rFonts w:hint="eastAsia"/>
                <w:color w:val="000000" w:themeColor="text1"/>
                <w:sz w:val="24"/>
                <w:szCs w:val="24"/>
              </w:rPr>
              <w:t>通过换气系统自由扩散</w:t>
            </w:r>
            <w:r>
              <w:rPr>
                <w:rFonts w:hint="eastAsia" w:ascii="宋体" w:hAnsi="宋体" w:eastAsia="宋体" w:cs="宋体"/>
                <w:bCs/>
                <w:color w:val="000000" w:themeColor="text1"/>
                <w:kern w:val="2"/>
                <w:sz w:val="24"/>
                <w:szCs w:val="24"/>
              </w:rPr>
              <w:t>无组织排放</w:t>
            </w:r>
            <w:r>
              <w:rPr>
                <w:rFonts w:hint="eastAsia" w:ascii="Times New Roman" w:hAnsi="Times New Roman"/>
                <w:color w:val="000000" w:themeColor="text1"/>
                <w:sz w:val="24"/>
                <w:szCs w:val="24"/>
              </w:rPr>
              <w:t>。</w:t>
            </w:r>
          </w:p>
          <w:p>
            <w:pPr>
              <w:pStyle w:val="50"/>
              <w:spacing w:before="0" w:after="0" w:line="360" w:lineRule="auto"/>
              <w:ind w:firstLine="480"/>
              <w:rPr>
                <w:rFonts w:ascii="Times New Roman" w:hAnsi="Times New Roman" w:eastAsia="宋体"/>
                <w:color w:val="000000" w:themeColor="text1"/>
                <w:sz w:val="24"/>
                <w:szCs w:val="24"/>
              </w:rPr>
            </w:pPr>
            <w:r>
              <w:rPr>
                <w:rFonts w:ascii="Times New Roman" w:hAnsi="Times New Roman" w:eastAsia="宋体"/>
                <w:color w:val="000000" w:themeColor="text1"/>
                <w:sz w:val="24"/>
                <w:szCs w:val="24"/>
              </w:rPr>
              <w:t>废气排放及控制措施见表3-</w:t>
            </w:r>
            <w:r>
              <w:rPr>
                <w:rFonts w:hint="eastAsia" w:ascii="Times New Roman" w:hAnsi="Times New Roman" w:eastAsia="宋体"/>
                <w:color w:val="000000" w:themeColor="text1"/>
                <w:sz w:val="24"/>
                <w:szCs w:val="24"/>
                <w:lang w:val="en-US" w:eastAsia="zh-CN"/>
              </w:rPr>
              <w:t>1</w:t>
            </w:r>
            <w:r>
              <w:rPr>
                <w:rFonts w:ascii="Times New Roman" w:hAnsi="Times New Roman" w:eastAsia="宋体"/>
                <w:color w:val="000000" w:themeColor="text1"/>
                <w:sz w:val="24"/>
                <w:szCs w:val="24"/>
              </w:rPr>
              <w:t>，废气布点示意图见图3-2。</w:t>
            </w:r>
          </w:p>
          <w:p>
            <w:pPr>
              <w:tabs>
                <w:tab w:val="left" w:pos="2100"/>
              </w:tabs>
              <w:spacing w:line="36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rPr>
              <w:t>表3-</w:t>
            </w:r>
            <w:r>
              <w:rPr>
                <w:rFonts w:hint="eastAsia" w:ascii="Times New Roman" w:hAnsi="Times New Roman"/>
                <w:b/>
                <w:color w:val="000000" w:themeColor="text1"/>
                <w:sz w:val="24"/>
                <w:szCs w:val="24"/>
                <w:lang w:val="en-US" w:eastAsia="zh-CN"/>
              </w:rPr>
              <w:t>1</w:t>
            </w:r>
            <w:r>
              <w:rPr>
                <w:rFonts w:ascii="Times New Roman" w:hAnsi="Times New Roman"/>
                <w:b/>
                <w:color w:val="000000" w:themeColor="text1"/>
                <w:sz w:val="24"/>
                <w:szCs w:val="24"/>
              </w:rPr>
              <w:t xml:space="preserve">  废气排放及控制措施一览表</w:t>
            </w:r>
          </w:p>
          <w:tbl>
            <w:tblPr>
              <w:tblStyle w:val="20"/>
              <w:tblW w:w="886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701"/>
              <w:gridCol w:w="1418"/>
              <w:gridCol w:w="2835"/>
              <w:gridCol w:w="14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473" w:type="dxa"/>
                  <w:noWrap w:val="0"/>
                  <w:vAlign w:val="center"/>
                </w:tcPr>
                <w:p>
                  <w:pPr>
                    <w:jc w:val="center"/>
                    <w:rPr>
                      <w:rFonts w:ascii="Times New Roman" w:hAnsi="Times New Roman"/>
                      <w:b/>
                      <w:color w:val="000000" w:themeColor="text1"/>
                      <w:sz w:val="24"/>
                      <w:szCs w:val="24"/>
                    </w:rPr>
                  </w:pPr>
                  <w:r>
                    <w:rPr>
                      <w:rFonts w:ascii="Times New Roman" w:hAnsi="Times New Roman"/>
                      <w:b/>
                      <w:color w:val="000000" w:themeColor="text1"/>
                      <w:sz w:val="24"/>
                      <w:szCs w:val="24"/>
                    </w:rPr>
                    <w:t>污染源</w:t>
                  </w:r>
                </w:p>
              </w:tc>
              <w:tc>
                <w:tcPr>
                  <w:tcW w:w="1701" w:type="dxa"/>
                  <w:noWrap w:val="0"/>
                  <w:vAlign w:val="center"/>
                </w:tcPr>
                <w:p>
                  <w:pPr>
                    <w:jc w:val="center"/>
                    <w:rPr>
                      <w:rFonts w:ascii="Times New Roman" w:hAnsi="Times New Roman"/>
                      <w:b/>
                      <w:color w:val="000000" w:themeColor="text1"/>
                      <w:sz w:val="24"/>
                      <w:szCs w:val="24"/>
                    </w:rPr>
                  </w:pPr>
                  <w:r>
                    <w:rPr>
                      <w:rFonts w:ascii="Times New Roman" w:hAnsi="Times New Roman"/>
                      <w:b/>
                      <w:color w:val="000000" w:themeColor="text1"/>
                      <w:sz w:val="24"/>
                      <w:szCs w:val="24"/>
                    </w:rPr>
                    <w:t>污染物</w:t>
                  </w:r>
                </w:p>
              </w:tc>
              <w:tc>
                <w:tcPr>
                  <w:tcW w:w="1418" w:type="dxa"/>
                  <w:noWrap w:val="0"/>
                  <w:vAlign w:val="center"/>
                </w:tcPr>
                <w:p>
                  <w:pPr>
                    <w:jc w:val="center"/>
                    <w:rPr>
                      <w:rFonts w:ascii="Times New Roman" w:hAnsi="Times New Roman"/>
                      <w:b/>
                      <w:color w:val="000000" w:themeColor="text1"/>
                      <w:sz w:val="24"/>
                      <w:szCs w:val="24"/>
                    </w:rPr>
                  </w:pPr>
                  <w:r>
                    <w:rPr>
                      <w:rFonts w:ascii="Times New Roman" w:hAnsi="Times New Roman"/>
                      <w:b/>
                      <w:color w:val="000000" w:themeColor="text1"/>
                      <w:sz w:val="24"/>
                      <w:szCs w:val="24"/>
                    </w:rPr>
                    <w:t>排放规律</w:t>
                  </w:r>
                </w:p>
              </w:tc>
              <w:tc>
                <w:tcPr>
                  <w:tcW w:w="2835" w:type="dxa"/>
                  <w:noWrap w:val="0"/>
                  <w:vAlign w:val="center"/>
                </w:tcPr>
                <w:p>
                  <w:pPr>
                    <w:jc w:val="center"/>
                    <w:rPr>
                      <w:rFonts w:ascii="Times New Roman" w:hAnsi="Times New Roman"/>
                      <w:b/>
                      <w:color w:val="000000" w:themeColor="text1"/>
                      <w:sz w:val="24"/>
                      <w:szCs w:val="24"/>
                    </w:rPr>
                  </w:pPr>
                  <w:r>
                    <w:rPr>
                      <w:rFonts w:ascii="Times New Roman" w:hAnsi="Times New Roman"/>
                      <w:b/>
                      <w:color w:val="000000" w:themeColor="text1"/>
                      <w:sz w:val="24"/>
                      <w:szCs w:val="24"/>
                    </w:rPr>
                    <w:t>处理措施</w:t>
                  </w:r>
                </w:p>
              </w:tc>
              <w:tc>
                <w:tcPr>
                  <w:tcW w:w="1442" w:type="dxa"/>
                  <w:noWrap w:val="0"/>
                  <w:vAlign w:val="center"/>
                </w:tcPr>
                <w:p>
                  <w:pPr>
                    <w:jc w:val="center"/>
                    <w:rPr>
                      <w:rFonts w:ascii="Times New Roman" w:hAnsi="Times New Roman"/>
                      <w:b/>
                      <w:color w:val="000000" w:themeColor="text1"/>
                      <w:sz w:val="24"/>
                      <w:szCs w:val="24"/>
                    </w:rPr>
                  </w:pPr>
                  <w:r>
                    <w:rPr>
                      <w:rFonts w:ascii="Times New Roman" w:hAnsi="Times New Roman"/>
                      <w:b/>
                      <w:color w:val="000000" w:themeColor="text1"/>
                      <w:sz w:val="24"/>
                      <w:szCs w:val="24"/>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73" w:type="dxa"/>
                  <w:noWrap w:val="0"/>
                  <w:vAlign w:val="center"/>
                </w:tcPr>
                <w:p>
                  <w:pPr>
                    <w:ind w:left="-105" w:leftChars="-50" w:right="-105" w:rightChars="-50"/>
                    <w:jc w:val="center"/>
                    <w:rPr>
                      <w:rFonts w:hint="eastAsia" w:ascii="Times New Roman" w:hAnsi="Times New Roman" w:eastAsia="宋体"/>
                      <w:color w:val="000000" w:themeColor="text1"/>
                      <w:sz w:val="24"/>
                      <w:szCs w:val="24"/>
                      <w:lang w:eastAsia="zh-CN"/>
                    </w:rPr>
                  </w:pPr>
                  <w:r>
                    <w:rPr>
                      <w:rFonts w:hint="eastAsia" w:ascii="宋体" w:hAnsi="宋体" w:eastAsia="宋体" w:cs="宋体"/>
                      <w:bCs/>
                      <w:color w:val="000000" w:themeColor="text1"/>
                      <w:sz w:val="24"/>
                      <w:szCs w:val="24"/>
                    </w:rPr>
                    <w:t>LNG储罐、槽车泄压时放散尾气</w:t>
                  </w:r>
                  <w:r>
                    <w:rPr>
                      <w:rFonts w:hint="eastAsia" w:ascii="宋体" w:hAnsi="宋体" w:eastAsia="宋体" w:cs="宋体"/>
                      <w:bCs/>
                      <w:color w:val="000000" w:themeColor="text1"/>
                      <w:sz w:val="24"/>
                      <w:szCs w:val="24"/>
                      <w:lang w:eastAsia="zh-CN"/>
                    </w:rPr>
                    <w:t>、</w:t>
                  </w:r>
                  <w:r>
                    <w:rPr>
                      <w:rFonts w:hint="eastAsia" w:ascii="宋体" w:hAnsi="宋体" w:eastAsia="宋体" w:cs="宋体"/>
                      <w:bCs/>
                      <w:color w:val="000000" w:themeColor="text1"/>
                      <w:sz w:val="24"/>
                      <w:szCs w:val="24"/>
                    </w:rPr>
                    <w:t>CNG压缩、加气过程漏的少量气体</w:t>
                  </w:r>
                </w:p>
              </w:tc>
              <w:tc>
                <w:tcPr>
                  <w:tcW w:w="1701" w:type="dxa"/>
                  <w:noWrap w:val="0"/>
                  <w:vAlign w:val="center"/>
                </w:tcPr>
                <w:p>
                  <w:pPr>
                    <w:jc w:val="center"/>
                    <w:rPr>
                      <w:rFonts w:hint="eastAsia" w:ascii="Times New Roman" w:hAnsi="Times New Roman" w:eastAsiaTheme="minorEastAsia"/>
                      <w:color w:val="000000" w:themeColor="text1"/>
                      <w:sz w:val="24"/>
                      <w:szCs w:val="24"/>
                      <w:lang w:eastAsia="zh-CN"/>
                    </w:rPr>
                  </w:pPr>
                  <w:r>
                    <w:rPr>
                      <w:rFonts w:hint="eastAsia" w:ascii="Times New Roman" w:hAnsi="Times New Roman"/>
                      <w:color w:val="000000" w:themeColor="text1"/>
                      <w:sz w:val="24"/>
                      <w:szCs w:val="24"/>
                      <w:lang w:eastAsia="zh-CN"/>
                    </w:rPr>
                    <w:t>颗粒物、</w:t>
                  </w:r>
                  <w:r>
                    <w:rPr>
                      <w:rFonts w:hint="eastAsia" w:ascii="宋体" w:hAnsi="宋体" w:eastAsia="宋体" w:cs="宋体"/>
                      <w:bCs/>
                      <w:color w:val="000000" w:themeColor="text1"/>
                      <w:kern w:val="2"/>
                      <w:sz w:val="24"/>
                      <w:szCs w:val="24"/>
                      <w:lang w:eastAsia="zh-CN"/>
                    </w:rPr>
                    <w:t>非甲烷总烃</w:t>
                  </w:r>
                </w:p>
              </w:tc>
              <w:tc>
                <w:tcPr>
                  <w:tcW w:w="1418" w:type="dxa"/>
                  <w:noWrap w:val="0"/>
                  <w:vAlign w:val="center"/>
                </w:tcPr>
                <w:p>
                  <w:pPr>
                    <w:jc w:val="center"/>
                    <w:rPr>
                      <w:rFonts w:ascii="Times New Roman" w:hAnsi="Times New Roman"/>
                      <w:color w:val="000000" w:themeColor="text1"/>
                      <w:sz w:val="24"/>
                      <w:szCs w:val="24"/>
                    </w:rPr>
                  </w:pPr>
                  <w:r>
                    <w:rPr>
                      <w:rFonts w:ascii="Times New Roman" w:hAnsi="Times New Roman"/>
                      <w:color w:val="000000" w:themeColor="text1"/>
                      <w:sz w:val="24"/>
                      <w:szCs w:val="24"/>
                    </w:rPr>
                    <w:t>间歇性</w:t>
                  </w:r>
                </w:p>
              </w:tc>
              <w:tc>
                <w:tcPr>
                  <w:tcW w:w="2835" w:type="dxa"/>
                  <w:noWrap w:val="0"/>
                  <w:vAlign w:val="center"/>
                </w:tcPr>
                <w:p>
                  <w:pPr>
                    <w:jc w:val="center"/>
                    <w:rPr>
                      <w:rFonts w:ascii="Times New Roman" w:hAnsi="Times New Roman"/>
                      <w:color w:val="000000" w:themeColor="text1"/>
                      <w:sz w:val="24"/>
                      <w:szCs w:val="24"/>
                    </w:rPr>
                  </w:pPr>
                  <w:r>
                    <w:rPr>
                      <w:rFonts w:hint="eastAsia"/>
                      <w:sz w:val="24"/>
                      <w:szCs w:val="24"/>
                    </w:rPr>
                    <w:t>加气系统为封闭状态，逸漏量很少，且为无组织排放，设备检修状况较少发生，且排放的天然气量少，由站内集中放空方式排放</w:t>
                  </w:r>
                </w:p>
              </w:tc>
              <w:tc>
                <w:tcPr>
                  <w:tcW w:w="1442" w:type="dxa"/>
                  <w:noWrap w:val="0"/>
                  <w:vAlign w:val="center"/>
                </w:tcPr>
                <w:p>
                  <w:pPr>
                    <w:jc w:val="center"/>
                    <w:rPr>
                      <w:rFonts w:ascii="Times New Roman" w:hAnsi="Times New Roman"/>
                      <w:color w:val="000000" w:themeColor="text1"/>
                      <w:sz w:val="24"/>
                      <w:szCs w:val="24"/>
                    </w:rPr>
                  </w:pPr>
                  <w:r>
                    <w:rPr>
                      <w:rFonts w:ascii="Times New Roman" w:hAnsi="Times New Roman"/>
                      <w:color w:val="000000" w:themeColor="text1"/>
                      <w:sz w:val="24"/>
                      <w:szCs w:val="24"/>
                    </w:rPr>
                    <w:t>无组织排放</w:t>
                  </w:r>
                </w:p>
              </w:tc>
            </w:tr>
          </w:tbl>
          <w:p>
            <w:pPr>
              <w:pStyle w:val="25"/>
              <w:rPr>
                <w:rFonts w:hint="eastAsia" w:ascii="Times New Roman" w:hAnsi="Times New Roman"/>
                <w:color w:val="FF0000"/>
                <w:sz w:val="24"/>
                <w:szCs w:val="24"/>
              </w:rPr>
            </w:pPr>
          </w:p>
          <w:p>
            <w:pPr>
              <w:tabs>
                <w:tab w:val="center" w:pos="4592"/>
              </w:tabs>
              <w:spacing w:line="360" w:lineRule="auto"/>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3、噪声</w:t>
            </w:r>
          </w:p>
          <w:p>
            <w:pPr>
              <w:spacing w:line="460" w:lineRule="exact"/>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（1）噪声主要来源：本项目无高音噪声源，主要噪声源</w:t>
            </w:r>
            <w:r>
              <w:rPr>
                <w:rFonts w:hint="eastAsia" w:ascii="Times New Roman" w:hAnsi="Times New Roman"/>
                <w:color w:val="000000" w:themeColor="text1"/>
                <w:sz w:val="24"/>
                <w:szCs w:val="24"/>
                <w:lang w:eastAsia="zh-CN"/>
              </w:rPr>
              <w:t>生产</w:t>
            </w:r>
            <w:r>
              <w:rPr>
                <w:rFonts w:ascii="Times New Roman" w:hAnsi="Times New Roman"/>
                <w:color w:val="000000" w:themeColor="text1"/>
                <w:sz w:val="24"/>
                <w:szCs w:val="24"/>
              </w:rPr>
              <w:t>运行</w:t>
            </w:r>
            <w:r>
              <w:rPr>
                <w:rFonts w:hint="eastAsia" w:ascii="Times New Roman" w:hAnsi="Times New Roman"/>
                <w:color w:val="000000" w:themeColor="text1"/>
                <w:sz w:val="24"/>
                <w:szCs w:val="24"/>
                <w:lang w:eastAsia="zh-CN"/>
              </w:rPr>
              <w:t>设备</w:t>
            </w:r>
            <w:r>
              <w:rPr>
                <w:rFonts w:hint="eastAsia" w:ascii="Times New Roman" w:hAnsi="Times New Roman"/>
                <w:color w:val="000000" w:themeColor="text1"/>
                <w:sz w:val="24"/>
                <w:szCs w:val="24"/>
              </w:rPr>
              <w:t>产生的噪声。</w:t>
            </w:r>
          </w:p>
          <w:p>
            <w:pPr>
              <w:spacing w:line="460" w:lineRule="exact"/>
              <w:ind w:firstLine="480" w:firstLineChars="200"/>
              <w:rPr>
                <w:rFonts w:ascii="Times New Roman" w:hAnsi="Times New Roman"/>
                <w:color w:val="000000" w:themeColor="text1"/>
                <w:sz w:val="24"/>
                <w:szCs w:val="24"/>
              </w:rPr>
            </w:pPr>
            <w:r>
              <w:rPr>
                <w:rFonts w:ascii="Times New Roman" w:hAnsi="Times New Roman"/>
                <w:color w:val="000000" w:themeColor="text1"/>
                <w:sz w:val="24"/>
                <w:szCs w:val="24"/>
              </w:rPr>
              <w:t>（2）处理措施：选用了低噪声</w:t>
            </w:r>
            <w:r>
              <w:rPr>
                <w:rFonts w:hint="eastAsia" w:ascii="Times New Roman" w:hAnsi="Times New Roman"/>
                <w:color w:val="000000" w:themeColor="text1"/>
                <w:sz w:val="24"/>
                <w:szCs w:val="24"/>
                <w:lang w:eastAsia="zh-CN"/>
              </w:rPr>
              <w:t>设备</w:t>
            </w:r>
            <w:r>
              <w:rPr>
                <w:rFonts w:ascii="Times New Roman" w:hAnsi="Times New Roman"/>
                <w:color w:val="000000" w:themeColor="text1"/>
                <w:sz w:val="24"/>
                <w:szCs w:val="24"/>
              </w:rPr>
              <w:t>，并设置了减振垫减少噪声对周边环境的影响</w:t>
            </w:r>
            <w:r>
              <w:rPr>
                <w:rFonts w:hint="eastAsia" w:ascii="Times New Roman" w:hAnsi="Times New Roman"/>
                <w:color w:val="000000" w:themeColor="text1"/>
                <w:sz w:val="24"/>
                <w:szCs w:val="24"/>
              </w:rPr>
              <w:t>。</w:t>
            </w:r>
          </w:p>
          <w:p>
            <w:pPr>
              <w:tabs>
                <w:tab w:val="left" w:pos="5565"/>
              </w:tabs>
              <w:spacing w:line="360" w:lineRule="auto"/>
              <w:ind w:firstLine="600" w:firstLineChars="250"/>
              <w:rPr>
                <w:rFonts w:ascii="Times New Roman" w:hAnsi="Times New Roman"/>
                <w:color w:val="000000" w:themeColor="text1"/>
                <w:sz w:val="24"/>
                <w:szCs w:val="24"/>
              </w:rPr>
            </w:pPr>
            <w:r>
              <w:rPr>
                <w:rFonts w:ascii="Times New Roman" w:hAnsi="Times New Roman"/>
                <w:color w:val="000000" w:themeColor="text1"/>
                <w:sz w:val="24"/>
                <w:szCs w:val="24"/>
              </w:rPr>
              <w:t>4、固体废物</w:t>
            </w:r>
          </w:p>
          <w:p>
            <w:pPr>
              <w:autoSpaceDN w:val="0"/>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本项目产生的固体废弃物主要有生活垃圾、一般工业固废</w:t>
            </w:r>
            <w:r>
              <w:rPr>
                <w:rFonts w:hint="eastAsia" w:ascii="宋体" w:hAnsi="宋体" w:eastAsia="宋体" w:cs="宋体"/>
                <w:color w:val="000000" w:themeColor="text1"/>
                <w:sz w:val="24"/>
                <w:szCs w:val="24"/>
                <w:lang w:eastAsia="zh-CN"/>
              </w:rPr>
              <w:t>、危险废物（</w:t>
            </w:r>
            <w:r>
              <w:rPr>
                <w:rFonts w:hint="eastAsia" w:hAnsi="宋体"/>
                <w:color w:val="000000" w:themeColor="text1"/>
                <w:sz w:val="24"/>
                <w:szCs w:val="24"/>
              </w:rPr>
              <w:t>废油渣</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w:t>
            </w:r>
          </w:p>
          <w:p>
            <w:pPr>
              <w:autoSpaceDN w:val="0"/>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（1）生活垃圾</w:t>
            </w:r>
          </w:p>
          <w:p>
            <w:pPr>
              <w:autoSpaceDN w:val="0"/>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员工生活垃圾委托环卫部门处理。</w:t>
            </w:r>
          </w:p>
          <w:p>
            <w:pPr>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（2）一般工业固废</w:t>
            </w:r>
          </w:p>
          <w:p>
            <w:pPr>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lang w:eastAsia="zh-CN"/>
              </w:rPr>
              <w:t>本项目</w:t>
            </w:r>
            <w:r>
              <w:rPr>
                <w:rFonts w:hint="eastAsia" w:ascii="宋体" w:hAnsi="宋体" w:eastAsia="宋体" w:cs="宋体"/>
                <w:color w:val="000000" w:themeColor="text1"/>
                <w:sz w:val="24"/>
                <w:szCs w:val="24"/>
              </w:rPr>
              <w:t>一般工业固废</w:t>
            </w:r>
            <w:r>
              <w:rPr>
                <w:rFonts w:hint="eastAsia" w:ascii="宋体" w:hAnsi="宋体" w:eastAsia="宋体" w:cs="宋体"/>
                <w:color w:val="000000" w:themeColor="text1"/>
                <w:sz w:val="24"/>
                <w:szCs w:val="24"/>
                <w:lang w:eastAsia="zh-CN"/>
              </w:rPr>
              <w:t>交</w:t>
            </w:r>
            <w:r>
              <w:rPr>
                <w:rFonts w:hint="eastAsia" w:ascii="宋体" w:hAnsi="宋体" w:eastAsia="宋体" w:cs="宋体"/>
                <w:color w:val="000000" w:themeColor="text1"/>
                <w:sz w:val="24"/>
                <w:szCs w:val="24"/>
              </w:rPr>
              <w:t>物资回收部门。</w:t>
            </w:r>
          </w:p>
          <w:p>
            <w:pPr>
              <w:ind w:firstLine="480" w:firstLineChars="200"/>
              <w:rPr>
                <w:rFonts w:hint="eastAsia" w:ascii="宋体" w:hAnsi="宋体" w:eastAsia="宋体" w:cs="宋体"/>
                <w:color w:val="000000" w:themeColor="text1"/>
                <w:sz w:val="24"/>
                <w:szCs w:val="24"/>
                <w:lang w:eastAsia="zh-CN"/>
              </w:rPr>
            </w:pPr>
            <w:r>
              <w:rPr>
                <w:rFonts w:hint="eastAsia" w:ascii="宋体" w:hAnsi="宋体" w:eastAsia="宋体" w:cs="宋体"/>
                <w:color w:val="000000" w:themeColor="text1"/>
                <w:sz w:val="24"/>
                <w:szCs w:val="24"/>
              </w:rPr>
              <w:t>（</w:t>
            </w:r>
            <w:r>
              <w:rPr>
                <w:rFonts w:hint="eastAsia" w:ascii="宋体" w:hAnsi="宋体" w:eastAsia="宋体" w:cs="宋体"/>
                <w:color w:val="000000" w:themeColor="text1"/>
                <w:sz w:val="24"/>
                <w:szCs w:val="24"/>
                <w:lang w:val="en-US" w:eastAsia="zh-CN"/>
              </w:rPr>
              <w:t>3</w:t>
            </w:r>
            <w:r>
              <w:rPr>
                <w:rFonts w:hint="eastAsia" w:ascii="宋体" w:hAnsi="宋体" w:eastAsia="宋体" w:cs="宋体"/>
                <w:color w:val="000000" w:themeColor="text1"/>
                <w:sz w:val="24"/>
                <w:szCs w:val="24"/>
              </w:rPr>
              <w:t>）</w:t>
            </w:r>
            <w:r>
              <w:rPr>
                <w:rFonts w:hint="eastAsia" w:ascii="宋体" w:hAnsi="宋体" w:eastAsia="宋体" w:cs="宋体"/>
                <w:color w:val="000000" w:themeColor="text1"/>
                <w:sz w:val="24"/>
                <w:szCs w:val="24"/>
                <w:lang w:eastAsia="zh-CN"/>
              </w:rPr>
              <w:t>危险废物</w:t>
            </w:r>
          </w:p>
          <w:p>
            <w:pPr>
              <w:ind w:firstLine="480" w:firstLineChars="200"/>
              <w:rPr>
                <w:rFonts w:ascii="Times New Roman" w:hAnsi="Times New Roman"/>
                <w:color w:val="FF0000"/>
              </w:rPr>
            </w:pPr>
            <w:r>
              <w:rPr>
                <w:rFonts w:hint="eastAsia" w:ascii="宋体" w:hAnsi="宋体" w:eastAsia="宋体" w:cs="宋体"/>
                <w:color w:val="000000" w:themeColor="text1"/>
                <w:sz w:val="24"/>
                <w:szCs w:val="24"/>
                <w:lang w:eastAsia="zh-CN"/>
              </w:rPr>
              <w:t>本项目危险废物主要有</w:t>
            </w:r>
            <w:r>
              <w:rPr>
                <w:rFonts w:hint="eastAsia" w:hAnsi="宋体"/>
                <w:color w:val="000000" w:themeColor="text1"/>
                <w:sz w:val="24"/>
                <w:szCs w:val="24"/>
              </w:rPr>
              <w:t>废油渣</w:t>
            </w:r>
            <w:r>
              <w:rPr>
                <w:rFonts w:hint="eastAsia" w:ascii="宋体" w:hAnsi="宋体" w:eastAsia="宋体" w:cs="宋体"/>
                <w:color w:val="000000" w:themeColor="text1"/>
                <w:sz w:val="24"/>
                <w:szCs w:val="24"/>
                <w:lang w:val="en-US" w:eastAsia="zh-CN"/>
              </w:rPr>
              <w:t>，</w:t>
            </w:r>
            <w:r>
              <w:rPr>
                <w:rFonts w:hint="eastAsia" w:ascii="宋体" w:hAnsi="宋体" w:eastAsia="宋体" w:cs="宋体"/>
                <w:color w:val="000000" w:themeColor="text1"/>
                <w:sz w:val="24"/>
                <w:szCs w:val="24"/>
                <w:lang w:eastAsia="zh-CN"/>
              </w:rPr>
              <w:t>全部</w:t>
            </w:r>
            <w:r>
              <w:rPr>
                <w:rFonts w:hint="eastAsia" w:ascii="宋体" w:hAnsi="宋体" w:eastAsia="宋体" w:cs="宋体"/>
                <w:color w:val="000000" w:themeColor="text1"/>
                <w:sz w:val="24"/>
                <w:szCs w:val="24"/>
                <w:lang w:val="en-US" w:eastAsia="zh-CN"/>
              </w:rPr>
              <w:t>交有资质的单位处理，并签订合同</w:t>
            </w:r>
            <w:r>
              <w:rPr>
                <w:rFonts w:hint="eastAsia" w:ascii="宋体" w:hAnsi="宋体" w:eastAsia="宋体" w:cs="宋体"/>
                <w:color w:val="FF0000"/>
                <w:sz w:val="24"/>
                <w:szCs w:val="24"/>
              </w:rPr>
              <w:t>。</w:t>
            </w:r>
          </w:p>
          <w:p>
            <w:pPr>
              <w:pStyle w:val="25"/>
              <w:rPr>
                <w:rFonts w:hint="eastAsia" w:ascii="Times New Roman" w:hAnsi="Times New Roman"/>
                <w:bCs/>
              </w:rPr>
            </w:pPr>
            <w:r>
              <w:rPr>
                <w:rFonts w:ascii="Times New Roman" w:hAnsi="Times New Roman"/>
              </w:rPr>
              <w:pict>
                <v:rect id="_x0000_s2141" o:spid="_x0000_s2141" o:spt="1" style="position:absolute;left:0pt;margin-left:365.2pt;margin-top:1.3pt;height:90.2pt;width:22.75pt;z-index:251706368;mso-width-relative:page;mso-height-relative:page;" filled="f" stroked="f" coordsize="21600,21600">
                  <v:path/>
                  <v:fill on="f" focussize="0,0"/>
                  <v:stroke on="f" weight="0.5pt"/>
                  <v:imagedata o:title=""/>
                  <o:lock v:ext="edit" aspectratio="f"/>
                  <v:textbox>
                    <w:txbxContent>
                      <w:p>
                        <w:pPr>
                          <w:rPr>
                            <w:rFonts w:hint="eastAsia"/>
                            <w:b/>
                            <w:bCs/>
                          </w:rPr>
                        </w:pPr>
                      </w:p>
                    </w:txbxContent>
                  </v:textbox>
                </v:rect>
              </w:pict>
            </w:r>
            <w:r>
              <w:rPr>
                <w:rFonts w:ascii="Times New Roman" w:hAnsi="Times New Roman"/>
              </w:rPr>
              <w:pict>
                <v:rect id="_x0000_s2142" o:spid="_x0000_s2142" o:spt="1" style="position:absolute;left:0pt;margin-left:249.45pt;margin-top:11.85pt;height:28.9pt;width:38.7pt;z-index:251740160;mso-width-relative:page;mso-height-relative:page;" filled="f" stroked="f" coordsize="21600,21600">
                  <v:path/>
                  <v:fill on="f" focussize="0,0"/>
                  <v:stroke on="f" weight="0.5pt"/>
                  <v:imagedata o:title=""/>
                  <o:lock v:ext="edit" aspectratio="f"/>
                  <v:textbox>
                    <w:txbxContent>
                      <w:p>
                        <w:pPr>
                          <w:rPr>
                            <w:rFonts w:hint="eastAsia"/>
                            <w:b/>
                            <w:bCs/>
                          </w:rPr>
                        </w:pPr>
                      </w:p>
                    </w:txbxContent>
                  </v:textbox>
                </v:rect>
              </w:pict>
            </w:r>
          </w:p>
        </w:tc>
      </w:tr>
    </w:tbl>
    <w:p>
      <w:pPr>
        <w:pStyle w:val="25"/>
        <w:ind w:firstLine="482" w:firstLineChars="200"/>
        <w:rPr>
          <w:rFonts w:hint="eastAsia"/>
          <w:b/>
          <w:bCs/>
        </w:rPr>
      </w:pPr>
    </w:p>
    <w:p>
      <w:pPr>
        <w:pStyle w:val="25"/>
        <w:ind w:firstLine="482" w:firstLineChars="200"/>
        <w:rPr>
          <w:b/>
          <w:bCs/>
        </w:rPr>
      </w:pPr>
      <w:r>
        <w:rPr>
          <w:rFonts w:hint="eastAsia"/>
          <w:b/>
          <w:bCs/>
        </w:rPr>
        <w:t>表四 建设项目环境影响报告表主要结论及审批部门审批决定</w:t>
      </w:r>
    </w:p>
    <w:tbl>
      <w:tblPr>
        <w:tblStyle w:val="20"/>
        <w:tblW w:w="92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5" w:hRule="atLeast"/>
          <w:jc w:val="center"/>
        </w:trPr>
        <w:tc>
          <w:tcPr>
            <w:tcW w:w="9243" w:type="dxa"/>
            <w:noWrap w:val="0"/>
            <w:vAlign w:val="top"/>
          </w:tcPr>
          <w:p>
            <w:pPr>
              <w:numPr>
                <w:ilvl w:val="0"/>
                <w:numId w:val="0"/>
              </w:numPr>
              <w:spacing w:line="360" w:lineRule="auto"/>
              <w:rPr>
                <w:rFonts w:hint="eastAsia" w:ascii="Times New Roman" w:hAnsi="Times New Roman"/>
                <w:b/>
                <w:bCs/>
                <w:sz w:val="24"/>
              </w:rPr>
            </w:pPr>
            <w:r>
              <w:rPr>
                <w:rFonts w:hint="eastAsia" w:ascii="Times New Roman" w:hAnsi="Times New Roman"/>
                <w:b/>
                <w:bCs/>
                <w:sz w:val="24"/>
              </w:rPr>
              <w:t>建设项目环境影响报告表主要结论（摘录于本项目环评报告）</w:t>
            </w:r>
          </w:p>
          <w:p>
            <w:pPr>
              <w:tabs>
                <w:tab w:val="left" w:pos="3129"/>
              </w:tabs>
              <w:spacing w:line="360" w:lineRule="auto"/>
              <w:rPr>
                <w:rFonts w:ascii="黑体" w:eastAsia="黑体"/>
                <w:bCs/>
                <w:sz w:val="28"/>
                <w:szCs w:val="28"/>
              </w:rPr>
            </w:pPr>
            <w:r>
              <w:rPr>
                <w:rFonts w:hint="eastAsia" w:ascii="黑体" w:eastAsia="黑体"/>
                <w:bCs/>
                <w:sz w:val="28"/>
                <w:szCs w:val="28"/>
              </w:rPr>
              <w:t>结论</w:t>
            </w:r>
          </w:p>
          <w:p>
            <w:pPr>
              <w:spacing w:line="360" w:lineRule="auto"/>
              <w:rPr>
                <w:b/>
                <w:bCs/>
                <w:sz w:val="24"/>
              </w:rPr>
            </w:pPr>
            <w:r>
              <w:rPr>
                <w:rFonts w:hint="eastAsia"/>
                <w:b/>
                <w:bCs/>
                <w:sz w:val="24"/>
              </w:rPr>
              <w:t>1.</w:t>
            </w:r>
            <w:r>
              <w:rPr>
                <w:b/>
                <w:bCs/>
                <w:sz w:val="24"/>
              </w:rPr>
              <w:t>产业政策</w:t>
            </w:r>
            <w:r>
              <w:rPr>
                <w:rFonts w:hint="eastAsia"/>
                <w:b/>
                <w:bCs/>
                <w:sz w:val="24"/>
              </w:rPr>
              <w:t>及选址</w:t>
            </w:r>
            <w:r>
              <w:rPr>
                <w:b/>
                <w:bCs/>
                <w:sz w:val="24"/>
              </w:rPr>
              <w:t>合理性分析</w:t>
            </w:r>
          </w:p>
          <w:p>
            <w:pPr>
              <w:spacing w:line="360" w:lineRule="auto"/>
              <w:ind w:firstLine="480"/>
              <w:rPr>
                <w:rFonts w:hAnsi="宋体"/>
                <w:sz w:val="24"/>
              </w:rPr>
            </w:pPr>
            <w:r>
              <w:rPr>
                <w:rFonts w:hAnsi="宋体"/>
                <w:sz w:val="24"/>
              </w:rPr>
              <w:t>1</w:t>
            </w:r>
            <w:r>
              <w:rPr>
                <w:rFonts w:hint="eastAsia" w:hAnsi="宋体"/>
                <w:sz w:val="24"/>
              </w:rPr>
              <w:t>、与《产业结构调整指导目录（</w:t>
            </w:r>
            <w:r>
              <w:rPr>
                <w:rFonts w:hAnsi="宋体"/>
                <w:sz w:val="24"/>
              </w:rPr>
              <w:t xml:space="preserve">2011 </w:t>
            </w:r>
            <w:r>
              <w:rPr>
                <w:rFonts w:hint="eastAsia" w:hAnsi="宋体"/>
                <w:sz w:val="24"/>
              </w:rPr>
              <w:t>年本）（</w:t>
            </w:r>
            <w:r>
              <w:rPr>
                <w:rFonts w:hAnsi="宋体"/>
                <w:sz w:val="24"/>
              </w:rPr>
              <w:t xml:space="preserve">2013 </w:t>
            </w:r>
            <w:r>
              <w:rPr>
                <w:rFonts w:hint="eastAsia" w:hAnsi="宋体"/>
                <w:sz w:val="24"/>
              </w:rPr>
              <w:t>年修正）》的符合性</w:t>
            </w:r>
          </w:p>
          <w:p>
            <w:pPr>
              <w:spacing w:line="360" w:lineRule="auto"/>
              <w:ind w:firstLine="480"/>
              <w:rPr>
                <w:rFonts w:hAnsi="宋体"/>
                <w:sz w:val="24"/>
              </w:rPr>
            </w:pPr>
            <w:r>
              <w:rPr>
                <w:rFonts w:hint="eastAsia" w:hAnsi="宋体"/>
                <w:sz w:val="24"/>
              </w:rPr>
              <w:t>本项目不属于中华人民共和国国家发展和改革委员会</w:t>
            </w:r>
            <w:r>
              <w:rPr>
                <w:rFonts w:hAnsi="宋体"/>
                <w:sz w:val="24"/>
              </w:rPr>
              <w:t xml:space="preserve">2013 </w:t>
            </w:r>
            <w:r>
              <w:rPr>
                <w:rFonts w:hint="eastAsia" w:hAnsi="宋体"/>
                <w:sz w:val="24"/>
              </w:rPr>
              <w:t>年第</w:t>
            </w:r>
            <w:r>
              <w:rPr>
                <w:rFonts w:hAnsi="宋体"/>
                <w:sz w:val="24"/>
              </w:rPr>
              <w:t xml:space="preserve">21 </w:t>
            </w:r>
            <w:r>
              <w:rPr>
                <w:rFonts w:hint="eastAsia" w:hAnsi="宋体"/>
                <w:sz w:val="24"/>
              </w:rPr>
              <w:t>号令《产业结构调整指导目录（</w:t>
            </w:r>
            <w:r>
              <w:rPr>
                <w:rFonts w:hAnsi="宋体"/>
                <w:sz w:val="24"/>
              </w:rPr>
              <w:t xml:space="preserve">2011 </w:t>
            </w:r>
            <w:r>
              <w:rPr>
                <w:rFonts w:hint="eastAsia" w:hAnsi="宋体"/>
                <w:sz w:val="24"/>
              </w:rPr>
              <w:t>年本）（</w:t>
            </w:r>
            <w:r>
              <w:rPr>
                <w:rFonts w:hAnsi="宋体"/>
                <w:sz w:val="24"/>
              </w:rPr>
              <w:t xml:space="preserve">2013 </w:t>
            </w:r>
            <w:r>
              <w:rPr>
                <w:rFonts w:hint="eastAsia" w:hAnsi="宋体"/>
                <w:sz w:val="24"/>
              </w:rPr>
              <w:t>年修正）》中的“鼓励类”、“限制类”和“淘汰类”。根据国务院关于发布实施《促进产业结构调整暂行规定》的决定（国发</w:t>
            </w:r>
            <w:r>
              <w:rPr>
                <w:rFonts w:hAnsi="宋体"/>
                <w:sz w:val="24"/>
              </w:rPr>
              <w:t xml:space="preserve">[2005]40 </w:t>
            </w:r>
            <w:r>
              <w:rPr>
                <w:rFonts w:hint="eastAsia" w:hAnsi="宋体"/>
                <w:sz w:val="24"/>
              </w:rPr>
              <w:t>号）第十三条规定：不属于鼓励类、限制类和淘汰类，且符合国家有关法律、法规和政策规定的，为允许类。因此，该项目属于允许类，符合国家现行产业政策。</w:t>
            </w:r>
          </w:p>
          <w:p>
            <w:pPr>
              <w:spacing w:line="360" w:lineRule="auto"/>
              <w:ind w:firstLine="480"/>
              <w:rPr>
                <w:rFonts w:hAnsi="宋体"/>
                <w:sz w:val="24"/>
              </w:rPr>
            </w:pPr>
            <w:r>
              <w:rPr>
                <w:rFonts w:hAnsi="宋体"/>
                <w:sz w:val="24"/>
              </w:rPr>
              <w:t>2</w:t>
            </w:r>
            <w:r>
              <w:rPr>
                <w:rFonts w:hint="eastAsia" w:hAnsi="宋体"/>
                <w:sz w:val="24"/>
              </w:rPr>
              <w:t>、与《天然气利用政策》的符合性</w:t>
            </w:r>
          </w:p>
          <w:p>
            <w:pPr>
              <w:spacing w:line="360" w:lineRule="auto"/>
              <w:ind w:firstLine="480"/>
              <w:rPr>
                <w:rFonts w:hAnsi="宋体"/>
                <w:sz w:val="24"/>
              </w:rPr>
            </w:pPr>
            <w:r>
              <w:rPr>
                <w:rFonts w:hint="eastAsia" w:hAnsi="宋体"/>
                <w:sz w:val="24"/>
              </w:rPr>
              <w:t>本项目建成后，主要为吉安市公交车、客运车、出租车和部分物流车辆提供天然气加气服务。属于《天然气利用政策》（国家发展和改革委员会</w:t>
            </w:r>
            <w:r>
              <w:rPr>
                <w:rFonts w:hAnsi="宋体"/>
                <w:sz w:val="24"/>
              </w:rPr>
              <w:t xml:space="preserve">2012 </w:t>
            </w:r>
            <w:r>
              <w:rPr>
                <w:rFonts w:hint="eastAsia" w:hAnsi="宋体"/>
                <w:sz w:val="24"/>
              </w:rPr>
              <w:t>年第</w:t>
            </w:r>
            <w:r>
              <w:rPr>
                <w:rFonts w:hAnsi="宋体"/>
                <w:sz w:val="24"/>
              </w:rPr>
              <w:t xml:space="preserve">15 </w:t>
            </w:r>
            <w:r>
              <w:rPr>
                <w:rFonts w:hint="eastAsia" w:hAnsi="宋体"/>
                <w:sz w:val="24"/>
              </w:rPr>
              <w:t>号令）中“第一类优先类城市燃气</w:t>
            </w:r>
            <w:r>
              <w:rPr>
                <w:rFonts w:hAnsi="宋体"/>
                <w:sz w:val="24"/>
              </w:rPr>
              <w:t xml:space="preserve"> 3</w:t>
            </w:r>
            <w:r>
              <w:rPr>
                <w:rFonts w:hint="eastAsia" w:hAnsi="宋体"/>
                <w:sz w:val="24"/>
              </w:rPr>
              <w:t>、天然气汽车（尤其是双燃料及液化天然气汽车），包括城市公交车、出租车、物流配送车、载客汽车、环卫车和载货汽车等以天然气为燃料的运输车辆”用气，符合天然气利用政策。</w:t>
            </w:r>
          </w:p>
          <w:p>
            <w:pPr>
              <w:spacing w:line="360" w:lineRule="auto"/>
              <w:ind w:firstLine="480"/>
              <w:rPr>
                <w:rFonts w:hAnsi="宋体"/>
                <w:sz w:val="24"/>
              </w:rPr>
            </w:pPr>
            <w:r>
              <w:rPr>
                <w:rFonts w:hint="eastAsia" w:hAnsi="宋体"/>
                <w:sz w:val="24"/>
              </w:rPr>
              <w:t>综上所述，本项目符合国家现行产业政策的要求。</w:t>
            </w:r>
          </w:p>
          <w:p>
            <w:pPr>
              <w:spacing w:line="360" w:lineRule="auto"/>
              <w:rPr>
                <w:b/>
                <w:bCs/>
                <w:sz w:val="24"/>
              </w:rPr>
            </w:pPr>
            <w:r>
              <w:rPr>
                <w:b/>
                <w:bCs/>
                <w:sz w:val="24"/>
              </w:rPr>
              <w:t>2.</w:t>
            </w:r>
            <w:r>
              <w:rPr>
                <w:rFonts w:hint="eastAsia"/>
                <w:b/>
                <w:bCs/>
                <w:sz w:val="24"/>
              </w:rPr>
              <w:t xml:space="preserve"> 选址合理性与规划相容性结论</w:t>
            </w:r>
          </w:p>
          <w:p>
            <w:pPr>
              <w:spacing w:line="360" w:lineRule="auto"/>
              <w:rPr>
                <w:sz w:val="24"/>
              </w:rPr>
            </w:pPr>
            <w:r>
              <w:rPr>
                <w:rFonts w:hint="eastAsia"/>
                <w:sz w:val="24"/>
              </w:rPr>
              <w:t xml:space="preserve">   加气站周边无自然保护区、风景名胜区和军事保护区等环境敏感点，与周围敏感建筑距离均满足《加油加气站设计与施工规范》（</w:t>
            </w:r>
            <w:r>
              <w:rPr>
                <w:sz w:val="24"/>
              </w:rPr>
              <w:t>GB50156-2012</w:t>
            </w:r>
            <w:r>
              <w:rPr>
                <w:rFonts w:hint="eastAsia"/>
                <w:sz w:val="24"/>
              </w:rPr>
              <w:t>）、《液化天然气汽车加气站技术规范》（</w:t>
            </w:r>
            <w:r>
              <w:rPr>
                <w:sz w:val="24"/>
              </w:rPr>
              <w:t>NB/T1001-2011</w:t>
            </w:r>
            <w:r>
              <w:rPr>
                <w:rFonts w:hint="eastAsia"/>
                <w:sz w:val="24"/>
              </w:rPr>
              <w:t>）防火间距要求。本项目所在地块用地性质为规划中的气化站用地。本项目为华润燃气气化站闲置空地建设，吉安市天然气有限公司（华润燃气有限公司收购）占地于</w:t>
            </w:r>
            <w:r>
              <w:rPr>
                <w:sz w:val="24"/>
              </w:rPr>
              <w:t>200</w:t>
            </w:r>
            <w:r>
              <w:rPr>
                <w:rFonts w:hint="eastAsia"/>
                <w:sz w:val="24"/>
              </w:rPr>
              <w:t>6</w:t>
            </w:r>
            <w:r>
              <w:rPr>
                <w:sz w:val="24"/>
              </w:rPr>
              <w:t xml:space="preserve"> </w:t>
            </w:r>
            <w:r>
              <w:rPr>
                <w:rFonts w:hint="eastAsia"/>
                <w:sz w:val="24"/>
              </w:rPr>
              <w:t>年取得了了国土证吉（州）国用【</w:t>
            </w:r>
            <w:r>
              <w:rPr>
                <w:sz w:val="24"/>
              </w:rPr>
              <w:t>20</w:t>
            </w:r>
            <w:r>
              <w:rPr>
                <w:rFonts w:hint="eastAsia"/>
                <w:sz w:val="24"/>
              </w:rPr>
              <w:t>06】第I-926</w:t>
            </w:r>
            <w:r>
              <w:rPr>
                <w:sz w:val="24"/>
              </w:rPr>
              <w:t xml:space="preserve"> </w:t>
            </w:r>
            <w:r>
              <w:rPr>
                <w:rFonts w:hint="eastAsia"/>
                <w:sz w:val="24"/>
              </w:rPr>
              <w:t>号），确定用地性质为工业用地</w:t>
            </w:r>
          </w:p>
          <w:p>
            <w:pPr>
              <w:spacing w:line="360" w:lineRule="auto"/>
              <w:ind w:firstLine="360" w:firstLineChars="150"/>
              <w:rPr>
                <w:sz w:val="24"/>
              </w:rPr>
            </w:pPr>
            <w:r>
              <w:rPr>
                <w:rFonts w:hint="eastAsia"/>
                <w:sz w:val="24"/>
              </w:rPr>
              <w:t>综上，本项目建设符合吉安市城市总体规划，选址合理可行。</w:t>
            </w:r>
          </w:p>
          <w:p>
            <w:pPr>
              <w:spacing w:line="360" w:lineRule="auto"/>
              <w:rPr>
                <w:rFonts w:ascii="黑体" w:eastAsia="黑体"/>
                <w:sz w:val="24"/>
              </w:rPr>
            </w:pPr>
            <w:r>
              <w:rPr>
                <w:rFonts w:hint="eastAsia" w:ascii="黑体" w:eastAsia="黑体"/>
                <w:sz w:val="24"/>
              </w:rPr>
              <w:t>3</w:t>
            </w:r>
            <w:r>
              <w:rPr>
                <w:rFonts w:ascii="黑体" w:eastAsia="黑体"/>
                <w:sz w:val="24"/>
              </w:rPr>
              <w:t>、环境现状</w:t>
            </w:r>
            <w:r>
              <w:rPr>
                <w:rFonts w:hint="eastAsia" w:ascii="黑体" w:eastAsia="黑体"/>
                <w:sz w:val="24"/>
              </w:rPr>
              <w:t>结论</w:t>
            </w:r>
          </w:p>
          <w:p>
            <w:pPr>
              <w:adjustRightInd w:val="0"/>
              <w:snapToGrid w:val="0"/>
              <w:spacing w:line="360" w:lineRule="auto"/>
              <w:ind w:firstLine="480" w:firstLineChars="200"/>
              <w:rPr>
                <w:rFonts w:hAnsi="宋体"/>
                <w:sz w:val="24"/>
              </w:rPr>
            </w:pPr>
            <w:r>
              <w:rPr>
                <w:rFonts w:hAnsi="宋体"/>
                <w:sz w:val="24"/>
              </w:rPr>
              <w:t>项目</w:t>
            </w:r>
            <w:r>
              <w:rPr>
                <w:rFonts w:hint="eastAsia" w:hAnsi="宋体"/>
                <w:sz w:val="24"/>
              </w:rPr>
              <w:t>所在地为工业区，</w:t>
            </w:r>
            <w:r>
              <w:rPr>
                <w:rFonts w:hAnsi="宋体"/>
                <w:sz w:val="24"/>
              </w:rPr>
              <w:t>周围环境质量现状良好，符合</w:t>
            </w:r>
            <w:r>
              <w:rPr>
                <w:rFonts w:hint="eastAsia" w:hAnsi="宋体"/>
                <w:sz w:val="24"/>
              </w:rPr>
              <w:t>工业区</w:t>
            </w:r>
            <w:r>
              <w:rPr>
                <w:rFonts w:hAnsi="宋体"/>
                <w:sz w:val="24"/>
              </w:rPr>
              <w:t>环境规划标准。</w:t>
            </w:r>
            <w:r>
              <w:rPr>
                <w:rFonts w:hint="eastAsia" w:hAnsi="宋体"/>
                <w:sz w:val="24"/>
              </w:rPr>
              <w:t>即：</w:t>
            </w:r>
          </w:p>
          <w:p>
            <w:pPr>
              <w:adjustRightInd w:val="0"/>
              <w:snapToGrid w:val="0"/>
              <w:spacing w:line="360" w:lineRule="auto"/>
              <w:ind w:firstLine="480" w:firstLineChars="200"/>
              <w:rPr>
                <w:sz w:val="24"/>
              </w:rPr>
            </w:pPr>
            <w:r>
              <w:rPr>
                <w:sz w:val="24"/>
              </w:rPr>
              <w:t>1、环境空气质量满足《环境空气质量标准》（GB3095-1996）中</w:t>
            </w:r>
            <w:r>
              <w:rPr>
                <w:rFonts w:hint="eastAsia"/>
                <w:sz w:val="24"/>
              </w:rPr>
              <w:t>二</w:t>
            </w:r>
            <w:r>
              <w:rPr>
                <w:sz w:val="24"/>
              </w:rPr>
              <w:t>级标准；</w:t>
            </w:r>
          </w:p>
          <w:p>
            <w:pPr>
              <w:adjustRightInd w:val="0"/>
              <w:snapToGrid w:val="0"/>
              <w:spacing w:line="360" w:lineRule="auto"/>
              <w:ind w:firstLine="480" w:firstLineChars="200"/>
              <w:rPr>
                <w:sz w:val="24"/>
              </w:rPr>
            </w:pPr>
            <w:r>
              <w:rPr>
                <w:sz w:val="24"/>
              </w:rPr>
              <w:t>2、地表水环境质量满足《地表水环境质量标准》（GB3838-2002）Ⅲ类标准要求</w:t>
            </w:r>
            <w:r>
              <w:rPr>
                <w:rFonts w:hint="eastAsia"/>
                <w:sz w:val="24"/>
              </w:rPr>
              <w:t>；</w:t>
            </w:r>
          </w:p>
          <w:p>
            <w:pPr>
              <w:adjustRightInd w:val="0"/>
              <w:snapToGrid w:val="0"/>
              <w:spacing w:line="360" w:lineRule="auto"/>
              <w:ind w:firstLine="480" w:firstLineChars="200"/>
              <w:rPr>
                <w:sz w:val="24"/>
              </w:rPr>
            </w:pPr>
            <w:r>
              <w:rPr>
                <w:sz w:val="24"/>
              </w:rPr>
              <w:t>3、声环境满足《声环境质量标准》（GB3096-2008）</w:t>
            </w:r>
            <w:r>
              <w:rPr>
                <w:rFonts w:hint="eastAsia"/>
                <w:sz w:val="24"/>
              </w:rPr>
              <w:t>2</w:t>
            </w:r>
            <w:r>
              <w:rPr>
                <w:sz w:val="24"/>
              </w:rPr>
              <w:t>类区标准</w:t>
            </w:r>
            <w:r>
              <w:rPr>
                <w:rFonts w:hint="eastAsia"/>
                <w:sz w:val="24"/>
              </w:rPr>
              <w:t>。</w:t>
            </w:r>
          </w:p>
          <w:p>
            <w:pPr>
              <w:spacing w:line="360" w:lineRule="auto"/>
              <w:rPr>
                <w:rFonts w:ascii="黑体" w:eastAsia="黑体"/>
                <w:sz w:val="24"/>
              </w:rPr>
            </w:pPr>
            <w:r>
              <w:rPr>
                <w:rFonts w:hint="eastAsia" w:ascii="黑体" w:eastAsia="黑体"/>
                <w:sz w:val="24"/>
              </w:rPr>
              <w:t>4</w:t>
            </w:r>
            <w:r>
              <w:rPr>
                <w:rFonts w:ascii="黑体" w:eastAsia="黑体"/>
                <w:sz w:val="24"/>
              </w:rPr>
              <w:t>、环境影响分析结论</w:t>
            </w:r>
          </w:p>
          <w:p>
            <w:pPr>
              <w:spacing w:line="360" w:lineRule="auto"/>
              <w:ind w:firstLine="470" w:firstLineChars="196"/>
              <w:rPr>
                <w:bCs/>
                <w:sz w:val="24"/>
              </w:rPr>
            </w:pPr>
            <w:r>
              <w:rPr>
                <w:bCs/>
                <w:sz w:val="24"/>
              </w:rPr>
              <w:fldChar w:fldCharType="begin"/>
            </w:r>
            <w:r>
              <w:rPr>
                <w:bCs/>
                <w:sz w:val="24"/>
              </w:rPr>
              <w:instrText xml:space="preserve"> = 1 \* GB3 </w:instrText>
            </w:r>
            <w:r>
              <w:rPr>
                <w:bCs/>
                <w:sz w:val="24"/>
              </w:rPr>
              <w:fldChar w:fldCharType="separate"/>
            </w:r>
            <w:r>
              <w:rPr>
                <w:rFonts w:hAnsi="宋体"/>
                <w:bCs/>
                <w:sz w:val="24"/>
              </w:rPr>
              <w:t>①</w:t>
            </w:r>
            <w:r>
              <w:rPr>
                <w:bCs/>
                <w:sz w:val="24"/>
              </w:rPr>
              <w:fldChar w:fldCharType="end"/>
            </w:r>
            <w:r>
              <w:rPr>
                <w:bCs/>
                <w:sz w:val="24"/>
              </w:rPr>
              <w:t xml:space="preserve"> </w:t>
            </w:r>
            <w:r>
              <w:rPr>
                <w:rFonts w:hAnsi="宋体"/>
                <w:bCs/>
                <w:sz w:val="24"/>
              </w:rPr>
              <w:t>项目施工期对环境的影响</w:t>
            </w:r>
          </w:p>
          <w:p>
            <w:pPr>
              <w:spacing w:line="360" w:lineRule="auto"/>
              <w:ind w:firstLine="480" w:firstLineChars="200"/>
              <w:rPr>
                <w:rFonts w:hAnsi="宋体"/>
                <w:sz w:val="24"/>
              </w:rPr>
            </w:pPr>
            <w:r>
              <w:rPr>
                <w:rFonts w:hAnsi="宋体"/>
                <w:sz w:val="24"/>
              </w:rPr>
              <w:t>1、施工噪声</w:t>
            </w:r>
          </w:p>
          <w:p>
            <w:pPr>
              <w:spacing w:line="360" w:lineRule="auto"/>
              <w:ind w:firstLine="480" w:firstLineChars="200"/>
              <w:rPr>
                <w:rFonts w:hAnsi="宋体"/>
                <w:sz w:val="24"/>
              </w:rPr>
            </w:pPr>
            <w:r>
              <w:rPr>
                <w:rFonts w:hAnsi="宋体"/>
                <w:sz w:val="24"/>
              </w:rPr>
              <w:t>本项目施工噪声主要来源于施工作业机械，如</w:t>
            </w:r>
            <w:r>
              <w:rPr>
                <w:rFonts w:hint="eastAsia" w:hAnsi="宋体"/>
                <w:sz w:val="24"/>
              </w:rPr>
              <w:t>打桩、</w:t>
            </w:r>
            <w:r>
              <w:rPr>
                <w:rFonts w:hAnsi="宋体"/>
                <w:sz w:val="24"/>
              </w:rPr>
              <w:t>挖土机、卡车、推土机、振捣棒、吊车等使用时产生的设备噪声。建设单位在切实落实环评中提出的防治措施后，本项目施工噪声对于环境影响轻微。</w:t>
            </w:r>
          </w:p>
          <w:p>
            <w:pPr>
              <w:spacing w:line="360" w:lineRule="auto"/>
              <w:ind w:firstLine="480" w:firstLineChars="200"/>
              <w:rPr>
                <w:rFonts w:hAnsi="宋体"/>
                <w:sz w:val="24"/>
              </w:rPr>
            </w:pPr>
            <w:r>
              <w:rPr>
                <w:rFonts w:hAnsi="宋体"/>
                <w:sz w:val="24"/>
              </w:rPr>
              <w:t>2、扬尘影响</w:t>
            </w:r>
          </w:p>
          <w:p>
            <w:pPr>
              <w:spacing w:line="360" w:lineRule="auto"/>
              <w:ind w:firstLine="480" w:firstLineChars="200"/>
              <w:rPr>
                <w:rFonts w:hAnsi="宋体"/>
                <w:sz w:val="24"/>
              </w:rPr>
            </w:pPr>
            <w:r>
              <w:rPr>
                <w:rFonts w:hAnsi="宋体"/>
                <w:sz w:val="24"/>
              </w:rPr>
              <w:t>扬尘污染是施工期对环境造成的较大污染之一，本评价建议定期清扫施工场地的洒落物，采取洒水抑尘措施，同时控制进出车辆车速，减少施工场地和道路扬尘的污染。建设单位按照相关措施施行后，施工扬尘对于环境影响不明显。</w:t>
            </w:r>
          </w:p>
          <w:p>
            <w:pPr>
              <w:spacing w:line="360" w:lineRule="auto"/>
              <w:ind w:firstLine="480" w:firstLineChars="200"/>
              <w:rPr>
                <w:rFonts w:hAnsi="宋体"/>
                <w:sz w:val="24"/>
              </w:rPr>
            </w:pPr>
            <w:r>
              <w:rPr>
                <w:rFonts w:hAnsi="宋体"/>
                <w:sz w:val="24"/>
              </w:rPr>
              <w:t>3、固废影响</w:t>
            </w:r>
          </w:p>
          <w:p>
            <w:pPr>
              <w:spacing w:line="360" w:lineRule="auto"/>
              <w:ind w:firstLine="480" w:firstLineChars="200"/>
              <w:rPr>
                <w:rFonts w:hAnsi="宋体"/>
                <w:sz w:val="24"/>
              </w:rPr>
            </w:pPr>
            <w:r>
              <w:rPr>
                <w:rFonts w:hAnsi="宋体"/>
                <w:sz w:val="24"/>
              </w:rPr>
              <w:t>施工弃渣是施工期固体废弃物的主要来源，同时还有一部分生活垃圾，统一收集之后交由相关部门处理，可以避免施工固废带来的环境影响。</w:t>
            </w:r>
          </w:p>
          <w:p>
            <w:pPr>
              <w:spacing w:line="360" w:lineRule="auto"/>
              <w:ind w:firstLine="480" w:firstLineChars="200"/>
              <w:rPr>
                <w:rFonts w:hAnsi="宋体"/>
                <w:sz w:val="24"/>
              </w:rPr>
            </w:pPr>
            <w:r>
              <w:rPr>
                <w:rFonts w:hAnsi="宋体"/>
                <w:sz w:val="24"/>
              </w:rPr>
              <w:t>4、施工废水</w:t>
            </w:r>
          </w:p>
          <w:p>
            <w:pPr>
              <w:spacing w:line="360" w:lineRule="auto"/>
              <w:ind w:firstLine="480" w:firstLineChars="200"/>
              <w:rPr>
                <w:rFonts w:hAnsi="宋体"/>
                <w:sz w:val="24"/>
              </w:rPr>
            </w:pPr>
            <w:r>
              <w:rPr>
                <w:rFonts w:hAnsi="宋体"/>
                <w:sz w:val="24"/>
              </w:rPr>
              <w:t>本项目施工废水主要是设备清洗水和生活污水，施工过程中建设单位应该确保临时化粪池和沉淀池的正常运行，经过相关处理之后，施工废水对于周边环境影响轻微。</w:t>
            </w:r>
          </w:p>
          <w:p>
            <w:pPr>
              <w:spacing w:line="360" w:lineRule="auto"/>
              <w:ind w:firstLine="470" w:firstLineChars="196"/>
              <w:rPr>
                <w:rFonts w:ascii="宋体" w:hAnsi="宋体"/>
                <w:bCs/>
                <w:sz w:val="24"/>
              </w:rPr>
            </w:pPr>
            <w:r>
              <w:rPr>
                <w:rFonts w:ascii="宋体" w:hAnsi="宋体"/>
                <w:bCs/>
                <w:sz w:val="24"/>
              </w:rPr>
              <w:fldChar w:fldCharType="begin"/>
            </w:r>
            <w:r>
              <w:rPr>
                <w:rFonts w:ascii="宋体" w:hAnsi="宋体"/>
                <w:bCs/>
                <w:sz w:val="24"/>
              </w:rPr>
              <w:instrText xml:space="preserve"> </w:instrText>
            </w:r>
            <w:r>
              <w:rPr>
                <w:rFonts w:hint="eastAsia" w:ascii="宋体" w:hAnsi="宋体"/>
                <w:bCs/>
                <w:sz w:val="24"/>
              </w:rPr>
              <w:instrText xml:space="preserve">= 2 \* GB3</w:instrText>
            </w:r>
            <w:r>
              <w:rPr>
                <w:rFonts w:ascii="宋体" w:hAnsi="宋体"/>
                <w:bCs/>
                <w:sz w:val="24"/>
              </w:rPr>
              <w:instrText xml:space="preserve"> </w:instrText>
            </w:r>
            <w:r>
              <w:rPr>
                <w:rFonts w:ascii="宋体" w:hAnsi="宋体"/>
                <w:bCs/>
                <w:sz w:val="24"/>
              </w:rPr>
              <w:fldChar w:fldCharType="separate"/>
            </w:r>
            <w:r>
              <w:rPr>
                <w:rFonts w:hint="eastAsia" w:ascii="宋体" w:hAnsi="宋体"/>
                <w:bCs/>
                <w:sz w:val="24"/>
              </w:rPr>
              <w:t>②</w:t>
            </w:r>
            <w:r>
              <w:rPr>
                <w:rFonts w:ascii="宋体" w:hAnsi="宋体"/>
                <w:bCs/>
                <w:sz w:val="24"/>
              </w:rPr>
              <w:fldChar w:fldCharType="end"/>
            </w:r>
            <w:r>
              <w:rPr>
                <w:rFonts w:hint="eastAsia" w:ascii="宋体" w:hAnsi="宋体"/>
                <w:bCs/>
                <w:sz w:val="24"/>
              </w:rPr>
              <w:t xml:space="preserve"> 项目运营期对环境的影响</w:t>
            </w:r>
          </w:p>
          <w:p>
            <w:pPr>
              <w:spacing w:line="360" w:lineRule="auto"/>
              <w:ind w:firstLine="480" w:firstLineChars="200"/>
              <w:rPr>
                <w:rFonts w:ascii="宋体" w:hAnsi="宋体"/>
                <w:sz w:val="24"/>
              </w:rPr>
            </w:pPr>
            <w:r>
              <w:rPr>
                <w:rFonts w:hint="eastAsia" w:eastAsia="黑体"/>
                <w:sz w:val="24"/>
              </w:rPr>
              <w:t>地表水：</w:t>
            </w:r>
            <w:r>
              <w:rPr>
                <w:rFonts w:hint="eastAsia" w:ascii="宋体" w:hAnsi="宋体"/>
                <w:sz w:val="24"/>
              </w:rPr>
              <w:t>本项目生活污水和地坪冲洗水一起进地埋式生化处理设施处理后达到《污水综合排放标准》（</w:t>
            </w:r>
            <w:r>
              <w:rPr>
                <w:rFonts w:ascii="宋体" w:hAnsi="宋体"/>
                <w:sz w:val="24"/>
              </w:rPr>
              <w:t>GB8978-1996</w:t>
            </w:r>
            <w:r>
              <w:rPr>
                <w:rFonts w:hint="eastAsia" w:ascii="宋体" w:hAnsi="宋体"/>
                <w:sz w:val="24"/>
              </w:rPr>
              <w:t>）表</w:t>
            </w:r>
            <w:r>
              <w:rPr>
                <w:rFonts w:ascii="宋体" w:hAnsi="宋体"/>
                <w:sz w:val="24"/>
              </w:rPr>
              <w:t xml:space="preserve">4 </w:t>
            </w:r>
            <w:r>
              <w:rPr>
                <w:rFonts w:hint="eastAsia" w:ascii="宋体" w:hAnsi="宋体"/>
                <w:sz w:val="24"/>
              </w:rPr>
              <w:t>三级标准和新源污水处理厂接管标准，并纳入城市污水厂进行处理，总量纳入新源污水处理厂总量控制指标，因此本项目废水外排不会对赣江水质有明显影响。</w:t>
            </w:r>
          </w:p>
          <w:p>
            <w:pPr>
              <w:spacing w:line="360" w:lineRule="auto"/>
              <w:ind w:firstLine="480" w:firstLineChars="200"/>
              <w:rPr>
                <w:rFonts w:ascii="宋体" w:hAnsi="宋体"/>
                <w:sz w:val="24"/>
              </w:rPr>
            </w:pPr>
            <w:r>
              <w:rPr>
                <w:rFonts w:hint="eastAsia" w:ascii="宋体" w:hAnsi="宋体"/>
                <w:sz w:val="24"/>
              </w:rPr>
              <w:t>因此，不会对当地地表水环境造成影响。</w:t>
            </w:r>
          </w:p>
          <w:p>
            <w:pPr>
              <w:spacing w:line="360" w:lineRule="auto"/>
              <w:ind w:firstLine="361" w:firstLineChars="150"/>
              <w:rPr>
                <w:rFonts w:ascii="宋体" w:hAnsi="宋体"/>
                <w:sz w:val="24"/>
              </w:rPr>
            </w:pPr>
            <w:r>
              <w:rPr>
                <w:rFonts w:hint="eastAsia" w:eastAsia="黑体"/>
                <w:b/>
                <w:sz w:val="24"/>
              </w:rPr>
              <w:t>大气环境：</w:t>
            </w:r>
            <w:r>
              <w:rPr>
                <w:rFonts w:hint="eastAsia" w:ascii="宋体" w:hAnsi="宋体"/>
                <w:sz w:val="24"/>
              </w:rPr>
              <w:t>本项目扩建后全站将增加少量天然气放散量，但对区域环境空气质量影响不明显</w:t>
            </w:r>
          </w:p>
          <w:p>
            <w:pPr>
              <w:spacing w:line="360" w:lineRule="auto"/>
              <w:ind w:firstLine="480" w:firstLineChars="200"/>
              <w:rPr>
                <w:sz w:val="24"/>
              </w:rPr>
            </w:pPr>
            <w:r>
              <w:rPr>
                <w:rFonts w:hint="eastAsia" w:eastAsia="黑体"/>
                <w:sz w:val="24"/>
              </w:rPr>
              <w:t>声环境：</w:t>
            </w:r>
            <w:r>
              <w:rPr>
                <w:rFonts w:hint="eastAsia"/>
                <w:sz w:val="24"/>
              </w:rPr>
              <w:t>该项目通过选用低噪声设备、基础减震、设空压机房，并对加气站东、西南面设置围墙，确定合理的管道流速，场站图合理布局，周围栽种树木进行绿化，距离衰减等措施，使厂界噪声可以达标，不会改变项目所在区的声环境功能区性质，可维持当地声环境质量现状级别。</w:t>
            </w:r>
          </w:p>
          <w:p>
            <w:pPr>
              <w:spacing w:line="360" w:lineRule="auto"/>
              <w:ind w:firstLine="482"/>
              <w:rPr>
                <w:sz w:val="24"/>
              </w:rPr>
            </w:pPr>
            <w:r>
              <w:rPr>
                <w:rFonts w:hint="eastAsia" w:eastAsia="黑体"/>
                <w:sz w:val="24"/>
              </w:rPr>
              <w:t>固体废弃物：</w:t>
            </w:r>
            <w:r>
              <w:rPr>
                <w:rFonts w:hint="eastAsia"/>
                <w:sz w:val="24"/>
              </w:rPr>
              <w:t>本项目产生的各类固废去向明确，处置方式合理，不会造成环境污染影响。</w:t>
            </w:r>
          </w:p>
          <w:p>
            <w:pPr>
              <w:pStyle w:val="13"/>
              <w:spacing w:after="0" w:line="360" w:lineRule="auto"/>
              <w:ind w:left="13" w:leftChars="6" w:firstLine="474"/>
              <w:rPr>
                <w:rFonts w:hint="eastAsia" w:ascii="宋体" w:hAnsi="宋体" w:eastAsia="宋体" w:cs="宋体"/>
                <w:sz w:val="24"/>
              </w:rPr>
            </w:pPr>
            <w:r>
              <w:rPr>
                <w:rFonts w:hint="eastAsia" w:ascii="宋体" w:hAnsi="宋体" w:eastAsia="宋体" w:cs="宋体"/>
                <w:sz w:val="24"/>
              </w:rPr>
              <w:t>评价认为，本项目对废水、废气、噪声、固体废弃物采取的治理措施，是有效、可行的。</w:t>
            </w:r>
          </w:p>
          <w:p>
            <w:pPr>
              <w:spacing w:line="360" w:lineRule="auto"/>
              <w:rPr>
                <w:rFonts w:eastAsia="黑体"/>
                <w:sz w:val="24"/>
              </w:rPr>
            </w:pPr>
            <w:r>
              <w:rPr>
                <w:rFonts w:hint="eastAsia" w:eastAsia="黑体"/>
                <w:sz w:val="24"/>
              </w:rPr>
              <w:t>5、清洁生产、</w:t>
            </w:r>
          </w:p>
          <w:p>
            <w:pPr>
              <w:spacing w:line="360" w:lineRule="auto"/>
              <w:ind w:firstLine="480" w:firstLineChars="200"/>
              <w:rPr>
                <w:rFonts w:hAnsi="宋体"/>
                <w:sz w:val="24"/>
              </w:rPr>
            </w:pPr>
            <w:r>
              <w:rPr>
                <w:rFonts w:hint="eastAsia" w:hAnsi="宋体"/>
                <w:sz w:val="24"/>
              </w:rPr>
              <w:t>项目实施后将一定程度改善吉安市空气环境污染现状，工程采取的工艺先进、可靠，设备选型及材质满足生产需要，事故防范措施得当，自动化控制较好，生产安全可靠，能有效地减少或杜绝污染事故的发生。项目建设后能够减轻当地的环境污染，有一定的环境正效应，符合清洁生产原则。</w:t>
            </w:r>
          </w:p>
          <w:p>
            <w:pPr>
              <w:spacing w:line="360" w:lineRule="auto"/>
              <w:rPr>
                <w:rFonts w:eastAsia="黑体"/>
                <w:sz w:val="24"/>
              </w:rPr>
            </w:pPr>
            <w:r>
              <w:rPr>
                <w:rFonts w:hint="eastAsia" w:eastAsia="黑体"/>
                <w:sz w:val="24"/>
              </w:rPr>
              <w:t>6、总量控制</w:t>
            </w:r>
          </w:p>
          <w:p>
            <w:pPr>
              <w:autoSpaceDE w:val="0"/>
              <w:autoSpaceDN w:val="0"/>
              <w:adjustRightInd w:val="0"/>
              <w:spacing w:line="360" w:lineRule="auto"/>
              <w:ind w:firstLine="360" w:firstLineChars="150"/>
              <w:jc w:val="left"/>
              <w:rPr>
                <w:rFonts w:hAnsi="宋体"/>
                <w:sz w:val="24"/>
              </w:rPr>
            </w:pPr>
            <w:r>
              <w:rPr>
                <w:rFonts w:hint="eastAsia" w:hAnsi="宋体"/>
                <w:sz w:val="24"/>
              </w:rPr>
              <w:t>该项目生活污水和场地冲洗水一起进入地埋式生化处理设施处理达到《污水综合排放标准》（</w:t>
            </w:r>
            <w:r>
              <w:rPr>
                <w:rFonts w:hAnsi="宋体"/>
                <w:sz w:val="24"/>
              </w:rPr>
              <w:t>GB8978-1996</w:t>
            </w:r>
            <w:r>
              <w:rPr>
                <w:rFonts w:hint="eastAsia" w:hAnsi="宋体"/>
                <w:sz w:val="24"/>
              </w:rPr>
              <w:t>）表</w:t>
            </w:r>
            <w:r>
              <w:rPr>
                <w:rFonts w:hAnsi="宋体"/>
                <w:sz w:val="24"/>
              </w:rPr>
              <w:t xml:space="preserve">4 </w:t>
            </w:r>
            <w:r>
              <w:rPr>
                <w:rFonts w:hint="eastAsia" w:hAnsi="宋体"/>
                <w:sz w:val="24"/>
              </w:rPr>
              <w:t>三级标准和新源污水处理厂接管标准后排入新源污水处理厂，总量已纳入城市污水处理厂总量控制指标，因此建议该项目不设</w:t>
            </w:r>
            <w:r>
              <w:rPr>
                <w:rFonts w:hAnsi="宋体"/>
                <w:sz w:val="24"/>
              </w:rPr>
              <w:t>COD</w:t>
            </w:r>
            <w:r>
              <w:rPr>
                <w:rFonts w:hAnsi="宋体"/>
                <w:sz w:val="24"/>
                <w:vertAlign w:val="subscript"/>
              </w:rPr>
              <w:t>Cr</w:t>
            </w:r>
            <w:r>
              <w:rPr>
                <w:rFonts w:hint="eastAsia" w:hAnsi="宋体"/>
                <w:sz w:val="24"/>
              </w:rPr>
              <w:t>、</w:t>
            </w:r>
            <w:r>
              <w:rPr>
                <w:rFonts w:hAnsi="宋体"/>
                <w:sz w:val="24"/>
              </w:rPr>
              <w:t>NH</w:t>
            </w:r>
            <w:r>
              <w:rPr>
                <w:rFonts w:hAnsi="宋体"/>
                <w:sz w:val="24"/>
                <w:vertAlign w:val="subscript"/>
              </w:rPr>
              <w:t>3</w:t>
            </w:r>
            <w:r>
              <w:rPr>
                <w:rFonts w:hAnsi="宋体"/>
                <w:sz w:val="24"/>
              </w:rPr>
              <w:t>-N</w:t>
            </w:r>
            <w:r>
              <w:rPr>
                <w:rFonts w:hint="eastAsia" w:hAnsi="宋体"/>
                <w:sz w:val="24"/>
              </w:rPr>
              <w:t>总量指标。项目运营期主要废气中不涉及二氧化硫和氮氧化物的外排，因此，建议不对该项目设置总量控制指标。</w:t>
            </w:r>
          </w:p>
          <w:p>
            <w:pPr>
              <w:spacing w:line="360" w:lineRule="auto"/>
              <w:rPr>
                <w:rFonts w:eastAsia="黑体"/>
                <w:sz w:val="24"/>
              </w:rPr>
            </w:pPr>
            <w:r>
              <w:rPr>
                <w:rFonts w:hint="eastAsia" w:eastAsia="黑体"/>
                <w:sz w:val="24"/>
              </w:rPr>
              <w:t>7、 环境风险</w:t>
            </w:r>
          </w:p>
          <w:p>
            <w:pPr>
              <w:spacing w:line="360" w:lineRule="auto"/>
              <w:rPr>
                <w:rFonts w:hAnsi="宋体"/>
                <w:sz w:val="24"/>
              </w:rPr>
            </w:pPr>
            <w:r>
              <w:rPr>
                <w:rFonts w:hint="eastAsia" w:eastAsia="黑体"/>
                <w:sz w:val="24"/>
              </w:rPr>
              <w:t xml:space="preserve">  </w:t>
            </w:r>
            <w:r>
              <w:rPr>
                <w:rFonts w:hint="eastAsia" w:hAnsi="宋体"/>
                <w:sz w:val="24"/>
              </w:rPr>
              <w:t>本项目的风险主要是因液化天然气泄漏、操作不当等因素造成的火灾和爆炸。只要建设单位对各种安全技术措施、安全管理措施全面落实，就可确保项目生产运行安全，从而消除安全事故和环境风险事故的发生。经分析，本项目风险处于可接受水平，其风险管理措施有效、可靠，从环境风险角度而言是可行的。</w:t>
            </w:r>
          </w:p>
          <w:p>
            <w:pPr>
              <w:spacing w:line="360" w:lineRule="auto"/>
              <w:ind w:firstLine="570"/>
              <w:rPr>
                <w:rFonts w:ascii="宋体" w:hAnsi="宋体"/>
                <w:b/>
                <w:sz w:val="24"/>
              </w:rPr>
            </w:pPr>
            <w:r>
              <w:rPr>
                <w:rFonts w:hint="eastAsia" w:eastAsia="黑体"/>
                <w:sz w:val="24"/>
              </w:rPr>
              <w:t>综上所述，</w:t>
            </w:r>
            <w:r>
              <w:rPr>
                <w:rFonts w:hint="eastAsia" w:ascii="宋体" w:hAnsi="宋体"/>
                <w:sz w:val="24"/>
              </w:rPr>
              <w:t>本项目选址合理，产品符合国家产业政策。项目在运营过程中，要严格执行国家的有关环境保护政策和法规，认真实行清洁生产，严格落实本报告表和环保局批文中提出的各项污染防治措施，确保污染物达标排放，并控制在总量控制指标内，从环境保护的角度分析，本项目的建设是可行的。</w:t>
            </w:r>
          </w:p>
          <w:p>
            <w:pPr>
              <w:spacing w:line="360" w:lineRule="auto"/>
              <w:ind w:firstLine="570"/>
              <w:rPr>
                <w:rFonts w:eastAsia="黑体"/>
                <w:sz w:val="24"/>
              </w:rPr>
            </w:pPr>
            <w:r>
              <w:rPr>
                <w:rFonts w:hint="eastAsia" w:eastAsia="黑体"/>
                <w:sz w:val="24"/>
              </w:rPr>
              <w:t>二．建议</w:t>
            </w:r>
          </w:p>
          <w:p>
            <w:pPr>
              <w:spacing w:line="360" w:lineRule="auto"/>
              <w:ind w:firstLine="480" w:firstLineChars="200"/>
              <w:rPr>
                <w:rFonts w:ascii="宋体" w:hAnsi="宋体"/>
                <w:kern w:val="0"/>
                <w:sz w:val="24"/>
              </w:rPr>
            </w:pPr>
            <w:r>
              <w:rPr>
                <w:rFonts w:ascii="宋体" w:hAnsi="宋体"/>
                <w:kern w:val="0"/>
                <w:sz w:val="24"/>
              </w:rPr>
              <w:t>1</w:t>
            </w:r>
            <w:r>
              <w:rPr>
                <w:rFonts w:hint="eastAsia" w:ascii="宋体" w:hAnsi="宋体"/>
                <w:kern w:val="0"/>
                <w:sz w:val="24"/>
              </w:rPr>
              <w:t>、加强建设期和施工期管理。认真贯彻落实已制定的环保措施，执行建设项目“三同时”和“一控双达标”的要求。</w:t>
            </w:r>
          </w:p>
          <w:p>
            <w:pPr>
              <w:spacing w:line="360" w:lineRule="auto"/>
              <w:ind w:firstLine="480" w:firstLineChars="200"/>
              <w:rPr>
                <w:rFonts w:ascii="宋体" w:hAnsi="宋体"/>
                <w:kern w:val="0"/>
                <w:sz w:val="24"/>
              </w:rPr>
            </w:pPr>
            <w:r>
              <w:rPr>
                <w:rFonts w:ascii="宋体" w:hAnsi="宋体"/>
                <w:kern w:val="0"/>
                <w:sz w:val="24"/>
              </w:rPr>
              <w:t>2</w:t>
            </w:r>
            <w:r>
              <w:rPr>
                <w:rFonts w:hint="eastAsia" w:ascii="宋体" w:hAnsi="宋体"/>
                <w:kern w:val="0"/>
                <w:sz w:val="24"/>
              </w:rPr>
              <w:t>、项目单位应严格按规范设计，做好安全评价，加强防火措施，加强对员工的培训，严格按照安全生产的要求，规范操作切实做好防火防泄露工作，以确保安全生产。</w:t>
            </w:r>
          </w:p>
          <w:p>
            <w:pPr>
              <w:spacing w:line="360" w:lineRule="auto"/>
              <w:ind w:firstLine="480" w:firstLineChars="200"/>
              <w:rPr>
                <w:rFonts w:ascii="宋体" w:hAnsi="宋体"/>
                <w:kern w:val="0"/>
                <w:sz w:val="24"/>
              </w:rPr>
            </w:pPr>
            <w:r>
              <w:rPr>
                <w:rFonts w:ascii="宋体" w:hAnsi="宋体"/>
                <w:kern w:val="0"/>
                <w:sz w:val="24"/>
              </w:rPr>
              <w:t>3</w:t>
            </w:r>
            <w:r>
              <w:rPr>
                <w:rFonts w:hint="eastAsia" w:ascii="宋体" w:hAnsi="宋体"/>
                <w:kern w:val="0"/>
                <w:sz w:val="24"/>
              </w:rPr>
              <w:t>、加强企业的安全管理，提高环境保护意识；建立健全职工的安全教育，增强职工的安全生产和防范风险的意识，定期进行应急演练。</w:t>
            </w:r>
          </w:p>
          <w:p>
            <w:pPr>
              <w:spacing w:line="360" w:lineRule="auto"/>
              <w:ind w:firstLine="480" w:firstLineChars="200"/>
              <w:rPr>
                <w:rFonts w:ascii="宋体" w:hAnsi="宋体"/>
                <w:kern w:val="0"/>
                <w:sz w:val="24"/>
              </w:rPr>
            </w:pPr>
            <w:r>
              <w:rPr>
                <w:rFonts w:ascii="宋体" w:hAnsi="宋体"/>
                <w:kern w:val="0"/>
                <w:sz w:val="24"/>
              </w:rPr>
              <w:t>4</w:t>
            </w:r>
            <w:r>
              <w:rPr>
                <w:rFonts w:hint="eastAsia" w:ascii="宋体" w:hAnsi="宋体"/>
                <w:kern w:val="0"/>
                <w:sz w:val="24"/>
              </w:rPr>
              <w:t>、加强对站区的绿化工作。</w:t>
            </w:r>
          </w:p>
          <w:p>
            <w:pPr>
              <w:spacing w:line="360" w:lineRule="auto"/>
              <w:ind w:firstLine="480" w:firstLineChars="200"/>
              <w:rPr>
                <w:rFonts w:hint="eastAsia" w:ascii="宋体" w:hAnsi="宋体" w:eastAsia="宋体" w:cs="宋体"/>
                <w:sz w:val="24"/>
                <w:szCs w:val="24"/>
              </w:rPr>
            </w:pPr>
            <w:r>
              <w:rPr>
                <w:rFonts w:ascii="宋体" w:hAnsi="宋体"/>
                <w:kern w:val="0"/>
                <w:sz w:val="24"/>
              </w:rPr>
              <w:t>5</w:t>
            </w:r>
            <w:r>
              <w:rPr>
                <w:rFonts w:hint="eastAsia" w:ascii="宋体" w:hAnsi="宋体"/>
                <w:kern w:val="0"/>
                <w:sz w:val="24"/>
              </w:rPr>
              <w:t>、按照《城镇燃气设计规划》、《爆炸和火灾危险环境电力装置设计规范》、《建筑防雷设计规范》、《液化天然气加气站设计规范》等相关技术规范进行设计施工，委托有资质的单位进行安全评价，并经相关部门审查同意，在生产运营中加强防风险安全生产管理。</w:t>
            </w:r>
          </w:p>
          <w:p>
            <w:pPr>
              <w:numPr>
                <w:ilvl w:val="0"/>
                <w:numId w:val="0"/>
              </w:numPr>
              <w:spacing w:line="360" w:lineRule="auto"/>
              <w:rPr>
                <w:rFonts w:hint="eastAsia" w:ascii="Times New Roman" w:hAnsi="Times New Roman"/>
                <w:b/>
                <w:bCs/>
                <w:color w:val="000000" w:themeColor="text1"/>
                <w:sz w:val="24"/>
              </w:rPr>
            </w:pPr>
            <w:r>
              <w:rPr>
                <w:rFonts w:hint="eastAsia" w:ascii="Times New Roman" w:hAnsi="Times New Roman"/>
                <w:b/>
                <w:bCs/>
                <w:color w:val="000000" w:themeColor="text1"/>
                <w:sz w:val="24"/>
              </w:rPr>
              <w:t>审批部门审批要求（摘录于本项目环评批复）</w:t>
            </w:r>
          </w:p>
          <w:p>
            <w:pPr>
              <w:jc w:val="center"/>
              <w:rPr>
                <w:rFonts w:hint="eastAsia"/>
                <w:b/>
                <w:bCs/>
                <w:sz w:val="28"/>
                <w:szCs w:val="28"/>
              </w:rPr>
            </w:pPr>
            <w:r>
              <w:rPr>
                <w:rFonts w:hint="eastAsia"/>
                <w:b/>
                <w:bCs/>
                <w:sz w:val="28"/>
                <w:szCs w:val="28"/>
              </w:rPr>
              <w:t>吉安市环境保护局</w:t>
            </w:r>
          </w:p>
          <w:p>
            <w:pPr>
              <w:jc w:val="center"/>
              <w:rPr>
                <w:rFonts w:hint="eastAsia" w:eastAsiaTheme="minorEastAsia"/>
                <w:sz w:val="28"/>
                <w:szCs w:val="28"/>
                <w:lang w:val="en-US" w:eastAsia="zh-CN"/>
              </w:rPr>
            </w:pPr>
            <w:r>
              <w:rPr>
                <w:rFonts w:hint="eastAsia"/>
                <w:sz w:val="28"/>
                <w:szCs w:val="28"/>
                <w:lang w:val="en-US" w:eastAsia="zh-CN"/>
              </w:rPr>
              <w:t>吉市环评字（2014）69号</w:t>
            </w:r>
          </w:p>
          <w:p>
            <w:pPr>
              <w:jc w:val="center"/>
              <w:rPr>
                <w:rFonts w:hint="eastAsia" w:eastAsiaTheme="minorEastAsia"/>
                <w:sz w:val="24"/>
                <w:szCs w:val="24"/>
                <w:lang w:eastAsia="zh-CN"/>
              </w:rPr>
            </w:pPr>
            <w:r>
              <w:rPr>
                <w:rFonts w:hint="eastAsia"/>
                <w:sz w:val="24"/>
                <w:szCs w:val="24"/>
              </w:rPr>
              <w:t>关于对吉安市吉福路天然气加气站工程</w:t>
            </w:r>
            <w:r>
              <w:rPr>
                <w:rFonts w:hint="eastAsia"/>
                <w:sz w:val="24"/>
                <w:szCs w:val="24"/>
                <w:lang w:eastAsia="zh-CN"/>
              </w:rPr>
              <w:t>环境影响报告表的批复</w:t>
            </w:r>
          </w:p>
          <w:p>
            <w:pPr>
              <w:rPr>
                <w:rFonts w:hint="eastAsia"/>
                <w:sz w:val="24"/>
                <w:szCs w:val="24"/>
              </w:rPr>
            </w:pPr>
            <w:r>
              <w:rPr>
                <w:rFonts w:hint="eastAsia"/>
                <w:sz w:val="24"/>
                <w:szCs w:val="24"/>
              </w:rPr>
              <w:t>吉安华润清洁能源有限公司:</w:t>
            </w:r>
          </w:p>
          <w:p>
            <w:pPr>
              <w:rPr>
                <w:rFonts w:hint="eastAsia"/>
                <w:sz w:val="24"/>
                <w:szCs w:val="24"/>
              </w:rPr>
            </w:pPr>
            <w:r>
              <w:rPr>
                <w:rFonts w:hint="eastAsia"/>
                <w:sz w:val="24"/>
                <w:szCs w:val="24"/>
              </w:rPr>
              <w:t>你公司报送的《吉安市吉福路天然气加气站工程环境影响报告表》(以下简称《报告表》)、吉州区环保局初审意见收悉。经研究，现批复如下:</w:t>
            </w:r>
          </w:p>
          <w:p>
            <w:pPr>
              <w:rPr>
                <w:rFonts w:hint="eastAsia"/>
                <w:sz w:val="24"/>
                <w:szCs w:val="24"/>
              </w:rPr>
            </w:pPr>
            <w:r>
              <w:rPr>
                <w:rFonts w:hint="eastAsia"/>
                <w:sz w:val="24"/>
                <w:szCs w:val="24"/>
              </w:rPr>
              <w:t>一、项目批复意见及基本情况</w:t>
            </w:r>
          </w:p>
          <w:p>
            <w:pPr>
              <w:rPr>
                <w:rFonts w:ascii="宋体" w:hAnsi="宋体" w:eastAsia="宋体" w:cs="宋体"/>
                <w:kern w:val="0"/>
                <w:sz w:val="24"/>
                <w:szCs w:val="24"/>
                <w:lang w:val="en-US" w:eastAsia="zh-CN" w:bidi="ar"/>
              </w:rPr>
            </w:pPr>
            <w:r>
              <w:rPr>
                <w:rFonts w:hint="eastAsia"/>
                <w:sz w:val="24"/>
                <w:szCs w:val="24"/>
              </w:rPr>
              <w:t>根据"项目符合国家产业政策，选址符合城乡规划，项目建设可行”的《报告表》结论及吉州区环保局初审意见，在认真落实《报告表》提出的各项环保措施的前提下，同意该项目按《报告表》提供的建设地点、性质、内容、规模、生产工艺、环保</w:t>
            </w:r>
            <w:r>
              <w:rPr>
                <w:rFonts w:hint="eastAsia"/>
                <w:sz w:val="24"/>
                <w:szCs w:val="24"/>
                <w:lang w:eastAsia="zh-CN"/>
              </w:rPr>
              <w:t>措施</w:t>
            </w:r>
            <w:r>
              <w:rPr>
                <w:rFonts w:ascii="宋体" w:hAnsi="宋体" w:eastAsia="宋体" w:cs="宋体"/>
                <w:kern w:val="0"/>
                <w:sz w:val="24"/>
                <w:szCs w:val="24"/>
                <w:lang w:val="en-US" w:eastAsia="zh-CN" w:bidi="ar"/>
              </w:rPr>
              <w:t>进行建设。</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本次批复项目基本情况:该项目属新建工程，建设地点位于吉安市吉福路与规划四路交叉口东南侧华润燃气气化站内，地理坐标为(东经114° 57' 20.17”，北纬27° 06'’42.33" )。项目总投资1135万元人民币，其中环保投资26万元。该天然气加气站为LNG和CNG合建站，LNG 储罐规模为60m (60m'LNG 卧式低温地上储罐1个)，CNG储气井容积为14m (分别为2m', 3m'，4m'，5m'各一个)，设3台双枪三线制CNG加气机，CNG 加气能力为15000Nm'/d, LNG 加气站加气规模为12000Nm'/d. 主要建设卸车区、CNG加气站工艺区、加气区辅助用房等。</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二、项目建设的污染防治措施及要求</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项目在工程设计、建设过程中必须认真落实《报告表》提出的各项环保要求，并重点做好以下几项工作:</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一)环境风险防范。本项目环境风险主要为天然气泄漏引发的火灾、爆炸事故，落实《报告表》中的各项风险防范和应急措施，认真制定环境风险事故应急预案并配备相应的应急设施、装备和事故应急池，加强设备的检查维修，杜绝“跑、冒、滴、漏”现象，防止天然气泄漏造成环境污染。强化企业管理，提高职工素质，杜绝人为事故发生。一旦发生泄漏或火灾事故时，须立即停产，及时采取措施，控制并削减污染影响，确保环境安全。</w:t>
            </w:r>
          </w:p>
          <w:p>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t>(二)废气污染防治。完善工艺设计，尽可能减少无组织废气的排放。</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三)废水污染防治。场地清洗用水经隔油沉砂池收集预处理后和生活污水一起经地埋式生化处理设施处理达到《污水综合排放标准》(GB8978-1996)表4中三级标准和新源污水处理厂接管标准排入市政污水管网，最终进入新源污水处理厂处理达到一级B标准排入赣江。</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(四)固体废物污染防治。按“资源化、减量化、无害化”处置原则，认真落实报告表提出的固废收集、处置和综合利用措施，报告表中提到的危险废物应送交有资质单位处理，严禁随意抛弃、堆置。</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(五)环境噪声污染防治。优化总平面布置，合理布置高噪声设备，优先选用低噪声设备，对高噪声设备采用消音、隔声、减震等措施，同时搞好绿化美化。</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(六)周边规划控制。项目所在地政府应做好周边规划，严格控制安全防护距离内不得新建居民点或各类工矿企业。</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三、项目试运行和竣工验收的环保要求</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一)试运行要求。项目建设必须严格执行“配套的环境保护设施与主体工程同时设计、同时施工、同时投入使用”的环境保护“三同时”制度，环保投资必须专款专用。项目建成试运行前须向吉州区环保局书面报告(同时抄报我局)，并经区环保局现场检查同意后方可投入试生产。</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(二)运行管理要求。按规定设置专门环保管理机构，健全环保规章制度，制定严格的环境保护岗位责任制，并加强环保设施运行维护管理，严禁擅自闲置、停用或拆除环保治理设施。</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(三)环保竣工验收要求。项目试运行期(3个月)内必须按规定程序向我局申请办理竣工环境保护验收手续，验收合格后，方能投入正式运营。违反本规定要求的，承担相应环保法律责任。</w:t>
            </w:r>
          </w:p>
          <w:p>
            <w:pPr>
              <w:keepNext w:val="0"/>
              <w:keepLines w:val="0"/>
              <w:widowControl/>
              <w:numPr>
                <w:ilvl w:val="0"/>
                <w:numId w:val="3"/>
              </w:numPr>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t>项目污染物排放标准要求</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(一)废气，工艺废气必须达到《大气污染物综合排放标准》(GB16297-1996)表2中二级标准。</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(二)废水，废水必须达到《污水综合排放标准》( GB8978-1996)和新源污水处理厂接管标准。</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(三)噪声，施工期噪声必须达到《建筑施工场界环境噪声排放标准》(GB12523-2011)标准，运营期厂界噪声必须达到《工业企业厂界环境噪声排放标准》( GB12348-2008) 2类标准。</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(四)固体废物，一般固体废物处置必须满足《一般工业固体废物储存、处置场污染控制标准》(GB18599- 2001)，危险废物必须满足《危险废物贮存污染控制标准》( GB18597- 2001)。</w:t>
            </w:r>
          </w:p>
          <w:p>
            <w:pPr>
              <w:keepNext w:val="0"/>
              <w:keepLines w:val="0"/>
              <w:widowControl/>
              <w:numPr>
                <w:ilvl w:val="0"/>
                <w:numId w:val="0"/>
              </w:numPr>
              <w:suppressLineNumbers w:val="0"/>
              <w:jc w:val="left"/>
            </w:pPr>
            <w:r>
              <w:rPr>
                <w:rFonts w:ascii="宋体" w:hAnsi="宋体" w:eastAsia="宋体" w:cs="宋体"/>
                <w:kern w:val="0"/>
                <w:sz w:val="24"/>
                <w:szCs w:val="24"/>
                <w:lang w:val="en-US" w:eastAsia="zh-CN" w:bidi="ar"/>
              </w:rPr>
              <w:t>五、其它环保要求</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(一)项目变更环保要求。本批复仅限于《报告表》确定的建设内容，若项目建设地点、内容、工艺、规模等发生重大变化或自批复之日起超过5年方开工建设，必须重新向我局申请办理环境保护审批手续。</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(二)违法追究。对已批复的各项环境保护事项必须认真执行，如有违反，将依法追究法律责任。</w:t>
            </w: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t>(三)日常环保监管。你公司应在接到本批复后20个工作日内，将批准后的环境影响报告表送吉州区环保局，我局委托吉州区环保局负责项目建设及运行的日常监督管理工作。请市环境监察支队加强对项目实施过程中的环境监察。</w:t>
            </w:r>
          </w:p>
          <w:p>
            <w:pPr>
              <w:jc w:val="center"/>
              <w:rPr>
                <w:rFonts w:hint="eastAsia"/>
                <w:sz w:val="24"/>
                <w:szCs w:val="24"/>
              </w:rPr>
            </w:pPr>
          </w:p>
          <w:p>
            <w:pPr>
              <w:jc w:val="center"/>
              <w:rPr>
                <w:rFonts w:hint="eastAsia"/>
                <w:sz w:val="24"/>
                <w:szCs w:val="24"/>
              </w:rPr>
            </w:pPr>
          </w:p>
          <w:p>
            <w:pPr>
              <w:jc w:val="center"/>
              <w:rPr>
                <w:rFonts w:hint="eastAsia"/>
                <w:sz w:val="24"/>
                <w:szCs w:val="24"/>
              </w:rPr>
            </w:pPr>
          </w:p>
          <w:p>
            <w:pPr>
              <w:jc w:val="center"/>
              <w:rPr>
                <w:rFonts w:hint="eastAsia"/>
                <w:sz w:val="24"/>
                <w:szCs w:val="24"/>
              </w:rPr>
            </w:pPr>
            <w:r>
              <w:rPr>
                <w:rFonts w:hint="eastAsia"/>
                <w:sz w:val="24"/>
                <w:szCs w:val="24"/>
              </w:rPr>
              <w:t>吉安市环境保护局</w:t>
            </w:r>
          </w:p>
          <w:p>
            <w:pPr>
              <w:jc w:val="center"/>
              <w:rPr>
                <w:rFonts w:hint="default" w:eastAsiaTheme="minorEastAsia"/>
                <w:sz w:val="24"/>
                <w:szCs w:val="24"/>
                <w:lang w:val="en-US" w:eastAsia="zh-CN"/>
              </w:rPr>
            </w:pPr>
            <w:r>
              <w:rPr>
                <w:rFonts w:hint="eastAsia"/>
                <w:sz w:val="24"/>
                <w:szCs w:val="24"/>
                <w:lang w:val="en-US" w:eastAsia="zh-CN"/>
              </w:rPr>
              <w:t>2014年6月27号</w:t>
            </w:r>
          </w:p>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620" w:firstLineChars="2200"/>
              <w:jc w:val="left"/>
              <w:textAlignment w:val="auto"/>
              <w:rPr>
                <w:color w:val="FF0000"/>
              </w:rPr>
            </w:pPr>
          </w:p>
          <w:p>
            <w:pPr>
              <w:spacing w:line="360" w:lineRule="auto"/>
              <w:ind w:right="420" w:firstLine="600" w:firstLineChars="250"/>
              <w:rPr>
                <w:rFonts w:ascii="宋体" w:hAnsi="宋体" w:eastAsia="宋体"/>
                <w:color w:val="FF0000"/>
                <w:sz w:val="24"/>
                <w:szCs w:val="24"/>
              </w:rPr>
            </w:pPr>
          </w:p>
          <w:p>
            <w:pPr>
              <w:spacing w:line="360" w:lineRule="auto"/>
              <w:ind w:right="420" w:firstLine="600" w:firstLineChars="250"/>
              <w:rPr>
                <w:rFonts w:ascii="宋体" w:hAnsi="宋体" w:eastAsia="宋体"/>
                <w:color w:val="FF0000"/>
                <w:sz w:val="24"/>
                <w:szCs w:val="24"/>
              </w:rPr>
            </w:pPr>
          </w:p>
          <w:p>
            <w:pPr>
              <w:spacing w:line="360" w:lineRule="auto"/>
              <w:ind w:right="420" w:firstLine="600" w:firstLineChars="250"/>
              <w:rPr>
                <w:rFonts w:hint="eastAsia" w:ascii="Times New Roman" w:hAnsi="Times New Roman"/>
              </w:rPr>
            </w:pPr>
            <w:r>
              <w:rPr>
                <w:rFonts w:hint="eastAsia" w:ascii="宋体" w:hAnsi="宋体" w:eastAsia="宋体"/>
                <w:color w:val="FF0000"/>
                <w:sz w:val="24"/>
                <w:szCs w:val="24"/>
              </w:rPr>
              <w:t xml:space="preserve">                                                </w:t>
            </w:r>
          </w:p>
        </w:tc>
      </w:tr>
    </w:tbl>
    <w:p>
      <w:pPr>
        <w:spacing w:line="0" w:lineRule="atLeast"/>
        <w:rPr>
          <w:rFonts w:ascii="Times New Roman" w:hAnsi="Times New Roman"/>
          <w:b/>
          <w:sz w:val="24"/>
        </w:rPr>
      </w:pPr>
      <w:r>
        <w:rPr>
          <w:rFonts w:hint="eastAsia" w:ascii="Times New Roman" w:hAnsi="Times New Roman"/>
          <w:b/>
          <w:sz w:val="24"/>
        </w:rPr>
        <w:t>表五 验收监测质量保证及质量控制</w:t>
      </w:r>
    </w:p>
    <w:tbl>
      <w:tblPr>
        <w:tblStyle w:val="20"/>
        <w:tblW w:w="99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61" w:hRule="atLeast"/>
          <w:jc w:val="center"/>
        </w:trPr>
        <w:tc>
          <w:tcPr>
            <w:tcW w:w="9901" w:type="dxa"/>
            <w:noWrap w:val="0"/>
            <w:vAlign w:val="top"/>
          </w:tcPr>
          <w:p>
            <w:pPr>
              <w:rPr>
                <w:rFonts w:eastAsia="宋体"/>
                <w:b/>
                <w:sz w:val="24"/>
                <w:szCs w:val="24"/>
              </w:rPr>
            </w:pPr>
            <w:r>
              <w:rPr>
                <w:rFonts w:hint="eastAsia"/>
                <w:b/>
                <w:sz w:val="24"/>
                <w:szCs w:val="24"/>
              </w:rPr>
              <w:t>验收监测质量保证及质量控制</w:t>
            </w:r>
          </w:p>
          <w:p>
            <w:pPr>
              <w:spacing w:line="360" w:lineRule="auto"/>
              <w:rPr>
                <w:rFonts w:ascii="宋体" w:hAnsi="宋体" w:eastAsia="宋体"/>
                <w:b/>
                <w:bCs/>
                <w:sz w:val="24"/>
                <w:szCs w:val="24"/>
              </w:rPr>
            </w:pPr>
            <w:r>
              <w:rPr>
                <w:rFonts w:hint="eastAsia" w:ascii="宋体" w:hAnsi="宋体" w:eastAsia="宋体"/>
                <w:b/>
                <w:bCs/>
                <w:sz w:val="24"/>
                <w:szCs w:val="24"/>
              </w:rPr>
              <w:t>5.1人员</w:t>
            </w:r>
          </w:p>
          <w:p>
            <w:pPr>
              <w:spacing w:line="360" w:lineRule="auto"/>
              <w:ind w:firstLine="480" w:firstLineChars="200"/>
              <w:rPr>
                <w:rFonts w:ascii="宋体" w:hAnsi="宋体" w:eastAsia="宋体"/>
                <w:sz w:val="24"/>
                <w:szCs w:val="24"/>
              </w:rPr>
            </w:pPr>
            <w:r>
              <w:rPr>
                <w:rFonts w:ascii="Times New Roman" w:hAnsi="Times New Roman" w:eastAsia="宋体" w:cs="Times New Roman"/>
                <w:sz w:val="24"/>
                <w:szCs w:val="24"/>
              </w:rPr>
              <w:t>现场监测及实验室分析由</w:t>
            </w:r>
            <w:r>
              <w:rPr>
                <w:rFonts w:ascii="Times New Roman" w:hAnsi="Times New Roman" w:eastAsia="宋体" w:cs="Times New Roman"/>
                <w:color w:val="000000" w:themeColor="text1"/>
                <w:sz w:val="24"/>
                <w:szCs w:val="24"/>
              </w:rPr>
              <w:t>江西</w:t>
            </w:r>
            <w:r>
              <w:rPr>
                <w:rFonts w:hint="eastAsia" w:ascii="Times New Roman" w:hAnsi="Times New Roman" w:eastAsia="宋体" w:cs="Times New Roman"/>
                <w:color w:val="000000" w:themeColor="text1"/>
                <w:sz w:val="24"/>
                <w:szCs w:val="24"/>
                <w:lang w:eastAsia="zh-CN"/>
              </w:rPr>
              <w:t>中明环境检测</w:t>
            </w:r>
            <w:r>
              <w:rPr>
                <w:rFonts w:ascii="Times New Roman" w:hAnsi="Times New Roman" w:eastAsia="宋体" w:cs="Times New Roman"/>
                <w:color w:val="000000" w:themeColor="text1"/>
                <w:sz w:val="24"/>
                <w:szCs w:val="24"/>
              </w:rPr>
              <w:t>有限公司</w:t>
            </w:r>
            <w:r>
              <w:rPr>
                <w:rFonts w:ascii="Times New Roman" w:hAnsi="Times New Roman" w:eastAsia="宋体" w:cs="Times New Roman"/>
                <w:sz w:val="24"/>
                <w:szCs w:val="24"/>
              </w:rPr>
              <w:t>承担</w:t>
            </w:r>
            <w:r>
              <w:rPr>
                <w:rFonts w:hint="eastAsia" w:ascii="Times New Roman" w:hAnsi="Times New Roman" w:eastAsia="宋体" w:cs="Times New Roman"/>
                <w:sz w:val="24"/>
                <w:szCs w:val="24"/>
              </w:rPr>
              <w:t>。</w:t>
            </w:r>
            <w:r>
              <w:rPr>
                <w:rFonts w:hint="eastAsia" w:ascii="宋体" w:hAnsi="宋体" w:eastAsia="宋体"/>
                <w:sz w:val="24"/>
                <w:szCs w:val="24"/>
              </w:rPr>
              <w:t>采样人员及实验室分析人员通过了公司内部自考认定考试均持证上岗。</w:t>
            </w:r>
          </w:p>
          <w:p>
            <w:pPr>
              <w:spacing w:line="360" w:lineRule="auto"/>
              <w:rPr>
                <w:rFonts w:ascii="宋体" w:hAnsi="宋体" w:eastAsia="宋体"/>
                <w:b/>
                <w:bCs/>
                <w:sz w:val="24"/>
                <w:szCs w:val="24"/>
              </w:rPr>
            </w:pPr>
            <w:bookmarkStart w:id="4" w:name="_Toc13291"/>
            <w:r>
              <w:rPr>
                <w:rFonts w:hint="eastAsia" w:ascii="宋体" w:hAnsi="宋体" w:eastAsia="宋体"/>
                <w:b/>
                <w:bCs/>
                <w:sz w:val="24"/>
                <w:szCs w:val="24"/>
              </w:rPr>
              <w:t>5</w:t>
            </w:r>
            <w:r>
              <w:rPr>
                <w:rFonts w:ascii="宋体" w:hAnsi="宋体" w:eastAsia="宋体"/>
                <w:b/>
                <w:bCs/>
                <w:sz w:val="24"/>
                <w:szCs w:val="24"/>
              </w:rPr>
              <w:t>.2 设备</w:t>
            </w:r>
            <w:bookmarkEnd w:id="4"/>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监测过程中使用的仪器设备均符合国家有关标准和技术要求。</w:t>
            </w:r>
            <w:r>
              <w:rPr>
                <w:rFonts w:hint="eastAsia" w:ascii="宋体" w:hAnsi="宋体"/>
                <w:sz w:val="24"/>
                <w:szCs w:val="24"/>
              </w:rPr>
              <w:t>监测分析仪器均经过计量部门检定/校准合格，并在有效期内使用</w:t>
            </w:r>
            <w:r>
              <w:rPr>
                <w:rFonts w:ascii="Times New Roman" w:hAnsi="Times New Roman" w:eastAsia="宋体" w:cs="Times New Roman"/>
                <w:sz w:val="24"/>
                <w:szCs w:val="24"/>
              </w:rPr>
              <w:t>；</w:t>
            </w:r>
          </w:p>
          <w:p>
            <w:pPr>
              <w:spacing w:line="360" w:lineRule="auto"/>
              <w:rPr>
                <w:rFonts w:ascii="宋体" w:hAnsi="宋体" w:eastAsia="宋体"/>
                <w:b/>
                <w:bCs/>
                <w:sz w:val="24"/>
                <w:szCs w:val="24"/>
              </w:rPr>
            </w:pPr>
            <w:r>
              <w:rPr>
                <w:rFonts w:hint="eastAsia" w:ascii="宋体" w:hAnsi="宋体" w:eastAsia="宋体"/>
                <w:b/>
                <w:bCs/>
                <w:sz w:val="24"/>
                <w:szCs w:val="24"/>
              </w:rPr>
              <w:t>5</w:t>
            </w:r>
            <w:r>
              <w:rPr>
                <w:rFonts w:ascii="宋体" w:hAnsi="宋体" w:eastAsia="宋体"/>
                <w:b/>
                <w:bCs/>
                <w:sz w:val="24"/>
                <w:szCs w:val="24"/>
              </w:rPr>
              <w:t>.3 采样</w:t>
            </w:r>
          </w:p>
          <w:p>
            <w:pPr>
              <w:tabs>
                <w:tab w:val="left" w:pos="450"/>
                <w:tab w:val="left" w:pos="3060"/>
                <w:tab w:val="center" w:pos="4291"/>
                <w:tab w:val="right" w:leader="middleDot" w:pos="9540"/>
              </w:tabs>
              <w:autoSpaceDE w:val="0"/>
              <w:autoSpaceDN w:val="0"/>
              <w:adjustRightInd w:val="0"/>
              <w:snapToGrid w:val="0"/>
              <w:spacing w:line="360" w:lineRule="auto"/>
              <w:ind w:firstLine="480" w:firstLineChars="200"/>
              <w:rPr>
                <w:rFonts w:ascii="宋体" w:hAnsi="宋体" w:eastAsia="宋体" w:cs="宋体"/>
                <w:sz w:val="24"/>
                <w:szCs w:val="24"/>
              </w:rPr>
            </w:pPr>
            <w:r>
              <w:rPr>
                <w:rFonts w:ascii="宋体" w:hAnsi="宋体" w:eastAsia="宋体" w:cs="宋体"/>
                <w:sz w:val="24"/>
                <w:szCs w:val="24"/>
              </w:rPr>
              <w:t>采样点位选取考虑到合适性和代表性，采样严格按技术规范要求进行。废气采样时保证采样系统的密封性，测试前气密性检查、校零校标；噪声采样监测时加带风罩，监测前后用标准声源对仪器进行校准。噪声采样严格按照相关技术规范要求进行，监测前后用标准声源对仪器进行校准，监测时加带防风罩，校准结果不超过0.5dB数据方认为有效，校准记录见表</w:t>
            </w:r>
            <w:r>
              <w:rPr>
                <w:rFonts w:hint="eastAsia" w:ascii="宋体" w:hAnsi="宋体" w:eastAsia="宋体" w:cs="宋体"/>
                <w:sz w:val="24"/>
                <w:szCs w:val="24"/>
              </w:rPr>
              <w:t>5-1</w:t>
            </w:r>
            <w:r>
              <w:rPr>
                <w:rFonts w:ascii="宋体" w:hAnsi="宋体" w:eastAsia="宋体" w:cs="宋体"/>
                <w:sz w:val="24"/>
                <w:szCs w:val="24"/>
              </w:rPr>
              <w:t>。</w:t>
            </w:r>
          </w:p>
          <w:p>
            <w:pPr>
              <w:spacing w:line="360" w:lineRule="auto"/>
              <w:jc w:val="center"/>
              <w:rPr>
                <w:rFonts w:ascii="宋体" w:hAnsi="宋体" w:eastAsia="宋体"/>
                <w:b/>
                <w:sz w:val="24"/>
                <w:szCs w:val="24"/>
              </w:rPr>
            </w:pPr>
            <w:r>
              <w:rPr>
                <w:rFonts w:ascii="宋体" w:hAnsi="宋体" w:eastAsia="宋体"/>
                <w:b/>
                <w:sz w:val="24"/>
                <w:szCs w:val="24"/>
              </w:rPr>
              <w:t xml:space="preserve"> 表</w:t>
            </w:r>
            <w:r>
              <w:rPr>
                <w:rFonts w:hint="eastAsia" w:ascii="宋体" w:hAnsi="宋体" w:eastAsia="宋体"/>
                <w:b/>
                <w:sz w:val="24"/>
                <w:szCs w:val="24"/>
              </w:rPr>
              <w:t>5-1</w:t>
            </w:r>
            <w:r>
              <w:rPr>
                <w:rFonts w:ascii="宋体" w:hAnsi="宋体" w:eastAsia="宋体"/>
                <w:b/>
                <w:sz w:val="24"/>
                <w:szCs w:val="24"/>
              </w:rPr>
              <w:t xml:space="preserve"> </w:t>
            </w:r>
            <w:r>
              <w:rPr>
                <w:rFonts w:hint="eastAsia" w:ascii="宋体" w:hAnsi="宋体" w:eastAsia="宋体"/>
                <w:b/>
                <w:sz w:val="24"/>
                <w:szCs w:val="24"/>
              </w:rPr>
              <w:t xml:space="preserve"> </w:t>
            </w:r>
            <w:r>
              <w:rPr>
                <w:rFonts w:ascii="宋体" w:hAnsi="宋体" w:eastAsia="宋体"/>
                <w:b/>
                <w:sz w:val="24"/>
                <w:szCs w:val="24"/>
              </w:rPr>
              <w:t>噪声监测设备校准结果 （dB）</w:t>
            </w:r>
          </w:p>
          <w:tbl>
            <w:tblPr>
              <w:tblStyle w:val="20"/>
              <w:tblW w:w="9240" w:type="dxa"/>
              <w:tblInd w:w="0" w:type="dxa"/>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362"/>
              <w:gridCol w:w="1056"/>
              <w:gridCol w:w="1291"/>
              <w:gridCol w:w="1075"/>
              <w:gridCol w:w="1397"/>
              <w:gridCol w:w="1326"/>
              <w:gridCol w:w="944"/>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789"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项目</w:t>
                  </w:r>
                </w:p>
              </w:tc>
              <w:tc>
                <w:tcPr>
                  <w:tcW w:w="1362"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标准声源</w:t>
                  </w:r>
                </w:p>
              </w:tc>
              <w:tc>
                <w:tcPr>
                  <w:tcW w:w="1056"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测量前</w:t>
                  </w:r>
                </w:p>
              </w:tc>
              <w:tc>
                <w:tcPr>
                  <w:tcW w:w="1291"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显值偏差</w:t>
                  </w:r>
                </w:p>
              </w:tc>
              <w:tc>
                <w:tcPr>
                  <w:tcW w:w="1075"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测量后</w:t>
                  </w:r>
                </w:p>
              </w:tc>
              <w:tc>
                <w:tcPr>
                  <w:tcW w:w="1397"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显值偏差</w:t>
                  </w:r>
                </w:p>
              </w:tc>
              <w:tc>
                <w:tcPr>
                  <w:tcW w:w="1326"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允许偏差</w:t>
                  </w:r>
                </w:p>
              </w:tc>
              <w:tc>
                <w:tcPr>
                  <w:tcW w:w="944" w:type="dxa"/>
                  <w:tcBorders>
                    <w:right w:val="nil"/>
                  </w:tcBorders>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结果</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789"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噪声</w:t>
                  </w:r>
                </w:p>
              </w:tc>
              <w:tc>
                <w:tcPr>
                  <w:tcW w:w="1362" w:type="dxa"/>
                  <w:noWrap w:val="0"/>
                  <w:vAlign w:val="top"/>
                </w:tcPr>
                <w:p>
                  <w:pPr>
                    <w:pStyle w:val="24"/>
                    <w:spacing w:line="360" w:lineRule="auto"/>
                    <w:jc w:val="center"/>
                    <w:textAlignment w:val="baseline"/>
                    <w:rPr>
                      <w:rFonts w:hAnsi="宋体"/>
                      <w:color w:val="auto"/>
                      <w:kern w:val="2"/>
                      <w:sz w:val="24"/>
                      <w:szCs w:val="24"/>
                    </w:rPr>
                  </w:pPr>
                  <w:r>
                    <w:rPr>
                      <w:rFonts w:hint="eastAsia" w:hAnsi="宋体"/>
                      <w:color w:val="auto"/>
                      <w:kern w:val="2"/>
                      <w:sz w:val="24"/>
                      <w:szCs w:val="24"/>
                    </w:rPr>
                    <w:t>93.8</w:t>
                  </w:r>
                </w:p>
              </w:tc>
              <w:tc>
                <w:tcPr>
                  <w:tcW w:w="1056" w:type="dxa"/>
                  <w:noWrap w:val="0"/>
                  <w:vAlign w:val="top"/>
                </w:tcPr>
                <w:p>
                  <w:pPr>
                    <w:pStyle w:val="24"/>
                    <w:spacing w:line="360" w:lineRule="auto"/>
                    <w:jc w:val="center"/>
                    <w:textAlignment w:val="baseline"/>
                    <w:rPr>
                      <w:rFonts w:hAnsi="宋体"/>
                      <w:color w:val="auto"/>
                      <w:kern w:val="2"/>
                      <w:sz w:val="24"/>
                      <w:szCs w:val="24"/>
                    </w:rPr>
                  </w:pPr>
                  <w:r>
                    <w:rPr>
                      <w:rFonts w:hint="eastAsia" w:hAnsi="宋体"/>
                      <w:color w:val="auto"/>
                      <w:kern w:val="2"/>
                      <w:sz w:val="24"/>
                      <w:szCs w:val="24"/>
                    </w:rPr>
                    <w:t>94.0</w:t>
                  </w:r>
                </w:p>
              </w:tc>
              <w:tc>
                <w:tcPr>
                  <w:tcW w:w="1291"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0</w:t>
                  </w:r>
                </w:p>
              </w:tc>
              <w:tc>
                <w:tcPr>
                  <w:tcW w:w="1075"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93.8</w:t>
                  </w:r>
                </w:p>
              </w:tc>
              <w:tc>
                <w:tcPr>
                  <w:tcW w:w="1397" w:type="dxa"/>
                  <w:noWrap w:val="0"/>
                  <w:vAlign w:val="top"/>
                </w:tcPr>
                <w:p>
                  <w:pPr>
                    <w:pStyle w:val="24"/>
                    <w:spacing w:line="360" w:lineRule="auto"/>
                    <w:jc w:val="center"/>
                    <w:textAlignment w:val="baseline"/>
                    <w:rPr>
                      <w:rFonts w:hAnsi="宋体"/>
                      <w:color w:val="auto"/>
                      <w:kern w:val="2"/>
                      <w:sz w:val="24"/>
                      <w:szCs w:val="24"/>
                    </w:rPr>
                  </w:pPr>
                  <w:r>
                    <w:rPr>
                      <w:rFonts w:hint="eastAsia" w:hAnsi="宋体"/>
                      <w:color w:val="auto"/>
                      <w:kern w:val="2"/>
                      <w:sz w:val="24"/>
                      <w:szCs w:val="24"/>
                    </w:rPr>
                    <w:t>0.2</w:t>
                  </w:r>
                </w:p>
              </w:tc>
              <w:tc>
                <w:tcPr>
                  <w:tcW w:w="1326" w:type="dxa"/>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±0.5</w:t>
                  </w:r>
                </w:p>
              </w:tc>
              <w:tc>
                <w:tcPr>
                  <w:tcW w:w="944" w:type="dxa"/>
                  <w:tcBorders>
                    <w:right w:val="nil"/>
                  </w:tcBorders>
                  <w:noWrap w:val="0"/>
                  <w:vAlign w:val="top"/>
                </w:tcPr>
                <w:p>
                  <w:pPr>
                    <w:pStyle w:val="24"/>
                    <w:spacing w:line="360" w:lineRule="auto"/>
                    <w:jc w:val="center"/>
                    <w:textAlignment w:val="baseline"/>
                    <w:rPr>
                      <w:rFonts w:hAnsi="宋体"/>
                      <w:color w:val="auto"/>
                      <w:kern w:val="2"/>
                      <w:sz w:val="24"/>
                      <w:szCs w:val="24"/>
                    </w:rPr>
                  </w:pPr>
                  <w:r>
                    <w:rPr>
                      <w:rFonts w:hAnsi="宋体"/>
                      <w:color w:val="auto"/>
                      <w:kern w:val="2"/>
                      <w:sz w:val="24"/>
                      <w:szCs w:val="24"/>
                    </w:rPr>
                    <w:t>合格</w:t>
                  </w:r>
                </w:p>
              </w:tc>
            </w:tr>
          </w:tbl>
          <w:p>
            <w:pPr>
              <w:spacing w:line="360" w:lineRule="auto"/>
              <w:jc w:val="center"/>
              <w:rPr>
                <w:rFonts w:ascii="宋体" w:hAnsi="宋体" w:eastAsia="宋体"/>
                <w:b/>
                <w:sz w:val="24"/>
                <w:szCs w:val="24"/>
              </w:rPr>
            </w:pPr>
            <w:r>
              <w:rPr>
                <w:rFonts w:hint="eastAsia" w:ascii="宋体" w:hAnsi="宋体" w:eastAsia="宋体"/>
                <w:b/>
                <w:sz w:val="24"/>
                <w:szCs w:val="24"/>
              </w:rPr>
              <w:t>表5-2   废气采样质量控制措施一览表</w:t>
            </w:r>
          </w:p>
          <w:tbl>
            <w:tblPr>
              <w:tblStyle w:val="20"/>
              <w:tblW w:w="9285" w:type="dxa"/>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34"/>
              <w:gridCol w:w="2315"/>
              <w:gridCol w:w="1938"/>
              <w:gridCol w:w="1984"/>
              <w:gridCol w:w="1914"/>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1134" w:type="dxa"/>
                  <w:tcBorders>
                    <w:bottom w:val="single" w:color="auto" w:sz="4" w:space="0"/>
                  </w:tcBorders>
                  <w:noWrap w:val="0"/>
                  <w:vAlign w:val="center"/>
                </w:tcPr>
                <w:p>
                  <w:pPr>
                    <w:spacing w:line="276" w:lineRule="auto"/>
                    <w:jc w:val="center"/>
                    <w:rPr>
                      <w:sz w:val="24"/>
                      <w:szCs w:val="24"/>
                    </w:rPr>
                  </w:pPr>
                  <w:r>
                    <w:rPr>
                      <w:rFonts w:hint="eastAsia"/>
                      <w:sz w:val="24"/>
                      <w:szCs w:val="24"/>
                    </w:rPr>
                    <w:t>项目</w:t>
                  </w:r>
                </w:p>
              </w:tc>
              <w:tc>
                <w:tcPr>
                  <w:tcW w:w="2315" w:type="dxa"/>
                  <w:tcBorders>
                    <w:bottom w:val="single" w:color="auto" w:sz="4" w:space="0"/>
                    <w:right w:val="single" w:color="auto" w:sz="4" w:space="0"/>
                  </w:tcBorders>
                  <w:noWrap w:val="0"/>
                  <w:vAlign w:val="center"/>
                </w:tcPr>
                <w:p>
                  <w:pPr>
                    <w:spacing w:line="360" w:lineRule="auto"/>
                    <w:jc w:val="center"/>
                    <w:rPr>
                      <w:rFonts w:eastAsia="宋体"/>
                      <w:sz w:val="24"/>
                      <w:szCs w:val="24"/>
                    </w:rPr>
                  </w:pPr>
                  <w:r>
                    <w:rPr>
                      <w:rFonts w:hint="eastAsia"/>
                      <w:sz w:val="24"/>
                      <w:szCs w:val="24"/>
                    </w:rPr>
                    <w:t>采样介质</w:t>
                  </w:r>
                </w:p>
              </w:tc>
              <w:tc>
                <w:tcPr>
                  <w:tcW w:w="1938" w:type="dxa"/>
                  <w:tcBorders>
                    <w:bottom w:val="single" w:color="auto" w:sz="4" w:space="0"/>
                    <w:right w:val="single" w:color="auto" w:sz="4" w:space="0"/>
                  </w:tcBorders>
                  <w:noWrap w:val="0"/>
                  <w:vAlign w:val="center"/>
                </w:tcPr>
                <w:p>
                  <w:pPr>
                    <w:spacing w:line="360" w:lineRule="auto"/>
                    <w:jc w:val="center"/>
                    <w:rPr>
                      <w:rFonts w:eastAsia="宋体"/>
                      <w:sz w:val="24"/>
                      <w:szCs w:val="24"/>
                    </w:rPr>
                  </w:pPr>
                  <w:r>
                    <w:rPr>
                      <w:rFonts w:hint="eastAsia"/>
                      <w:sz w:val="24"/>
                      <w:szCs w:val="24"/>
                    </w:rPr>
                    <w:t>流量或时间</w:t>
                  </w:r>
                </w:p>
              </w:tc>
              <w:tc>
                <w:tcPr>
                  <w:tcW w:w="1984" w:type="dxa"/>
                  <w:tcBorders>
                    <w:left w:val="single" w:color="auto" w:sz="4" w:space="0"/>
                    <w:bottom w:val="single" w:color="auto" w:sz="4" w:space="0"/>
                    <w:right w:val="single" w:color="auto" w:sz="4" w:space="0"/>
                  </w:tcBorders>
                  <w:noWrap w:val="0"/>
                  <w:vAlign w:val="center"/>
                </w:tcPr>
                <w:p>
                  <w:pPr>
                    <w:spacing w:line="360" w:lineRule="auto"/>
                    <w:jc w:val="center"/>
                    <w:rPr>
                      <w:rFonts w:eastAsia="宋体"/>
                      <w:sz w:val="24"/>
                      <w:szCs w:val="24"/>
                    </w:rPr>
                  </w:pPr>
                  <w:r>
                    <w:rPr>
                      <w:rFonts w:hint="eastAsia"/>
                      <w:sz w:val="24"/>
                      <w:szCs w:val="24"/>
                    </w:rPr>
                    <w:t>时间、体积</w:t>
                  </w:r>
                </w:p>
              </w:tc>
              <w:tc>
                <w:tcPr>
                  <w:tcW w:w="1914" w:type="dxa"/>
                  <w:tcBorders>
                    <w:left w:val="single" w:color="auto" w:sz="4" w:space="0"/>
                    <w:bottom w:val="single" w:color="auto" w:sz="4" w:space="0"/>
                  </w:tcBorders>
                  <w:noWrap w:val="0"/>
                  <w:vAlign w:val="center"/>
                </w:tcPr>
                <w:p>
                  <w:pPr>
                    <w:spacing w:line="360" w:lineRule="auto"/>
                    <w:jc w:val="center"/>
                    <w:rPr>
                      <w:rFonts w:eastAsia="宋体"/>
                      <w:sz w:val="24"/>
                      <w:szCs w:val="24"/>
                    </w:rPr>
                  </w:pPr>
                  <w:r>
                    <w:rPr>
                      <w:rFonts w:hint="eastAsia"/>
                      <w:sz w:val="24"/>
                      <w:szCs w:val="24"/>
                    </w:rPr>
                    <w:t>说明</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7" w:hRule="atLeast"/>
              </w:trPr>
              <w:tc>
                <w:tcPr>
                  <w:tcW w:w="1134" w:type="dxa"/>
                  <w:tcBorders>
                    <w:top w:val="single" w:color="auto" w:sz="4" w:space="0"/>
                    <w:bottom w:val="single" w:color="auto" w:sz="4" w:space="0"/>
                  </w:tcBorders>
                  <w:noWrap w:val="0"/>
                  <w:vAlign w:val="center"/>
                </w:tcPr>
                <w:p>
                  <w:pPr>
                    <w:spacing w:line="360" w:lineRule="auto"/>
                    <w:jc w:val="center"/>
                    <w:rPr>
                      <w:sz w:val="24"/>
                      <w:szCs w:val="24"/>
                    </w:rPr>
                  </w:pPr>
                  <w:r>
                    <w:rPr>
                      <w:rFonts w:hint="eastAsia"/>
                      <w:sz w:val="24"/>
                      <w:szCs w:val="24"/>
                    </w:rPr>
                    <w:t>颗粒物</w:t>
                  </w:r>
                </w:p>
              </w:tc>
              <w:tc>
                <w:tcPr>
                  <w:tcW w:w="2315" w:type="dxa"/>
                  <w:tcBorders>
                    <w:top w:val="single" w:color="auto" w:sz="4" w:space="0"/>
                    <w:bottom w:val="single" w:color="auto" w:sz="4" w:space="0"/>
                    <w:right w:val="single" w:color="auto" w:sz="4" w:space="0"/>
                  </w:tcBorders>
                  <w:noWrap w:val="0"/>
                  <w:vAlign w:val="center"/>
                </w:tcPr>
                <w:p>
                  <w:pPr>
                    <w:spacing w:line="276" w:lineRule="auto"/>
                    <w:jc w:val="center"/>
                    <w:rPr>
                      <w:sz w:val="24"/>
                      <w:szCs w:val="24"/>
                    </w:rPr>
                  </w:pPr>
                  <w:r>
                    <w:rPr>
                      <w:rFonts w:hint="eastAsia"/>
                      <w:sz w:val="24"/>
                      <w:szCs w:val="24"/>
                    </w:rPr>
                    <w:t>超细玻璃纤维滤膜</w:t>
                  </w:r>
                </w:p>
              </w:tc>
              <w:tc>
                <w:tcPr>
                  <w:tcW w:w="1938" w:type="dxa"/>
                  <w:tcBorders>
                    <w:top w:val="single" w:color="auto" w:sz="4" w:space="0"/>
                    <w:bottom w:val="single" w:color="auto" w:sz="4" w:space="0"/>
                    <w:right w:val="single" w:color="auto" w:sz="4" w:space="0"/>
                  </w:tcBorders>
                  <w:noWrap w:val="0"/>
                  <w:vAlign w:val="center"/>
                </w:tcPr>
                <w:p>
                  <w:pPr>
                    <w:spacing w:line="276" w:lineRule="auto"/>
                    <w:jc w:val="center"/>
                    <w:rPr>
                      <w:rFonts w:ascii="宋体" w:hAnsi="宋体"/>
                      <w:sz w:val="24"/>
                      <w:szCs w:val="24"/>
                    </w:rPr>
                  </w:pPr>
                  <w:r>
                    <w:rPr>
                      <w:rFonts w:hint="eastAsia" w:ascii="宋体" w:hAnsi="宋体"/>
                      <w:sz w:val="24"/>
                      <w:szCs w:val="24"/>
                    </w:rPr>
                    <w:t>100L/min</w:t>
                  </w:r>
                </w:p>
              </w:tc>
              <w:tc>
                <w:tcPr>
                  <w:tcW w:w="1984" w:type="dxa"/>
                  <w:tcBorders>
                    <w:top w:val="single" w:color="auto" w:sz="4" w:space="0"/>
                    <w:left w:val="single" w:color="auto" w:sz="4" w:space="0"/>
                    <w:bottom w:val="single" w:color="auto" w:sz="4" w:space="0"/>
                    <w:right w:val="single" w:color="auto" w:sz="4" w:space="0"/>
                  </w:tcBorders>
                  <w:noWrap w:val="0"/>
                  <w:vAlign w:val="center"/>
                </w:tcPr>
                <w:p>
                  <w:pPr>
                    <w:spacing w:line="276" w:lineRule="auto"/>
                    <w:jc w:val="center"/>
                    <w:rPr>
                      <w:rFonts w:ascii="宋体" w:hAnsi="宋体"/>
                      <w:sz w:val="24"/>
                      <w:szCs w:val="24"/>
                    </w:rPr>
                  </w:pPr>
                  <w:r>
                    <w:rPr>
                      <w:rFonts w:hint="eastAsia" w:ascii="宋体" w:hAnsi="宋体"/>
                      <w:sz w:val="24"/>
                      <w:szCs w:val="24"/>
                    </w:rPr>
                    <w:t>50min/次，5000L</w:t>
                  </w:r>
                </w:p>
              </w:tc>
              <w:tc>
                <w:tcPr>
                  <w:tcW w:w="1914" w:type="dxa"/>
                  <w:tcBorders>
                    <w:top w:val="single" w:color="auto" w:sz="4" w:space="0"/>
                    <w:left w:val="single" w:color="auto" w:sz="4" w:space="0"/>
                    <w:bottom w:val="single" w:color="auto" w:sz="4" w:space="0"/>
                  </w:tcBorders>
                  <w:noWrap w:val="0"/>
                  <w:vAlign w:val="center"/>
                </w:tcPr>
                <w:p>
                  <w:pPr>
                    <w:spacing w:line="276" w:lineRule="auto"/>
                    <w:jc w:val="center"/>
                    <w:rPr>
                      <w:rFonts w:ascii="宋体" w:hAnsi="宋体"/>
                      <w:sz w:val="24"/>
                      <w:szCs w:val="24"/>
                    </w:rPr>
                  </w:pPr>
                  <w:r>
                    <w:rPr>
                      <w:rFonts w:hint="eastAsia" w:ascii="宋体" w:hAnsi="宋体"/>
                      <w:sz w:val="24"/>
                      <w:szCs w:val="24"/>
                    </w:rPr>
                    <w:t>对折两次存于滤膜袋</w:t>
                  </w:r>
                </w:p>
              </w:tc>
            </w:tr>
          </w:tbl>
          <w:p>
            <w:pPr>
              <w:spacing w:line="360" w:lineRule="auto"/>
              <w:rPr>
                <w:rFonts w:ascii="宋体" w:hAnsi="宋体" w:eastAsia="宋体"/>
                <w:b/>
                <w:bCs/>
                <w:sz w:val="24"/>
                <w:szCs w:val="24"/>
              </w:rPr>
            </w:pPr>
            <w:r>
              <w:rPr>
                <w:rFonts w:hint="eastAsia" w:ascii="宋体" w:hAnsi="宋体" w:eastAsia="宋体"/>
                <w:b/>
                <w:bCs/>
                <w:sz w:val="24"/>
                <w:szCs w:val="24"/>
              </w:rPr>
              <w:t>5</w:t>
            </w:r>
            <w:r>
              <w:rPr>
                <w:rFonts w:ascii="宋体" w:hAnsi="宋体" w:eastAsia="宋体"/>
                <w:b/>
                <w:bCs/>
                <w:sz w:val="24"/>
                <w:szCs w:val="24"/>
              </w:rPr>
              <w:t>.4 样品的保存及运输</w:t>
            </w:r>
          </w:p>
          <w:p>
            <w:pPr>
              <w:spacing w:line="360" w:lineRule="auto"/>
              <w:ind w:firstLine="480" w:firstLineChars="200"/>
              <w:rPr>
                <w:rFonts w:ascii="宋体" w:hAnsi="宋体" w:eastAsia="宋体"/>
                <w:sz w:val="24"/>
                <w:szCs w:val="24"/>
              </w:rPr>
            </w:pPr>
            <w:r>
              <w:rPr>
                <w:rFonts w:ascii="宋体" w:hAnsi="宋体" w:eastAsia="宋体"/>
                <w:sz w:val="24"/>
                <w:szCs w:val="24"/>
              </w:rPr>
              <w:t>废气</w:t>
            </w:r>
            <w:r>
              <w:rPr>
                <w:rFonts w:hint="eastAsia" w:ascii="宋体" w:hAnsi="宋体" w:eastAsia="宋体"/>
                <w:sz w:val="24"/>
                <w:szCs w:val="24"/>
              </w:rPr>
              <w:t>、废水</w:t>
            </w:r>
            <w:r>
              <w:rPr>
                <w:rFonts w:ascii="宋体" w:hAnsi="宋体" w:eastAsia="宋体"/>
                <w:sz w:val="24"/>
                <w:szCs w:val="24"/>
              </w:rPr>
              <w:t>在规定日期内处理分析。</w:t>
            </w:r>
          </w:p>
          <w:p>
            <w:pPr>
              <w:spacing w:line="360" w:lineRule="auto"/>
              <w:rPr>
                <w:rFonts w:ascii="宋体" w:hAnsi="宋体" w:eastAsia="宋体"/>
                <w:b/>
                <w:bCs/>
                <w:sz w:val="24"/>
                <w:szCs w:val="24"/>
              </w:rPr>
            </w:pPr>
            <w:r>
              <w:rPr>
                <w:rFonts w:hint="eastAsia" w:ascii="宋体" w:hAnsi="宋体" w:eastAsia="宋体"/>
                <w:b/>
                <w:bCs/>
                <w:sz w:val="24"/>
                <w:szCs w:val="24"/>
              </w:rPr>
              <w:t>5</w:t>
            </w:r>
            <w:r>
              <w:rPr>
                <w:rFonts w:ascii="宋体" w:hAnsi="宋体" w:eastAsia="宋体"/>
                <w:b/>
                <w:bCs/>
                <w:sz w:val="24"/>
                <w:szCs w:val="24"/>
              </w:rPr>
              <w:t>.5 实验室分析</w:t>
            </w:r>
          </w:p>
          <w:p>
            <w:pPr>
              <w:spacing w:line="360" w:lineRule="auto"/>
              <w:ind w:firstLine="480" w:firstLineChars="200"/>
              <w:rPr>
                <w:rFonts w:ascii="宋体" w:hAnsi="宋体" w:eastAsia="宋体"/>
                <w:sz w:val="24"/>
                <w:szCs w:val="24"/>
              </w:rPr>
            </w:pPr>
            <w:r>
              <w:rPr>
                <w:rFonts w:ascii="宋体" w:hAnsi="宋体" w:eastAsia="宋体"/>
                <w:sz w:val="24"/>
                <w:szCs w:val="24"/>
              </w:rPr>
              <w:t>保证实验室条件，实验室用水、使用试剂、器皿符合要求。</w:t>
            </w:r>
          </w:p>
          <w:p>
            <w:pPr>
              <w:spacing w:line="360" w:lineRule="auto"/>
              <w:rPr>
                <w:rFonts w:ascii="宋体" w:hAnsi="宋体" w:eastAsia="宋体"/>
                <w:b/>
                <w:bCs/>
                <w:sz w:val="24"/>
                <w:szCs w:val="24"/>
              </w:rPr>
            </w:pPr>
            <w:r>
              <w:rPr>
                <w:rFonts w:hint="eastAsia" w:ascii="宋体" w:hAnsi="宋体" w:eastAsia="宋体"/>
                <w:b/>
                <w:bCs/>
                <w:sz w:val="24"/>
                <w:szCs w:val="24"/>
              </w:rPr>
              <w:t>5</w:t>
            </w:r>
            <w:r>
              <w:rPr>
                <w:rFonts w:ascii="宋体" w:hAnsi="宋体" w:eastAsia="宋体"/>
                <w:b/>
                <w:bCs/>
                <w:sz w:val="24"/>
                <w:szCs w:val="24"/>
              </w:rPr>
              <w:t>.6 数据审核</w:t>
            </w:r>
          </w:p>
          <w:p>
            <w:pPr>
              <w:spacing w:line="360" w:lineRule="auto"/>
              <w:ind w:firstLine="480" w:firstLineChars="200"/>
              <w:rPr>
                <w:rFonts w:hint="eastAsia"/>
                <w:b/>
              </w:rPr>
            </w:pPr>
            <w:r>
              <w:rPr>
                <w:rFonts w:ascii="宋体" w:hAnsi="宋体" w:eastAsia="宋体"/>
                <w:sz w:val="24"/>
                <w:szCs w:val="24"/>
              </w:rPr>
              <w:t>采样记录、分析结果、监测方案及报告严格执行三级审核制度。</w:t>
            </w:r>
          </w:p>
          <w:p>
            <w:pPr>
              <w:numPr>
                <w:ilvl w:val="0"/>
                <w:numId w:val="0"/>
              </w:numPr>
              <w:adjustRightInd w:val="0"/>
              <w:snapToGrid w:val="0"/>
              <w:spacing w:line="360" w:lineRule="auto"/>
              <w:rPr>
                <w:rFonts w:ascii="Times New Roman" w:hAnsi="Times New Roman"/>
              </w:rPr>
            </w:pPr>
          </w:p>
          <w:p>
            <w:pPr>
              <w:pStyle w:val="25"/>
              <w:rPr>
                <w:rFonts w:hint="eastAsia" w:ascii="Times New Roman" w:hAnsi="Times New Roman"/>
              </w:rPr>
            </w:pPr>
          </w:p>
          <w:p>
            <w:pPr>
              <w:pStyle w:val="25"/>
              <w:rPr>
                <w:rFonts w:hint="eastAsia" w:ascii="Times New Roman" w:hAnsi="Times New Roman"/>
              </w:rPr>
            </w:pPr>
          </w:p>
          <w:p>
            <w:pPr>
              <w:pStyle w:val="25"/>
              <w:rPr>
                <w:rFonts w:hint="eastAsia" w:ascii="Times New Roman" w:hAnsi="Times New Roman"/>
              </w:rPr>
            </w:pPr>
          </w:p>
          <w:p>
            <w:pPr>
              <w:pStyle w:val="25"/>
              <w:rPr>
                <w:rFonts w:hint="eastAsia" w:ascii="Times New Roman" w:hAnsi="Times New Roman"/>
              </w:rPr>
            </w:pPr>
          </w:p>
          <w:p>
            <w:pPr>
              <w:pStyle w:val="25"/>
              <w:rPr>
                <w:rFonts w:hint="eastAsia" w:ascii="Times New Roman" w:hAnsi="Times New Roman"/>
              </w:rPr>
            </w:pPr>
          </w:p>
        </w:tc>
      </w:tr>
    </w:tbl>
    <w:p>
      <w:pPr>
        <w:spacing w:line="0" w:lineRule="atLeast"/>
        <w:rPr>
          <w:rFonts w:hint="eastAsia" w:ascii="Times New Roman" w:hAnsi="Times New Roman"/>
          <w:b/>
          <w:sz w:val="24"/>
        </w:rPr>
      </w:pPr>
    </w:p>
    <w:p>
      <w:pPr>
        <w:spacing w:line="0" w:lineRule="atLeast"/>
        <w:ind w:firstLine="482" w:firstLineChars="200"/>
        <w:rPr>
          <w:rFonts w:ascii="Times New Roman" w:hAnsi="Times New Roman"/>
          <w:b/>
          <w:sz w:val="24"/>
        </w:rPr>
      </w:pPr>
      <w:r>
        <w:rPr>
          <w:rFonts w:hint="eastAsia" w:ascii="Times New Roman" w:hAnsi="Times New Roman"/>
          <w:b/>
          <w:sz w:val="24"/>
        </w:rPr>
        <w:t>表六 验收监测内容</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6" w:hRule="atLeast"/>
          <w:jc w:val="center"/>
        </w:trPr>
        <w:tc>
          <w:tcPr>
            <w:tcW w:w="9071" w:type="dxa"/>
            <w:noWrap w:val="0"/>
            <w:vAlign w:val="top"/>
          </w:tcPr>
          <w:p>
            <w:pPr>
              <w:pStyle w:val="5"/>
              <w:ind w:left="0" w:leftChars="0" w:firstLine="0" w:firstLineChars="0"/>
              <w:rPr>
                <w:rFonts w:hint="eastAsia" w:ascii="Times New Roman" w:hAnsi="Times New Roman"/>
                <w:sz w:val="24"/>
                <w:szCs w:val="24"/>
              </w:rPr>
            </w:pPr>
            <w:bookmarkStart w:id="5" w:name="_Toc17954"/>
            <w:r>
              <w:rPr>
                <w:rFonts w:hint="eastAsia" w:ascii="Times New Roman" w:hAnsi="Times New Roman"/>
                <w:sz w:val="24"/>
                <w:szCs w:val="24"/>
              </w:rPr>
              <w:t>1、废水</w:t>
            </w:r>
            <w:bookmarkEnd w:id="5"/>
          </w:p>
          <w:p>
            <w:pPr>
              <w:spacing w:line="360" w:lineRule="auto"/>
              <w:ind w:firstLine="480" w:firstLineChars="200"/>
              <w:rPr>
                <w:rFonts w:ascii="Times New Roman" w:hAnsi="Times New Roman"/>
                <w:sz w:val="24"/>
              </w:rPr>
            </w:pPr>
            <w:bookmarkStart w:id="6" w:name="_Toc1134"/>
            <w:r>
              <w:rPr>
                <w:rFonts w:ascii="Times New Roman" w:hAnsi="Times New Roman"/>
                <w:sz w:val="24"/>
                <w:szCs w:val="24"/>
              </w:rPr>
              <w:t>根据</w:t>
            </w:r>
            <w:r>
              <w:rPr>
                <w:rFonts w:hint="eastAsia" w:ascii="Times New Roman" w:hAnsi="Times New Roman"/>
                <w:sz w:val="24"/>
                <w:szCs w:val="24"/>
              </w:rPr>
              <w:t>现场勘察</w:t>
            </w:r>
            <w:r>
              <w:rPr>
                <w:rFonts w:ascii="Times New Roman" w:hAnsi="Times New Roman"/>
                <w:sz w:val="24"/>
                <w:szCs w:val="24"/>
              </w:rPr>
              <w:t>情况，</w:t>
            </w:r>
            <w:r>
              <w:rPr>
                <w:rFonts w:hint="eastAsia" w:ascii="Times New Roman" w:hAnsi="Times New Roman"/>
                <w:sz w:val="24"/>
                <w:szCs w:val="24"/>
                <w:lang w:eastAsia="zh-CN"/>
              </w:rPr>
              <w:t>生活</w:t>
            </w:r>
            <w:r>
              <w:rPr>
                <w:rFonts w:cs="Times New Roman"/>
                <w:sz w:val="24"/>
                <w:szCs w:val="24"/>
              </w:rPr>
              <w:t>污水采用化粪池预处理后接入市政污水管网，</w:t>
            </w:r>
            <w:r>
              <w:rPr>
                <w:rFonts w:hint="eastAsia" w:cs="Times New Roman"/>
                <w:sz w:val="24"/>
                <w:szCs w:val="24"/>
                <w:lang w:eastAsia="zh-CN"/>
              </w:rPr>
              <w:t>然后生活</w:t>
            </w:r>
            <w:r>
              <w:rPr>
                <w:rFonts w:cs="Times New Roman"/>
                <w:sz w:val="24"/>
                <w:szCs w:val="24"/>
              </w:rPr>
              <w:t>污水通过</w:t>
            </w:r>
            <w:r>
              <w:rPr>
                <w:rFonts w:hint="eastAsia" w:cs="Times New Roman"/>
                <w:sz w:val="24"/>
                <w:szCs w:val="24"/>
                <w:lang w:eastAsia="zh-CN"/>
              </w:rPr>
              <w:t>吉安市新源</w:t>
            </w:r>
            <w:r>
              <w:rPr>
                <w:rFonts w:cs="Times New Roman"/>
                <w:sz w:val="24"/>
                <w:szCs w:val="24"/>
              </w:rPr>
              <w:t>污水处理厂处理达标后再外排</w:t>
            </w:r>
            <w:r>
              <w:rPr>
                <w:rFonts w:hint="eastAsia" w:ascii="Times New Roman" w:hAnsi="Times New Roman"/>
                <w:sz w:val="24"/>
              </w:rPr>
              <w:t>。因此本次监测在</w:t>
            </w:r>
            <w:r>
              <w:rPr>
                <w:rFonts w:hint="eastAsia" w:ascii="宋体" w:hAnsi="宋体" w:eastAsia="宋体" w:cs="宋体"/>
                <w:sz w:val="24"/>
                <w:szCs w:val="24"/>
                <w:lang w:eastAsia="zh-CN"/>
              </w:rPr>
              <w:t>生活污水处理设施</w:t>
            </w:r>
            <w:r>
              <w:rPr>
                <w:rFonts w:hint="eastAsia" w:ascii="Times New Roman" w:hAnsi="Times New Roman"/>
                <w:sz w:val="24"/>
              </w:rPr>
              <w:t>总排放口设置了一个监测点位，</w:t>
            </w:r>
            <w:r>
              <w:rPr>
                <w:rFonts w:ascii="Times New Roman" w:hAnsi="Times New Roman"/>
                <w:sz w:val="24"/>
              </w:rPr>
              <w:t>废水监测内容见表</w:t>
            </w:r>
            <w:r>
              <w:rPr>
                <w:rFonts w:hint="eastAsia" w:ascii="Times New Roman" w:hAnsi="Times New Roman"/>
                <w:sz w:val="24"/>
              </w:rPr>
              <w:t>6</w:t>
            </w:r>
            <w:r>
              <w:rPr>
                <w:rFonts w:ascii="Times New Roman" w:hAnsi="Times New Roman"/>
                <w:sz w:val="24"/>
              </w:rPr>
              <w:t>-</w:t>
            </w:r>
            <w:r>
              <w:rPr>
                <w:rFonts w:hint="eastAsia" w:ascii="Times New Roman" w:hAnsi="Times New Roman"/>
                <w:sz w:val="24"/>
              </w:rPr>
              <w:t>1</w:t>
            </w:r>
            <w:r>
              <w:rPr>
                <w:rFonts w:ascii="Times New Roman" w:hAnsi="Times New Roman"/>
                <w:sz w:val="24"/>
              </w:rPr>
              <w:t>。</w:t>
            </w:r>
          </w:p>
          <w:p>
            <w:pPr>
              <w:pStyle w:val="51"/>
              <w:spacing w:beforeLines="0"/>
              <w:rPr>
                <w:rFonts w:ascii="Times New Roman" w:hAnsi="Times New Roman"/>
              </w:rPr>
            </w:pPr>
            <w:r>
              <w:rPr>
                <w:rFonts w:ascii="Times New Roman" w:hAnsi="Times New Roman"/>
              </w:rPr>
              <w:t>表</w:t>
            </w:r>
            <w:r>
              <w:rPr>
                <w:rFonts w:hint="eastAsia" w:ascii="Times New Roman" w:hAnsi="Times New Roman"/>
              </w:rPr>
              <w:t>6</w:t>
            </w:r>
            <w:r>
              <w:rPr>
                <w:rFonts w:ascii="Times New Roman" w:hAnsi="Times New Roman"/>
              </w:rPr>
              <w:t>-</w:t>
            </w:r>
            <w:r>
              <w:rPr>
                <w:rFonts w:hint="eastAsia" w:ascii="Times New Roman" w:hAnsi="Times New Roman"/>
              </w:rPr>
              <w:t>1</w:t>
            </w:r>
            <w:r>
              <w:rPr>
                <w:rFonts w:ascii="Times New Roman" w:hAnsi="Times New Roman"/>
              </w:rPr>
              <w:t xml:space="preserve">   废水监测内容</w:t>
            </w:r>
          </w:p>
          <w:tbl>
            <w:tblPr>
              <w:tblStyle w:val="20"/>
              <w:tblW w:w="86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2760"/>
              <w:gridCol w:w="2655"/>
              <w:gridCol w:w="1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270" w:type="dxa"/>
                  <w:noWrap w:val="0"/>
                  <w:vAlign w:val="center"/>
                </w:tcPr>
                <w:p>
                  <w:pPr>
                    <w:pStyle w:val="47"/>
                    <w:spacing w:line="300" w:lineRule="exact"/>
                    <w:rPr>
                      <w:rFonts w:ascii="Times New Roman" w:hAnsi="Times New Roman"/>
                      <w:b/>
                      <w:bCs/>
                      <w:sz w:val="24"/>
                      <w:szCs w:val="24"/>
                    </w:rPr>
                  </w:pPr>
                  <w:r>
                    <w:rPr>
                      <w:rFonts w:hint="eastAsia" w:ascii="Times New Roman" w:hAnsi="Times New Roman"/>
                      <w:b/>
                      <w:bCs/>
                      <w:sz w:val="24"/>
                      <w:szCs w:val="24"/>
                    </w:rPr>
                    <w:t>废水名称</w:t>
                  </w:r>
                </w:p>
              </w:tc>
              <w:tc>
                <w:tcPr>
                  <w:tcW w:w="2760" w:type="dxa"/>
                  <w:noWrap w:val="0"/>
                  <w:vAlign w:val="center"/>
                </w:tcPr>
                <w:p>
                  <w:pPr>
                    <w:pStyle w:val="47"/>
                    <w:spacing w:line="300" w:lineRule="exact"/>
                    <w:rPr>
                      <w:rFonts w:ascii="Times New Roman" w:hAnsi="Times New Roman"/>
                      <w:b/>
                      <w:bCs/>
                      <w:sz w:val="24"/>
                      <w:szCs w:val="24"/>
                    </w:rPr>
                  </w:pPr>
                  <w:r>
                    <w:rPr>
                      <w:rFonts w:hint="eastAsia" w:ascii="Times New Roman" w:hAnsi="Times New Roman"/>
                      <w:b/>
                      <w:bCs/>
                      <w:sz w:val="24"/>
                      <w:szCs w:val="24"/>
                    </w:rPr>
                    <w:t>监测点位</w:t>
                  </w:r>
                </w:p>
              </w:tc>
              <w:tc>
                <w:tcPr>
                  <w:tcW w:w="2655" w:type="dxa"/>
                  <w:noWrap w:val="0"/>
                  <w:vAlign w:val="center"/>
                </w:tcPr>
                <w:p>
                  <w:pPr>
                    <w:pStyle w:val="47"/>
                    <w:spacing w:line="300" w:lineRule="exact"/>
                    <w:rPr>
                      <w:rFonts w:ascii="Times New Roman" w:hAnsi="Times New Roman"/>
                      <w:b/>
                      <w:bCs/>
                      <w:sz w:val="24"/>
                      <w:szCs w:val="24"/>
                    </w:rPr>
                  </w:pPr>
                  <w:r>
                    <w:rPr>
                      <w:rFonts w:hint="eastAsia" w:ascii="Times New Roman" w:hAnsi="Times New Roman"/>
                      <w:b/>
                      <w:bCs/>
                      <w:sz w:val="24"/>
                      <w:szCs w:val="24"/>
                    </w:rPr>
                    <w:t>监测项目</w:t>
                  </w:r>
                </w:p>
              </w:tc>
              <w:tc>
                <w:tcPr>
                  <w:tcW w:w="1971" w:type="dxa"/>
                  <w:noWrap w:val="0"/>
                  <w:vAlign w:val="center"/>
                </w:tcPr>
                <w:p>
                  <w:pPr>
                    <w:pStyle w:val="47"/>
                    <w:spacing w:line="300" w:lineRule="exact"/>
                    <w:rPr>
                      <w:rFonts w:ascii="Times New Roman" w:hAnsi="Times New Roman"/>
                      <w:b/>
                      <w:bCs/>
                      <w:sz w:val="24"/>
                      <w:szCs w:val="24"/>
                    </w:rPr>
                  </w:pPr>
                  <w:r>
                    <w:rPr>
                      <w:rFonts w:hint="eastAsia" w:ascii="Times New Roman" w:hAnsi="Times New Roman"/>
                      <w:b/>
                      <w:bCs/>
                      <w:sz w:val="24"/>
                      <w:szCs w:val="24"/>
                    </w:rPr>
                    <w:t>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70" w:type="dxa"/>
                  <w:noWrap w:val="0"/>
                  <w:vAlign w:val="center"/>
                </w:tcPr>
                <w:p>
                  <w:pPr>
                    <w:pStyle w:val="47"/>
                    <w:spacing w:line="30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生活污</w:t>
                  </w:r>
                  <w:r>
                    <w:rPr>
                      <w:rFonts w:hint="default" w:ascii="Times New Roman" w:hAnsi="Times New Roman" w:eastAsia="宋体" w:cs="Times New Roman"/>
                      <w:sz w:val="24"/>
                      <w:szCs w:val="24"/>
                    </w:rPr>
                    <w:t>水</w:t>
                  </w:r>
                </w:p>
              </w:tc>
              <w:tc>
                <w:tcPr>
                  <w:tcW w:w="2760" w:type="dxa"/>
                  <w:noWrap w:val="0"/>
                  <w:vAlign w:val="center"/>
                </w:tcPr>
                <w:p>
                  <w:pPr>
                    <w:pStyle w:val="47"/>
                    <w:spacing w:line="300" w:lineRule="exac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生活污水处理设施</w:t>
                  </w:r>
                  <w:r>
                    <w:rPr>
                      <w:rFonts w:hint="default" w:ascii="Times New Roman" w:hAnsi="Times New Roman" w:eastAsia="宋体" w:cs="Times New Roman"/>
                      <w:sz w:val="24"/>
                      <w:szCs w:val="24"/>
                    </w:rPr>
                    <w:t>总排放口</w:t>
                  </w:r>
                </w:p>
              </w:tc>
              <w:tc>
                <w:tcPr>
                  <w:tcW w:w="2655" w:type="dxa"/>
                  <w:noWrap w:val="0"/>
                  <w:vAlign w:val="center"/>
                </w:tcPr>
                <w:p>
                  <w:pPr>
                    <w:pStyle w:val="47"/>
                    <w:spacing w:line="300" w:lineRule="exact"/>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pH、化学需氧量、</w:t>
                  </w:r>
                  <w:r>
                    <w:rPr>
                      <w:rFonts w:hint="default" w:ascii="Times New Roman" w:hAnsi="Times New Roman" w:eastAsia="宋体" w:cs="Times New Roman"/>
                      <w:sz w:val="24"/>
                      <w:szCs w:val="24"/>
                      <w:lang w:eastAsia="zh-CN"/>
                    </w:rPr>
                    <w:t>生化需氧量、氨氮、动植物油、</w:t>
                  </w:r>
                  <w:r>
                    <w:rPr>
                      <w:rFonts w:hint="default" w:ascii="Times New Roman" w:hAnsi="Times New Roman" w:eastAsia="宋体" w:cs="Times New Roman"/>
                      <w:sz w:val="24"/>
                      <w:szCs w:val="24"/>
                    </w:rPr>
                    <w:t>悬浮物</w:t>
                  </w:r>
                  <w:r>
                    <w:rPr>
                      <w:rFonts w:hint="eastAsia" w:ascii="Times New Roman" w:hAnsi="Times New Roman" w:eastAsia="宋体" w:cs="Times New Roman"/>
                      <w:sz w:val="24"/>
                      <w:szCs w:val="24"/>
                      <w:lang w:eastAsia="zh-CN"/>
                    </w:rPr>
                    <w:t>、石油类</w:t>
                  </w:r>
                </w:p>
              </w:tc>
              <w:tc>
                <w:tcPr>
                  <w:tcW w:w="1971" w:type="dxa"/>
                  <w:noWrap w:val="0"/>
                  <w:vAlign w:val="center"/>
                </w:tcPr>
                <w:p>
                  <w:pPr>
                    <w:pStyle w:val="47"/>
                    <w:spacing w:line="300" w:lineRule="exac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监测2天，4次/天</w:t>
                  </w:r>
                </w:p>
              </w:tc>
            </w:tr>
          </w:tbl>
          <w:p>
            <w:pPr>
              <w:pStyle w:val="5"/>
              <w:ind w:left="0" w:leftChars="0" w:firstLine="0" w:firstLineChars="0"/>
              <w:rPr>
                <w:rFonts w:hint="eastAsia" w:ascii="Times New Roman" w:hAnsi="Times New Roman"/>
                <w:sz w:val="24"/>
                <w:szCs w:val="24"/>
              </w:rPr>
            </w:pPr>
            <w:r>
              <w:rPr>
                <w:rFonts w:hint="eastAsia" w:ascii="Times New Roman" w:hAnsi="Times New Roman"/>
                <w:sz w:val="24"/>
                <w:szCs w:val="24"/>
              </w:rPr>
              <w:t>2、废气</w:t>
            </w:r>
            <w:bookmarkEnd w:id="6"/>
          </w:p>
          <w:p>
            <w:pPr>
              <w:adjustRightInd w:val="0"/>
              <w:snapToGrid w:val="0"/>
              <w:spacing w:line="360" w:lineRule="auto"/>
              <w:ind w:firstLine="480"/>
              <w:rPr>
                <w:rFonts w:ascii="Times New Roman" w:hAnsi="Times New Roman"/>
                <w:sz w:val="24"/>
              </w:rPr>
            </w:pPr>
            <w:r>
              <w:rPr>
                <w:rFonts w:hint="eastAsia" w:ascii="Times New Roman" w:hAnsi="Times New Roman"/>
                <w:sz w:val="24"/>
              </w:rPr>
              <w:t>本项目废气属无组织排放，监测内容见表6-</w:t>
            </w:r>
            <w:r>
              <w:rPr>
                <w:rFonts w:hint="eastAsia" w:ascii="Times New Roman" w:hAnsi="Times New Roman"/>
                <w:sz w:val="24"/>
                <w:lang w:val="en-US" w:eastAsia="zh-CN"/>
              </w:rPr>
              <w:t>1</w:t>
            </w:r>
            <w:r>
              <w:rPr>
                <w:rFonts w:ascii="Times New Roman" w:hAnsi="Times New Roman"/>
                <w:sz w:val="24"/>
              </w:rPr>
              <w:t>。</w:t>
            </w:r>
          </w:p>
          <w:p>
            <w:pPr>
              <w:snapToGrid w:val="0"/>
              <w:spacing w:line="360" w:lineRule="auto"/>
              <w:ind w:firstLine="482"/>
              <w:jc w:val="center"/>
              <w:rPr>
                <w:rFonts w:ascii="Times New Roman" w:hAnsi="Times New Roman"/>
                <w:b/>
                <w:bCs/>
                <w:sz w:val="24"/>
              </w:rPr>
            </w:pPr>
            <w:r>
              <w:rPr>
                <w:rFonts w:ascii="Times New Roman" w:hAnsi="Times New Roman"/>
                <w:b/>
                <w:bCs/>
                <w:sz w:val="24"/>
              </w:rPr>
              <w:t>表</w:t>
            </w:r>
            <w:r>
              <w:rPr>
                <w:rFonts w:hint="eastAsia" w:ascii="Times New Roman" w:hAnsi="Times New Roman"/>
                <w:b/>
                <w:bCs/>
                <w:sz w:val="24"/>
              </w:rPr>
              <w:t>6-</w:t>
            </w:r>
            <w:r>
              <w:rPr>
                <w:rFonts w:hint="eastAsia" w:ascii="Times New Roman" w:hAnsi="Times New Roman"/>
                <w:b/>
                <w:bCs/>
                <w:sz w:val="24"/>
                <w:lang w:val="en-US" w:eastAsia="zh-CN"/>
              </w:rPr>
              <w:t>1</w:t>
            </w:r>
            <w:r>
              <w:rPr>
                <w:rFonts w:ascii="Times New Roman" w:hAnsi="Times New Roman"/>
                <w:b/>
                <w:bCs/>
                <w:sz w:val="24"/>
              </w:rPr>
              <w:t xml:space="preserve">  废气无组织排放监测内容</w:t>
            </w:r>
          </w:p>
          <w:tbl>
            <w:tblPr>
              <w:tblStyle w:val="20"/>
              <w:tblW w:w="878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10"/>
              <w:gridCol w:w="1060"/>
              <w:gridCol w:w="2744"/>
              <w:gridCol w:w="1719"/>
              <w:gridCol w:w="17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6" w:hRule="atLeast"/>
                <w:jc w:val="center"/>
              </w:trPr>
              <w:tc>
                <w:tcPr>
                  <w:tcW w:w="1510"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监测位置</w:t>
                  </w:r>
                </w:p>
              </w:tc>
              <w:tc>
                <w:tcPr>
                  <w:tcW w:w="1060"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点位</w:t>
                  </w:r>
                </w:p>
                <w:p>
                  <w:pPr>
                    <w:pStyle w:val="47"/>
                    <w:spacing w:line="300" w:lineRule="exact"/>
                    <w:rPr>
                      <w:rFonts w:ascii="Times New Roman" w:hAnsi="Times New Roman"/>
                      <w:b/>
                      <w:bCs/>
                      <w:sz w:val="24"/>
                      <w:szCs w:val="24"/>
                    </w:rPr>
                  </w:pPr>
                  <w:r>
                    <w:rPr>
                      <w:rFonts w:ascii="Times New Roman" w:hAnsi="Times New Roman"/>
                      <w:b/>
                      <w:bCs/>
                      <w:sz w:val="24"/>
                      <w:szCs w:val="24"/>
                    </w:rPr>
                    <w:t>编号</w:t>
                  </w:r>
                </w:p>
              </w:tc>
              <w:tc>
                <w:tcPr>
                  <w:tcW w:w="2744"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监测点位名称</w:t>
                  </w:r>
                </w:p>
              </w:tc>
              <w:tc>
                <w:tcPr>
                  <w:tcW w:w="1719"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监测项目</w:t>
                  </w:r>
                </w:p>
              </w:tc>
              <w:tc>
                <w:tcPr>
                  <w:tcW w:w="1747" w:type="dxa"/>
                  <w:noWrap w:val="0"/>
                  <w:vAlign w:val="center"/>
                </w:tcPr>
                <w:p>
                  <w:pPr>
                    <w:pStyle w:val="47"/>
                    <w:spacing w:line="300" w:lineRule="exact"/>
                    <w:rPr>
                      <w:rFonts w:ascii="Times New Roman" w:hAnsi="Times New Roman"/>
                      <w:b/>
                      <w:bCs/>
                      <w:sz w:val="24"/>
                      <w:szCs w:val="24"/>
                    </w:rPr>
                  </w:pPr>
                  <w:r>
                    <w:rPr>
                      <w:rFonts w:ascii="Times New Roman" w:hAnsi="Times New Roman"/>
                      <w:b/>
                      <w:bCs/>
                      <w:sz w:val="24"/>
                      <w:szCs w:val="24"/>
                    </w:rPr>
                    <w:t>监测时间、频次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9" w:hRule="atLeast"/>
                <w:jc w:val="center"/>
              </w:trPr>
              <w:tc>
                <w:tcPr>
                  <w:tcW w:w="1510" w:type="dxa"/>
                  <w:vMerge w:val="restart"/>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场界</w:t>
                  </w:r>
                  <w:r>
                    <w:rPr>
                      <w:rFonts w:ascii="Times New Roman" w:hAnsi="Times New Roman"/>
                      <w:sz w:val="24"/>
                      <w:szCs w:val="24"/>
                    </w:rPr>
                    <w:t>无组织</w:t>
                  </w:r>
                </w:p>
                <w:p>
                  <w:pPr>
                    <w:pStyle w:val="47"/>
                    <w:spacing w:line="300" w:lineRule="exact"/>
                    <w:rPr>
                      <w:rFonts w:ascii="Times New Roman" w:hAnsi="Times New Roman"/>
                      <w:sz w:val="24"/>
                      <w:szCs w:val="24"/>
                    </w:rPr>
                  </w:pPr>
                  <w:r>
                    <w:rPr>
                      <w:rFonts w:ascii="Times New Roman" w:hAnsi="Times New Roman"/>
                      <w:sz w:val="24"/>
                      <w:szCs w:val="24"/>
                    </w:rPr>
                    <w:t>排放</w:t>
                  </w:r>
                </w:p>
              </w:tc>
              <w:tc>
                <w:tcPr>
                  <w:tcW w:w="106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lang w:val="en-US" w:eastAsia="zh-CN"/>
                    </w:rPr>
                    <w:t>C</w:t>
                  </w:r>
                  <w:r>
                    <w:rPr>
                      <w:rFonts w:hint="eastAsia" w:ascii="Times New Roman" w:hAnsi="Times New Roman"/>
                      <w:sz w:val="24"/>
                      <w:szCs w:val="24"/>
                    </w:rPr>
                    <w:t>1</w:t>
                  </w:r>
                </w:p>
              </w:tc>
              <w:tc>
                <w:tcPr>
                  <w:tcW w:w="2744" w:type="dxa"/>
                  <w:noWrap w:val="0"/>
                  <w:vAlign w:val="center"/>
                </w:tcPr>
                <w:p>
                  <w:pPr>
                    <w:pStyle w:val="47"/>
                    <w:spacing w:line="300" w:lineRule="exact"/>
                    <w:rPr>
                      <w:rFonts w:hint="eastAsia" w:ascii="Times New Roman" w:hAnsi="Times New Roman"/>
                      <w:sz w:val="24"/>
                      <w:szCs w:val="24"/>
                    </w:rPr>
                  </w:pPr>
                  <w:r>
                    <w:rPr>
                      <w:rFonts w:hint="eastAsia" w:ascii="Times New Roman" w:hAnsi="Times New Roman"/>
                      <w:sz w:val="24"/>
                      <w:szCs w:val="24"/>
                      <w:lang w:eastAsia="zh-CN"/>
                    </w:rPr>
                    <w:t>项目上风向参照</w:t>
                  </w:r>
                  <w:r>
                    <w:rPr>
                      <w:rFonts w:hint="eastAsia" w:ascii="Times New Roman" w:hAnsi="Times New Roman"/>
                      <w:sz w:val="24"/>
                      <w:szCs w:val="24"/>
                    </w:rPr>
                    <w:t>点</w:t>
                  </w:r>
                </w:p>
              </w:tc>
              <w:tc>
                <w:tcPr>
                  <w:tcW w:w="1719" w:type="dxa"/>
                  <w:vMerge w:val="restart"/>
                  <w:noWrap w:val="0"/>
                  <w:vAlign w:val="center"/>
                </w:tcPr>
                <w:p>
                  <w:pPr>
                    <w:pStyle w:val="47"/>
                    <w:spacing w:line="300" w:lineRule="exact"/>
                    <w:rPr>
                      <w:rFonts w:hint="eastAsia" w:ascii="Times New Roman" w:hAnsi="Times New Roman" w:eastAsiaTheme="minorEastAsia"/>
                      <w:sz w:val="24"/>
                      <w:szCs w:val="24"/>
                      <w:lang w:val="en-US" w:eastAsia="zh-CN"/>
                    </w:rPr>
                  </w:pPr>
                  <w:r>
                    <w:rPr>
                      <w:rFonts w:hint="eastAsia" w:ascii="Times New Roman" w:hAnsi="Times New Roman"/>
                      <w:sz w:val="24"/>
                      <w:szCs w:val="24"/>
                      <w:lang w:eastAsia="zh-CN"/>
                    </w:rPr>
                    <w:t>颗粒物、非甲烷总烃</w:t>
                  </w:r>
                </w:p>
              </w:tc>
              <w:tc>
                <w:tcPr>
                  <w:tcW w:w="1747" w:type="dxa"/>
                  <w:vMerge w:val="restart"/>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 xml:space="preserve"> </w:t>
                  </w:r>
                  <w:r>
                    <w:rPr>
                      <w:rFonts w:ascii="Times New Roman" w:hAnsi="Times New Roman"/>
                      <w:sz w:val="24"/>
                      <w:szCs w:val="24"/>
                    </w:rPr>
                    <w:t>连续监测2天，每天监测</w:t>
                  </w:r>
                  <w:r>
                    <w:rPr>
                      <w:rFonts w:hint="eastAsia" w:ascii="Times New Roman" w:hAnsi="Times New Roman"/>
                      <w:sz w:val="24"/>
                      <w:szCs w:val="24"/>
                    </w:rPr>
                    <w:t>4</w:t>
                  </w:r>
                  <w:r>
                    <w:rPr>
                      <w:rFonts w:ascii="Times New Roman" w:hAnsi="Times New Roman"/>
                      <w:sz w:val="24"/>
                      <w:szCs w:val="24"/>
                    </w:rPr>
                    <w:t>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9" w:hRule="atLeast"/>
                <w:jc w:val="center"/>
              </w:trPr>
              <w:tc>
                <w:tcPr>
                  <w:tcW w:w="1510" w:type="dxa"/>
                  <w:vMerge w:val="continue"/>
                  <w:noWrap w:val="0"/>
                  <w:vAlign w:val="center"/>
                </w:tcPr>
                <w:p>
                  <w:pPr>
                    <w:pStyle w:val="47"/>
                    <w:spacing w:line="300" w:lineRule="exact"/>
                    <w:rPr>
                      <w:rFonts w:ascii="Times New Roman" w:hAnsi="Times New Roman"/>
                      <w:sz w:val="24"/>
                      <w:szCs w:val="24"/>
                    </w:rPr>
                  </w:pPr>
                </w:p>
              </w:tc>
              <w:tc>
                <w:tcPr>
                  <w:tcW w:w="106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lang w:val="en-US" w:eastAsia="zh-CN"/>
                    </w:rPr>
                    <w:t>C</w:t>
                  </w:r>
                  <w:r>
                    <w:rPr>
                      <w:rFonts w:hint="eastAsia" w:ascii="Times New Roman" w:hAnsi="Times New Roman"/>
                      <w:sz w:val="24"/>
                      <w:szCs w:val="24"/>
                    </w:rPr>
                    <w:t>2</w:t>
                  </w:r>
                </w:p>
              </w:tc>
              <w:tc>
                <w:tcPr>
                  <w:tcW w:w="2744" w:type="dxa"/>
                  <w:noWrap w:val="0"/>
                  <w:vAlign w:val="center"/>
                </w:tcPr>
                <w:p>
                  <w:pPr>
                    <w:pStyle w:val="47"/>
                    <w:spacing w:line="300" w:lineRule="exact"/>
                    <w:rPr>
                      <w:rFonts w:hint="eastAsia" w:ascii="Times New Roman" w:hAnsi="Times New Roman"/>
                      <w:sz w:val="24"/>
                      <w:szCs w:val="24"/>
                    </w:rPr>
                  </w:pPr>
                  <w:r>
                    <w:rPr>
                      <w:rFonts w:hint="eastAsia" w:ascii="Times New Roman" w:hAnsi="Times New Roman"/>
                      <w:sz w:val="24"/>
                      <w:szCs w:val="24"/>
                      <w:lang w:eastAsia="zh-CN"/>
                    </w:rPr>
                    <w:t>项目下风向</w:t>
                  </w:r>
                  <w:r>
                    <w:rPr>
                      <w:rFonts w:hint="eastAsia" w:ascii="Times New Roman" w:hAnsi="Times New Roman"/>
                      <w:sz w:val="24"/>
                      <w:szCs w:val="24"/>
                    </w:rPr>
                    <w:t>监控点</w:t>
                  </w:r>
                </w:p>
              </w:tc>
              <w:tc>
                <w:tcPr>
                  <w:tcW w:w="1719" w:type="dxa"/>
                  <w:vMerge w:val="continue"/>
                  <w:noWrap w:val="0"/>
                  <w:vAlign w:val="center"/>
                </w:tcPr>
                <w:p>
                  <w:pPr>
                    <w:pStyle w:val="47"/>
                    <w:spacing w:line="300" w:lineRule="exact"/>
                    <w:rPr>
                      <w:rFonts w:ascii="Times New Roman" w:hAnsi="Times New Roman"/>
                    </w:rPr>
                  </w:pPr>
                </w:p>
              </w:tc>
              <w:tc>
                <w:tcPr>
                  <w:tcW w:w="1747" w:type="dxa"/>
                  <w:vMerge w:val="continue"/>
                  <w:noWrap w:val="0"/>
                  <w:vAlign w:val="center"/>
                </w:tcPr>
                <w:p>
                  <w:pPr>
                    <w:pStyle w:val="47"/>
                    <w:spacing w:line="30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9" w:hRule="atLeast"/>
                <w:jc w:val="center"/>
              </w:trPr>
              <w:tc>
                <w:tcPr>
                  <w:tcW w:w="1510" w:type="dxa"/>
                  <w:vMerge w:val="continue"/>
                  <w:noWrap w:val="0"/>
                  <w:vAlign w:val="center"/>
                </w:tcPr>
                <w:p>
                  <w:pPr>
                    <w:pStyle w:val="47"/>
                    <w:spacing w:line="300" w:lineRule="exact"/>
                    <w:rPr>
                      <w:rFonts w:ascii="Times New Roman" w:hAnsi="Times New Roman"/>
                      <w:sz w:val="24"/>
                      <w:szCs w:val="24"/>
                    </w:rPr>
                  </w:pPr>
                </w:p>
              </w:tc>
              <w:tc>
                <w:tcPr>
                  <w:tcW w:w="106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lang w:val="en-US" w:eastAsia="zh-CN"/>
                    </w:rPr>
                    <w:t>C</w:t>
                  </w:r>
                  <w:r>
                    <w:rPr>
                      <w:rFonts w:hint="eastAsia" w:ascii="Times New Roman" w:hAnsi="Times New Roman"/>
                      <w:sz w:val="24"/>
                      <w:szCs w:val="24"/>
                    </w:rPr>
                    <w:t>3</w:t>
                  </w:r>
                </w:p>
              </w:tc>
              <w:tc>
                <w:tcPr>
                  <w:tcW w:w="2744" w:type="dxa"/>
                  <w:noWrap w:val="0"/>
                  <w:vAlign w:val="center"/>
                </w:tcPr>
                <w:p>
                  <w:pPr>
                    <w:pStyle w:val="47"/>
                    <w:spacing w:line="300" w:lineRule="exact"/>
                    <w:rPr>
                      <w:rFonts w:hint="eastAsia" w:ascii="Times New Roman" w:hAnsi="Times New Roman"/>
                      <w:sz w:val="24"/>
                      <w:szCs w:val="24"/>
                    </w:rPr>
                  </w:pPr>
                  <w:r>
                    <w:rPr>
                      <w:rFonts w:hint="eastAsia" w:ascii="Times New Roman" w:hAnsi="Times New Roman"/>
                      <w:sz w:val="24"/>
                      <w:szCs w:val="24"/>
                      <w:lang w:eastAsia="zh-CN"/>
                    </w:rPr>
                    <w:t>项目下风向</w:t>
                  </w:r>
                  <w:r>
                    <w:rPr>
                      <w:rFonts w:hint="eastAsia" w:ascii="Times New Roman" w:hAnsi="Times New Roman"/>
                      <w:sz w:val="24"/>
                      <w:szCs w:val="24"/>
                    </w:rPr>
                    <w:t>监控点</w:t>
                  </w:r>
                </w:p>
              </w:tc>
              <w:tc>
                <w:tcPr>
                  <w:tcW w:w="1719" w:type="dxa"/>
                  <w:vMerge w:val="continue"/>
                  <w:noWrap w:val="0"/>
                  <w:vAlign w:val="center"/>
                </w:tcPr>
                <w:p>
                  <w:pPr>
                    <w:pStyle w:val="47"/>
                    <w:spacing w:line="300" w:lineRule="exact"/>
                    <w:rPr>
                      <w:rFonts w:ascii="Times New Roman" w:hAnsi="Times New Roman"/>
                    </w:rPr>
                  </w:pPr>
                </w:p>
              </w:tc>
              <w:tc>
                <w:tcPr>
                  <w:tcW w:w="1747" w:type="dxa"/>
                  <w:vMerge w:val="continue"/>
                  <w:noWrap w:val="0"/>
                  <w:vAlign w:val="center"/>
                </w:tcPr>
                <w:p>
                  <w:pPr>
                    <w:pStyle w:val="47"/>
                    <w:spacing w:line="300" w:lineRule="exact"/>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1510" w:type="dxa"/>
                  <w:vMerge w:val="continue"/>
                  <w:noWrap w:val="0"/>
                  <w:vAlign w:val="center"/>
                </w:tcPr>
                <w:p>
                  <w:pPr>
                    <w:pStyle w:val="47"/>
                    <w:spacing w:line="300" w:lineRule="exact"/>
                    <w:rPr>
                      <w:rFonts w:ascii="Times New Roman" w:hAnsi="Times New Roman"/>
                      <w:sz w:val="24"/>
                      <w:szCs w:val="24"/>
                    </w:rPr>
                  </w:pPr>
                </w:p>
              </w:tc>
              <w:tc>
                <w:tcPr>
                  <w:tcW w:w="106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lang w:val="en-US" w:eastAsia="zh-CN"/>
                    </w:rPr>
                    <w:t>C</w:t>
                  </w:r>
                  <w:r>
                    <w:rPr>
                      <w:rFonts w:hint="eastAsia" w:ascii="Times New Roman" w:hAnsi="Times New Roman"/>
                      <w:sz w:val="24"/>
                      <w:szCs w:val="24"/>
                    </w:rPr>
                    <w:t>4</w:t>
                  </w:r>
                </w:p>
              </w:tc>
              <w:tc>
                <w:tcPr>
                  <w:tcW w:w="2744" w:type="dxa"/>
                  <w:noWrap w:val="0"/>
                  <w:vAlign w:val="center"/>
                </w:tcPr>
                <w:p>
                  <w:pPr>
                    <w:pStyle w:val="47"/>
                    <w:spacing w:line="300" w:lineRule="exact"/>
                    <w:rPr>
                      <w:rFonts w:hint="eastAsia" w:ascii="Times New Roman" w:hAnsi="Times New Roman"/>
                      <w:sz w:val="24"/>
                      <w:szCs w:val="24"/>
                    </w:rPr>
                  </w:pPr>
                  <w:r>
                    <w:rPr>
                      <w:rFonts w:hint="eastAsia" w:ascii="Times New Roman" w:hAnsi="Times New Roman"/>
                      <w:sz w:val="24"/>
                      <w:szCs w:val="24"/>
                      <w:lang w:eastAsia="zh-CN"/>
                    </w:rPr>
                    <w:t>项目下风向</w:t>
                  </w:r>
                  <w:r>
                    <w:rPr>
                      <w:rFonts w:hint="eastAsia" w:ascii="Times New Roman" w:hAnsi="Times New Roman"/>
                      <w:sz w:val="24"/>
                      <w:szCs w:val="24"/>
                    </w:rPr>
                    <w:t>监控点</w:t>
                  </w:r>
                </w:p>
              </w:tc>
              <w:tc>
                <w:tcPr>
                  <w:tcW w:w="1719" w:type="dxa"/>
                  <w:vMerge w:val="continue"/>
                  <w:noWrap w:val="0"/>
                  <w:vAlign w:val="center"/>
                </w:tcPr>
                <w:p>
                  <w:pPr>
                    <w:pStyle w:val="47"/>
                    <w:spacing w:line="300" w:lineRule="exact"/>
                    <w:rPr>
                      <w:rFonts w:ascii="Times New Roman" w:hAnsi="Times New Roman"/>
                    </w:rPr>
                  </w:pPr>
                </w:p>
              </w:tc>
              <w:tc>
                <w:tcPr>
                  <w:tcW w:w="1747" w:type="dxa"/>
                  <w:vMerge w:val="continue"/>
                  <w:noWrap w:val="0"/>
                  <w:vAlign w:val="center"/>
                </w:tcPr>
                <w:p>
                  <w:pPr>
                    <w:pStyle w:val="47"/>
                    <w:spacing w:line="300" w:lineRule="exact"/>
                    <w:rPr>
                      <w:rFonts w:ascii="Times New Roman" w:hAnsi="Times New Roman"/>
                    </w:rPr>
                  </w:pPr>
                </w:p>
              </w:tc>
            </w:tr>
          </w:tbl>
          <w:p>
            <w:pPr>
              <w:pStyle w:val="5"/>
              <w:ind w:left="0" w:leftChars="0" w:firstLine="0" w:firstLineChars="0"/>
              <w:rPr>
                <w:rFonts w:ascii="Times New Roman" w:hAnsi="Times New Roman"/>
                <w:sz w:val="24"/>
                <w:szCs w:val="24"/>
              </w:rPr>
            </w:pPr>
            <w:bookmarkStart w:id="7" w:name="_Toc32452"/>
            <w:r>
              <w:rPr>
                <w:rFonts w:hint="eastAsia" w:ascii="Times New Roman" w:hAnsi="Times New Roman"/>
                <w:sz w:val="24"/>
                <w:szCs w:val="24"/>
              </w:rPr>
              <w:t>3、厂界噪声</w:t>
            </w:r>
            <w:bookmarkEnd w:id="7"/>
          </w:p>
          <w:p>
            <w:pPr>
              <w:adjustRightInd w:val="0"/>
              <w:snapToGrid w:val="0"/>
              <w:spacing w:line="360" w:lineRule="auto"/>
              <w:ind w:firstLine="480"/>
              <w:rPr>
                <w:rFonts w:hint="eastAsia" w:ascii="Times New Roman" w:hAnsi="Times New Roman"/>
                <w:sz w:val="24"/>
              </w:rPr>
            </w:pPr>
            <w:r>
              <w:rPr>
                <w:rFonts w:hint="eastAsia" w:ascii="Times New Roman" w:hAnsi="Times New Roman"/>
                <w:sz w:val="24"/>
              </w:rPr>
              <w:t>项目噪声监测内容见表6-</w:t>
            </w:r>
            <w:r>
              <w:rPr>
                <w:rFonts w:hint="eastAsia" w:ascii="Times New Roman" w:hAnsi="Times New Roman"/>
                <w:sz w:val="24"/>
                <w:lang w:val="en-US" w:eastAsia="zh-CN"/>
              </w:rPr>
              <w:t>2</w:t>
            </w:r>
            <w:r>
              <w:rPr>
                <w:rFonts w:hint="eastAsia" w:ascii="Times New Roman" w:hAnsi="Times New Roman"/>
                <w:sz w:val="24"/>
              </w:rPr>
              <w:t>。</w:t>
            </w:r>
          </w:p>
          <w:p>
            <w:pPr>
              <w:spacing w:line="360" w:lineRule="auto"/>
              <w:ind w:firstLine="482"/>
              <w:jc w:val="center"/>
              <w:rPr>
                <w:rFonts w:ascii="Times New Roman" w:hAnsi="Times New Roman"/>
                <w:b/>
                <w:bCs/>
                <w:sz w:val="24"/>
              </w:rPr>
            </w:pPr>
            <w:r>
              <w:rPr>
                <w:rFonts w:hint="eastAsia" w:ascii="Times New Roman" w:hAnsi="Times New Roman"/>
                <w:b/>
                <w:bCs/>
                <w:sz w:val="24"/>
              </w:rPr>
              <w:t>表6-</w:t>
            </w:r>
            <w:r>
              <w:rPr>
                <w:rFonts w:hint="eastAsia" w:ascii="Times New Roman" w:hAnsi="Times New Roman"/>
                <w:b/>
                <w:bCs/>
                <w:sz w:val="24"/>
                <w:lang w:val="en-US" w:eastAsia="zh-CN"/>
              </w:rPr>
              <w:t>2</w:t>
            </w:r>
            <w:r>
              <w:rPr>
                <w:rFonts w:hint="eastAsia" w:ascii="Times New Roman" w:hAnsi="Times New Roman"/>
                <w:b/>
                <w:bCs/>
                <w:sz w:val="24"/>
              </w:rPr>
              <w:t xml:space="preserve"> 噪声监测内容</w:t>
            </w:r>
          </w:p>
          <w:tbl>
            <w:tblPr>
              <w:tblStyle w:val="20"/>
              <w:tblW w:w="852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81"/>
              <w:gridCol w:w="1240"/>
              <w:gridCol w:w="2081"/>
              <w:gridCol w:w="30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81" w:type="dxa"/>
                  <w:noWrap w:val="0"/>
                  <w:vAlign w:val="center"/>
                </w:tcPr>
                <w:p>
                  <w:pPr>
                    <w:pStyle w:val="47"/>
                    <w:rPr>
                      <w:rFonts w:ascii="Times New Roman" w:hAnsi="Times New Roman"/>
                      <w:b/>
                      <w:bCs/>
                      <w:sz w:val="24"/>
                      <w:szCs w:val="24"/>
                    </w:rPr>
                  </w:pPr>
                  <w:r>
                    <w:rPr>
                      <w:rFonts w:ascii="Times New Roman" w:hAnsi="Times New Roman"/>
                      <w:b/>
                      <w:bCs/>
                      <w:sz w:val="24"/>
                      <w:szCs w:val="24"/>
                    </w:rPr>
                    <w:t>采样位置</w:t>
                  </w:r>
                </w:p>
              </w:tc>
              <w:tc>
                <w:tcPr>
                  <w:tcW w:w="1240" w:type="dxa"/>
                  <w:noWrap w:val="0"/>
                  <w:vAlign w:val="center"/>
                </w:tcPr>
                <w:p>
                  <w:pPr>
                    <w:pStyle w:val="47"/>
                    <w:rPr>
                      <w:rFonts w:ascii="Times New Roman" w:hAnsi="Times New Roman"/>
                      <w:b/>
                      <w:bCs/>
                      <w:sz w:val="24"/>
                      <w:szCs w:val="24"/>
                    </w:rPr>
                  </w:pPr>
                  <w:r>
                    <w:rPr>
                      <w:rFonts w:ascii="Times New Roman" w:hAnsi="Times New Roman"/>
                      <w:b/>
                      <w:bCs/>
                      <w:sz w:val="24"/>
                      <w:szCs w:val="24"/>
                    </w:rPr>
                    <w:t>点位编号</w:t>
                  </w:r>
                </w:p>
              </w:tc>
              <w:tc>
                <w:tcPr>
                  <w:tcW w:w="2081" w:type="dxa"/>
                  <w:noWrap w:val="0"/>
                  <w:vAlign w:val="center"/>
                </w:tcPr>
                <w:p>
                  <w:pPr>
                    <w:pStyle w:val="47"/>
                    <w:rPr>
                      <w:rFonts w:ascii="Times New Roman" w:hAnsi="Times New Roman"/>
                      <w:b/>
                      <w:bCs/>
                      <w:sz w:val="24"/>
                      <w:szCs w:val="24"/>
                    </w:rPr>
                  </w:pPr>
                  <w:r>
                    <w:rPr>
                      <w:rFonts w:ascii="Times New Roman" w:hAnsi="Times New Roman"/>
                      <w:b/>
                      <w:bCs/>
                      <w:sz w:val="24"/>
                      <w:szCs w:val="24"/>
                    </w:rPr>
                    <w:t>监测分析项目</w:t>
                  </w:r>
                </w:p>
              </w:tc>
              <w:tc>
                <w:tcPr>
                  <w:tcW w:w="3026" w:type="dxa"/>
                  <w:noWrap w:val="0"/>
                  <w:vAlign w:val="center"/>
                </w:tcPr>
                <w:p>
                  <w:pPr>
                    <w:pStyle w:val="47"/>
                    <w:rPr>
                      <w:rFonts w:ascii="Times New Roman" w:hAnsi="Times New Roman"/>
                      <w:b/>
                      <w:bCs/>
                      <w:sz w:val="24"/>
                      <w:szCs w:val="24"/>
                    </w:rPr>
                  </w:pPr>
                  <w:r>
                    <w:rPr>
                      <w:rFonts w:ascii="Times New Roman" w:hAnsi="Times New Roman"/>
                      <w:b/>
                      <w:bCs/>
                      <w:sz w:val="24"/>
                      <w:szCs w:val="24"/>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1" w:type="dxa"/>
                  <w:noWrap w:val="0"/>
                  <w:vAlign w:val="center"/>
                </w:tcPr>
                <w:p>
                  <w:pPr>
                    <w:pStyle w:val="47"/>
                    <w:rPr>
                      <w:rFonts w:ascii="Times New Roman" w:hAnsi="Times New Roman"/>
                      <w:sz w:val="24"/>
                      <w:szCs w:val="24"/>
                    </w:rPr>
                  </w:pPr>
                  <w:r>
                    <w:rPr>
                      <w:rFonts w:hint="eastAsia" w:ascii="Times New Roman" w:hAnsi="Times New Roman"/>
                      <w:sz w:val="24"/>
                      <w:szCs w:val="24"/>
                      <w:lang w:eastAsia="zh-CN"/>
                    </w:rPr>
                    <w:t>厂</w:t>
                  </w:r>
                  <w:r>
                    <w:rPr>
                      <w:rFonts w:hint="eastAsia" w:ascii="Times New Roman" w:hAnsi="Times New Roman"/>
                      <w:sz w:val="24"/>
                      <w:szCs w:val="24"/>
                    </w:rPr>
                    <w:t>界东外1m处</w:t>
                  </w:r>
                </w:p>
              </w:tc>
              <w:tc>
                <w:tcPr>
                  <w:tcW w:w="124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▲N1</w:t>
                  </w:r>
                </w:p>
              </w:tc>
              <w:tc>
                <w:tcPr>
                  <w:tcW w:w="2081" w:type="dxa"/>
                  <w:vMerge w:val="restart"/>
                  <w:noWrap w:val="0"/>
                  <w:vAlign w:val="center"/>
                </w:tcPr>
                <w:p>
                  <w:pPr>
                    <w:pStyle w:val="47"/>
                    <w:rPr>
                      <w:rFonts w:ascii="Times New Roman" w:hAnsi="Times New Roman"/>
                      <w:sz w:val="24"/>
                      <w:szCs w:val="24"/>
                    </w:rPr>
                  </w:pPr>
                  <w:r>
                    <w:rPr>
                      <w:rFonts w:hint="eastAsia" w:ascii="Times New Roman" w:hAnsi="Times New Roman"/>
                      <w:sz w:val="24"/>
                      <w:szCs w:val="24"/>
                    </w:rPr>
                    <w:t>工业企业</w:t>
                  </w:r>
                  <w:r>
                    <w:rPr>
                      <w:rFonts w:ascii="Times New Roman" w:hAnsi="Times New Roman"/>
                      <w:sz w:val="24"/>
                      <w:szCs w:val="24"/>
                    </w:rPr>
                    <w:t>厂界噪声</w:t>
                  </w:r>
                </w:p>
              </w:tc>
              <w:tc>
                <w:tcPr>
                  <w:tcW w:w="3026" w:type="dxa"/>
                  <w:vMerge w:val="restart"/>
                  <w:noWrap w:val="0"/>
                  <w:vAlign w:val="center"/>
                </w:tcPr>
                <w:p>
                  <w:pPr>
                    <w:pStyle w:val="47"/>
                    <w:rPr>
                      <w:rFonts w:ascii="Times New Roman" w:hAnsi="Times New Roman"/>
                      <w:sz w:val="24"/>
                      <w:szCs w:val="24"/>
                    </w:rPr>
                  </w:pPr>
                  <w:r>
                    <w:rPr>
                      <w:rFonts w:ascii="Times New Roman" w:hAnsi="Times New Roman"/>
                      <w:sz w:val="24"/>
                      <w:szCs w:val="24"/>
                    </w:rPr>
                    <w:t>连续监测2天</w:t>
                  </w:r>
                </w:p>
                <w:p>
                  <w:pPr>
                    <w:pStyle w:val="47"/>
                    <w:rPr>
                      <w:rFonts w:ascii="Times New Roman" w:hAnsi="Times New Roman"/>
                      <w:sz w:val="24"/>
                      <w:szCs w:val="24"/>
                    </w:rPr>
                  </w:pPr>
                  <w:r>
                    <w:rPr>
                      <w:rFonts w:ascii="Times New Roman" w:hAnsi="Times New Roman"/>
                      <w:sz w:val="24"/>
                      <w:szCs w:val="24"/>
                    </w:rPr>
                    <w:t>每天昼间、夜间各</w:t>
                  </w:r>
                  <w:r>
                    <w:rPr>
                      <w:rFonts w:hint="eastAsia" w:ascii="Times New Roman" w:hAnsi="Times New Roman"/>
                      <w:sz w:val="24"/>
                      <w:szCs w:val="24"/>
                    </w:rPr>
                    <w:t>1</w:t>
                  </w:r>
                  <w:r>
                    <w:rPr>
                      <w:rFonts w:ascii="Times New Roman" w:hAnsi="Times New Roman"/>
                      <w:sz w:val="24"/>
                      <w:szCs w:val="24"/>
                    </w:rPr>
                    <w:t>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81" w:type="dxa"/>
                  <w:noWrap w:val="0"/>
                  <w:vAlign w:val="center"/>
                </w:tcPr>
                <w:p>
                  <w:pPr>
                    <w:pStyle w:val="47"/>
                    <w:rPr>
                      <w:rFonts w:ascii="Times New Roman" w:hAnsi="Times New Roman"/>
                      <w:sz w:val="24"/>
                      <w:szCs w:val="24"/>
                    </w:rPr>
                  </w:pPr>
                  <w:r>
                    <w:rPr>
                      <w:rFonts w:hint="eastAsia" w:ascii="Times New Roman" w:hAnsi="Times New Roman"/>
                      <w:sz w:val="24"/>
                      <w:szCs w:val="24"/>
                      <w:lang w:eastAsia="zh-CN"/>
                    </w:rPr>
                    <w:t>厂</w:t>
                  </w:r>
                  <w:r>
                    <w:rPr>
                      <w:rFonts w:hint="eastAsia" w:ascii="Times New Roman" w:hAnsi="Times New Roman"/>
                      <w:sz w:val="24"/>
                      <w:szCs w:val="24"/>
                    </w:rPr>
                    <w:t>界南外1m处</w:t>
                  </w:r>
                </w:p>
              </w:tc>
              <w:tc>
                <w:tcPr>
                  <w:tcW w:w="124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▲N2</w:t>
                  </w:r>
                </w:p>
              </w:tc>
              <w:tc>
                <w:tcPr>
                  <w:tcW w:w="2081" w:type="dxa"/>
                  <w:vMerge w:val="continue"/>
                  <w:noWrap w:val="0"/>
                  <w:vAlign w:val="center"/>
                </w:tcPr>
                <w:p>
                  <w:pPr>
                    <w:pStyle w:val="47"/>
                    <w:rPr>
                      <w:rFonts w:ascii="Times New Roman" w:hAnsi="Times New Roman"/>
                      <w:sz w:val="24"/>
                      <w:szCs w:val="24"/>
                    </w:rPr>
                  </w:pPr>
                </w:p>
              </w:tc>
              <w:tc>
                <w:tcPr>
                  <w:tcW w:w="3026" w:type="dxa"/>
                  <w:vMerge w:val="continue"/>
                  <w:noWrap w:val="0"/>
                  <w:vAlign w:val="center"/>
                </w:tcPr>
                <w:p>
                  <w:pPr>
                    <w:pStyle w:val="47"/>
                    <w:rPr>
                      <w:rFonts w:ascii="Times New Roman" w:hAnsi="Times New Roman"/>
                      <w:sz w:val="24"/>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81" w:type="dxa"/>
                  <w:noWrap w:val="0"/>
                  <w:vAlign w:val="center"/>
                </w:tcPr>
                <w:p>
                  <w:pPr>
                    <w:pStyle w:val="47"/>
                    <w:rPr>
                      <w:rFonts w:ascii="Times New Roman" w:hAnsi="Times New Roman"/>
                      <w:sz w:val="24"/>
                      <w:szCs w:val="24"/>
                    </w:rPr>
                  </w:pPr>
                  <w:r>
                    <w:rPr>
                      <w:rFonts w:hint="eastAsia" w:ascii="Times New Roman" w:hAnsi="Times New Roman"/>
                      <w:sz w:val="24"/>
                      <w:szCs w:val="24"/>
                      <w:lang w:eastAsia="zh-CN"/>
                    </w:rPr>
                    <w:t>厂</w:t>
                  </w:r>
                  <w:r>
                    <w:rPr>
                      <w:rFonts w:hint="eastAsia" w:ascii="Times New Roman" w:hAnsi="Times New Roman"/>
                      <w:sz w:val="24"/>
                      <w:szCs w:val="24"/>
                    </w:rPr>
                    <w:t>界西外1m处</w:t>
                  </w:r>
                </w:p>
              </w:tc>
              <w:tc>
                <w:tcPr>
                  <w:tcW w:w="124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▲N3</w:t>
                  </w:r>
                </w:p>
              </w:tc>
              <w:tc>
                <w:tcPr>
                  <w:tcW w:w="2081" w:type="dxa"/>
                  <w:vMerge w:val="continue"/>
                  <w:noWrap w:val="0"/>
                  <w:vAlign w:val="center"/>
                </w:tcPr>
                <w:p>
                  <w:pPr>
                    <w:pStyle w:val="47"/>
                    <w:rPr>
                      <w:rFonts w:ascii="Times New Roman" w:hAnsi="Times New Roman"/>
                      <w:sz w:val="24"/>
                      <w:szCs w:val="24"/>
                    </w:rPr>
                  </w:pPr>
                </w:p>
              </w:tc>
              <w:tc>
                <w:tcPr>
                  <w:tcW w:w="3026" w:type="dxa"/>
                  <w:vMerge w:val="continue"/>
                  <w:noWrap w:val="0"/>
                  <w:vAlign w:val="center"/>
                </w:tcPr>
                <w:p>
                  <w:pPr>
                    <w:pStyle w:val="47"/>
                    <w:rPr>
                      <w:rFonts w:ascii="Times New Roman" w:hAnsi="Times New Roman"/>
                      <w:sz w:val="24"/>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81" w:type="dxa"/>
                  <w:noWrap w:val="0"/>
                  <w:vAlign w:val="center"/>
                </w:tcPr>
                <w:p>
                  <w:pPr>
                    <w:pStyle w:val="47"/>
                    <w:rPr>
                      <w:rFonts w:ascii="Times New Roman" w:hAnsi="Times New Roman"/>
                      <w:sz w:val="24"/>
                      <w:szCs w:val="24"/>
                    </w:rPr>
                  </w:pPr>
                  <w:r>
                    <w:rPr>
                      <w:rFonts w:hint="eastAsia" w:ascii="Times New Roman" w:hAnsi="Times New Roman"/>
                      <w:sz w:val="24"/>
                      <w:szCs w:val="24"/>
                      <w:lang w:eastAsia="zh-CN"/>
                    </w:rPr>
                    <w:t>厂</w:t>
                  </w:r>
                  <w:r>
                    <w:rPr>
                      <w:rFonts w:hint="eastAsia" w:ascii="Times New Roman" w:hAnsi="Times New Roman"/>
                      <w:sz w:val="24"/>
                      <w:szCs w:val="24"/>
                    </w:rPr>
                    <w:t>界北外1m处</w:t>
                  </w:r>
                </w:p>
              </w:tc>
              <w:tc>
                <w:tcPr>
                  <w:tcW w:w="1240" w:type="dxa"/>
                  <w:noWrap w:val="0"/>
                  <w:vAlign w:val="center"/>
                </w:tcPr>
                <w:p>
                  <w:pPr>
                    <w:pStyle w:val="47"/>
                    <w:spacing w:line="300" w:lineRule="exact"/>
                    <w:rPr>
                      <w:rFonts w:ascii="Times New Roman" w:hAnsi="Times New Roman"/>
                      <w:sz w:val="24"/>
                      <w:szCs w:val="24"/>
                    </w:rPr>
                  </w:pPr>
                  <w:r>
                    <w:rPr>
                      <w:rFonts w:hint="eastAsia" w:ascii="Times New Roman" w:hAnsi="Times New Roman"/>
                      <w:sz w:val="24"/>
                      <w:szCs w:val="24"/>
                    </w:rPr>
                    <w:t>▲N4</w:t>
                  </w:r>
                </w:p>
              </w:tc>
              <w:tc>
                <w:tcPr>
                  <w:tcW w:w="2081" w:type="dxa"/>
                  <w:vMerge w:val="continue"/>
                  <w:noWrap w:val="0"/>
                  <w:vAlign w:val="center"/>
                </w:tcPr>
                <w:p>
                  <w:pPr>
                    <w:pStyle w:val="47"/>
                    <w:rPr>
                      <w:rFonts w:ascii="Times New Roman" w:hAnsi="Times New Roman"/>
                      <w:sz w:val="24"/>
                      <w:szCs w:val="24"/>
                    </w:rPr>
                  </w:pPr>
                </w:p>
              </w:tc>
              <w:tc>
                <w:tcPr>
                  <w:tcW w:w="3026" w:type="dxa"/>
                  <w:vMerge w:val="continue"/>
                  <w:noWrap w:val="0"/>
                  <w:vAlign w:val="center"/>
                </w:tcPr>
                <w:p>
                  <w:pPr>
                    <w:pStyle w:val="47"/>
                    <w:rPr>
                      <w:rFonts w:ascii="Times New Roman" w:hAnsi="Times New Roman"/>
                      <w:sz w:val="24"/>
                      <w:szCs w:val="24"/>
                    </w:rPr>
                  </w:pPr>
                </w:p>
              </w:tc>
            </w:tr>
          </w:tbl>
          <w:p>
            <w:pPr>
              <w:pStyle w:val="25"/>
              <w:rPr>
                <w:rFonts w:hint="eastAsia" w:ascii="Times New Roman" w:hAnsi="Times New Roman" w:eastAsia="仿宋"/>
              </w:rPr>
            </w:pPr>
          </w:p>
        </w:tc>
      </w:tr>
    </w:tbl>
    <w:p>
      <w:pPr>
        <w:spacing w:line="360" w:lineRule="auto"/>
        <w:ind w:right="68"/>
        <w:jc w:val="left"/>
        <w:rPr>
          <w:rFonts w:hint="eastAsia" w:ascii="Times New Roman" w:hAnsi="Times New Roman"/>
          <w:b/>
          <w:sz w:val="24"/>
        </w:rPr>
      </w:pPr>
    </w:p>
    <w:p>
      <w:pPr>
        <w:pStyle w:val="2"/>
        <w:rPr>
          <w:rFonts w:hint="eastAsia" w:ascii="Times New Roman" w:hAnsi="Times New Roman"/>
          <w:b/>
          <w:sz w:val="24"/>
        </w:rPr>
      </w:pPr>
    </w:p>
    <w:p>
      <w:pPr>
        <w:spacing w:line="0" w:lineRule="atLeast"/>
        <w:rPr>
          <w:rFonts w:ascii="Times New Roman" w:hAnsi="Times New Roman"/>
          <w:b/>
          <w:sz w:val="24"/>
        </w:rPr>
      </w:pPr>
      <w:r>
        <w:rPr>
          <w:rFonts w:hint="eastAsia" w:ascii="Times New Roman" w:hAnsi="Times New Roman"/>
          <w:b/>
          <w:sz w:val="24"/>
        </w:rPr>
        <w:t>表七 验收监测生产工况及监测结果</w:t>
      </w:r>
    </w:p>
    <w:tbl>
      <w:tblPr>
        <w:tblStyle w:val="20"/>
        <w:tblW w:w="94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5" w:hRule="atLeast"/>
          <w:jc w:val="center"/>
        </w:trPr>
        <w:tc>
          <w:tcPr>
            <w:tcW w:w="9469" w:type="dxa"/>
            <w:noWrap w:val="0"/>
            <w:vAlign w:val="top"/>
          </w:tcPr>
          <w:p>
            <w:pPr>
              <w:spacing w:line="360" w:lineRule="auto"/>
              <w:rPr>
                <w:sz w:val="24"/>
                <w:szCs w:val="24"/>
              </w:rPr>
            </w:pPr>
            <w:r>
              <w:rPr>
                <w:rFonts w:hint="eastAsia" w:ascii="Times New Roman" w:hAnsi="Times New Roman"/>
                <w:b/>
                <w:sz w:val="24"/>
                <w:szCs w:val="24"/>
              </w:rPr>
              <w:t>验收监测生产工况</w:t>
            </w:r>
          </w:p>
          <w:p>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在</w:t>
            </w:r>
            <w:r>
              <w:rPr>
                <w:rFonts w:hint="eastAsia" w:asciiTheme="minorEastAsia" w:hAnsiTheme="minorEastAsia" w:eastAsiaTheme="minorEastAsia" w:cstheme="minorEastAsia"/>
                <w:color w:val="000000" w:themeColor="text1"/>
                <w:sz w:val="24"/>
                <w:szCs w:val="24"/>
              </w:rPr>
              <w:t>20</w:t>
            </w:r>
            <w:r>
              <w:rPr>
                <w:rFonts w:hint="eastAsia" w:asciiTheme="minorEastAsia" w:hAnsiTheme="minorEastAsia" w:cstheme="minorEastAsia"/>
                <w:color w:val="000000" w:themeColor="text1"/>
                <w:sz w:val="24"/>
                <w:szCs w:val="24"/>
                <w:lang w:val="en-US" w:eastAsia="zh-CN"/>
              </w:rPr>
              <w:t>20</w:t>
            </w:r>
            <w:r>
              <w:rPr>
                <w:rFonts w:hint="eastAsia" w:asciiTheme="minorEastAsia" w:hAnsiTheme="minorEastAsia" w:eastAsiaTheme="minorEastAsia" w:cstheme="minorEastAsia"/>
                <w:color w:val="000000" w:themeColor="text1"/>
                <w:sz w:val="24"/>
                <w:szCs w:val="24"/>
              </w:rPr>
              <w:t>年</w:t>
            </w:r>
            <w:r>
              <w:rPr>
                <w:rFonts w:hint="eastAsia" w:asciiTheme="minorEastAsia" w:hAnsiTheme="minorEastAsia" w:cstheme="minorEastAsia"/>
                <w:color w:val="000000" w:themeColor="text1"/>
                <w:sz w:val="24"/>
                <w:szCs w:val="24"/>
                <w:lang w:val="en-US" w:eastAsia="zh-CN"/>
              </w:rPr>
              <w:t>7</w:t>
            </w:r>
            <w:r>
              <w:rPr>
                <w:rFonts w:hint="eastAsia" w:asciiTheme="minorEastAsia" w:hAnsiTheme="minorEastAsia" w:eastAsiaTheme="minorEastAsia" w:cstheme="minorEastAsia"/>
                <w:color w:val="000000" w:themeColor="text1"/>
                <w:sz w:val="24"/>
                <w:szCs w:val="24"/>
              </w:rPr>
              <w:t>月</w:t>
            </w:r>
            <w:r>
              <w:rPr>
                <w:rFonts w:hint="eastAsia" w:asciiTheme="minorEastAsia" w:hAnsiTheme="minorEastAsia" w:cstheme="minorEastAsia"/>
                <w:color w:val="000000" w:themeColor="text1"/>
                <w:sz w:val="24"/>
                <w:szCs w:val="24"/>
                <w:lang w:val="en-US" w:eastAsia="zh-CN"/>
              </w:rPr>
              <w:t>12</w:t>
            </w:r>
            <w:r>
              <w:rPr>
                <w:rFonts w:hint="eastAsia" w:asciiTheme="minorEastAsia" w:hAnsiTheme="minorEastAsia" w:eastAsiaTheme="minorEastAsia" w:cstheme="minorEastAsia"/>
                <w:color w:val="000000" w:themeColor="text1"/>
                <w:sz w:val="24"/>
                <w:szCs w:val="24"/>
              </w:rPr>
              <w:t>日-</w:t>
            </w:r>
            <w:r>
              <w:rPr>
                <w:rFonts w:hint="eastAsia" w:asciiTheme="minorEastAsia" w:hAnsiTheme="minorEastAsia" w:cstheme="minorEastAsia"/>
                <w:color w:val="000000" w:themeColor="text1"/>
                <w:sz w:val="24"/>
                <w:szCs w:val="24"/>
                <w:lang w:val="en-US" w:eastAsia="zh-CN"/>
              </w:rPr>
              <w:t>13</w:t>
            </w:r>
            <w:r>
              <w:rPr>
                <w:rFonts w:hint="eastAsia" w:asciiTheme="minorEastAsia" w:hAnsiTheme="minorEastAsia" w:eastAsiaTheme="minorEastAsia" w:cstheme="minorEastAsia"/>
                <w:color w:val="000000" w:themeColor="text1"/>
                <w:sz w:val="24"/>
                <w:szCs w:val="24"/>
              </w:rPr>
              <w:t>日</w:t>
            </w:r>
            <w:r>
              <w:rPr>
                <w:rFonts w:hint="eastAsia" w:asciiTheme="minorEastAsia" w:hAnsiTheme="minorEastAsia" w:eastAsiaTheme="minorEastAsia" w:cstheme="minorEastAsia"/>
                <w:sz w:val="24"/>
                <w:szCs w:val="24"/>
              </w:rPr>
              <w:t>监测期间内，</w:t>
            </w:r>
            <w:r>
              <w:rPr>
                <w:rFonts w:hint="eastAsia" w:asciiTheme="minorEastAsia" w:hAnsiTheme="minorEastAsia" w:eastAsiaTheme="minorEastAsia" w:cstheme="minorEastAsia"/>
                <w:sz w:val="24"/>
                <w:szCs w:val="24"/>
                <w:lang w:eastAsia="zh-CN"/>
              </w:rPr>
              <w:t>项目</w:t>
            </w:r>
            <w:r>
              <w:rPr>
                <w:rFonts w:hint="eastAsia" w:asciiTheme="minorEastAsia" w:hAnsiTheme="minorEastAsia" w:eastAsiaTheme="minorEastAsia" w:cstheme="minorEastAsia"/>
                <w:sz w:val="24"/>
                <w:szCs w:val="24"/>
              </w:rPr>
              <w:t>正常</w:t>
            </w:r>
            <w:r>
              <w:rPr>
                <w:rFonts w:hint="eastAsia" w:asciiTheme="minorEastAsia" w:hAnsiTheme="minorEastAsia" w:eastAsiaTheme="minorEastAsia" w:cstheme="minorEastAsia"/>
                <w:sz w:val="24"/>
                <w:szCs w:val="24"/>
                <w:lang w:eastAsia="zh-CN"/>
              </w:rPr>
              <w:t>生产</w:t>
            </w:r>
            <w:r>
              <w:rPr>
                <w:rFonts w:hint="eastAsia" w:asciiTheme="minorEastAsia" w:hAnsiTheme="minorEastAsia" w:eastAsiaTheme="minorEastAsia" w:cstheme="minorEastAsia"/>
                <w:sz w:val="24"/>
                <w:szCs w:val="24"/>
              </w:rPr>
              <w:t>，环保设计运行正常，因此监测结果有效。</w:t>
            </w:r>
          </w:p>
          <w:p>
            <w:pPr>
              <w:spacing w:line="360" w:lineRule="auto"/>
              <w:ind w:firstLine="480" w:firstLineChars="200"/>
              <w:rPr>
                <w:rFonts w:hint="eastAsia" w:asciiTheme="minorEastAsia" w:hAnsiTheme="minorEastAsia" w:eastAsiaTheme="minorEastAsia" w:cstheme="minorEastAsia"/>
                <w:sz w:val="24"/>
                <w:szCs w:val="24"/>
              </w:rPr>
            </w:pPr>
            <w:bookmarkStart w:id="8" w:name="_Toc3846"/>
            <w:r>
              <w:rPr>
                <w:rFonts w:hint="eastAsia" w:asciiTheme="minorEastAsia" w:hAnsiTheme="minorEastAsia" w:eastAsiaTheme="minorEastAsia" w:cstheme="minorEastAsia"/>
                <w:sz w:val="24"/>
                <w:szCs w:val="24"/>
              </w:rPr>
              <w:t>监测当天气象参数见表7-1：</w:t>
            </w:r>
            <w:bookmarkEnd w:id="8"/>
          </w:p>
          <w:p>
            <w:pPr>
              <w:pStyle w:val="4"/>
              <w:ind w:firstLine="0" w:firstLineChars="0"/>
              <w:jc w:val="cente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表7-1  监测期间天气气象参数</w:t>
            </w:r>
          </w:p>
          <w:tbl>
            <w:tblPr>
              <w:tblStyle w:val="21"/>
              <w:tblW w:w="8621" w:type="dxa"/>
              <w:tblInd w:w="3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03"/>
              <w:gridCol w:w="1335"/>
              <w:gridCol w:w="1215"/>
              <w:gridCol w:w="1515"/>
              <w:gridCol w:w="1380"/>
              <w:gridCol w:w="16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503"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日期</w:t>
                  </w:r>
                </w:p>
              </w:tc>
              <w:tc>
                <w:tcPr>
                  <w:tcW w:w="133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天气情况</w:t>
                  </w:r>
                </w:p>
              </w:tc>
              <w:tc>
                <w:tcPr>
                  <w:tcW w:w="121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风向</w:t>
                  </w:r>
                </w:p>
              </w:tc>
              <w:tc>
                <w:tcPr>
                  <w:tcW w:w="151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风速m/s</w:t>
                  </w:r>
                </w:p>
              </w:tc>
              <w:tc>
                <w:tcPr>
                  <w:tcW w:w="1380"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气温/℃</w:t>
                  </w:r>
                </w:p>
              </w:tc>
              <w:tc>
                <w:tcPr>
                  <w:tcW w:w="1673"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气压/hPa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trPr>
              <w:tc>
                <w:tcPr>
                  <w:tcW w:w="1503" w:type="dxa"/>
                  <w:noWrap w:val="0"/>
                  <w:vAlign w:val="center"/>
                </w:tcPr>
                <w:p>
                  <w:pPr>
                    <w:spacing w:line="360" w:lineRule="auto"/>
                    <w:jc w:val="center"/>
                    <w:rPr>
                      <w:rFonts w:hint="default" w:asciiTheme="minorEastAsia" w:hAnsiTheme="minorEastAsia" w:eastAsiaTheme="minorEastAsia" w:cstheme="minorEastAsia"/>
                      <w:color w:val="000000" w:themeColor="text1"/>
                      <w:sz w:val="24"/>
                      <w:szCs w:val="24"/>
                      <w:lang w:val="en-US" w:eastAsia="zh-CN"/>
                    </w:rPr>
                  </w:pPr>
                  <w:r>
                    <w:rPr>
                      <w:rFonts w:hint="eastAsia" w:asciiTheme="minorEastAsia" w:hAnsiTheme="minorEastAsia" w:eastAsiaTheme="minorEastAsia" w:cstheme="minorEastAsia"/>
                      <w:color w:val="000000" w:themeColor="text1"/>
                      <w:sz w:val="24"/>
                      <w:szCs w:val="24"/>
                    </w:rPr>
                    <w:t>20</w:t>
                  </w:r>
                  <w:r>
                    <w:rPr>
                      <w:rFonts w:hint="eastAsia" w:asciiTheme="minorEastAsia" w:hAnsiTheme="minorEastAsia" w:cstheme="minorEastAsia"/>
                      <w:color w:val="000000" w:themeColor="text1"/>
                      <w:sz w:val="24"/>
                      <w:szCs w:val="24"/>
                      <w:lang w:val="en-US" w:eastAsia="zh-CN"/>
                    </w:rPr>
                    <w:t>20</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val="en-US" w:eastAsia="zh-CN"/>
                    </w:rPr>
                    <w:t>7</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val="en-US" w:eastAsia="zh-CN"/>
                    </w:rPr>
                    <w:t>12</w:t>
                  </w:r>
                </w:p>
              </w:tc>
              <w:tc>
                <w:tcPr>
                  <w:tcW w:w="133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晴</w:t>
                  </w:r>
                </w:p>
              </w:tc>
              <w:tc>
                <w:tcPr>
                  <w:tcW w:w="121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南</w:t>
                  </w:r>
                </w:p>
              </w:tc>
              <w:tc>
                <w:tcPr>
                  <w:tcW w:w="1515" w:type="dxa"/>
                  <w:noWrap w:val="0"/>
                  <w:vAlign w:val="center"/>
                </w:tcPr>
                <w:p>
                  <w:pPr>
                    <w:spacing w:line="360" w:lineRule="auto"/>
                    <w:jc w:val="center"/>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1.8</w:t>
                  </w: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3.1</w:t>
                  </w:r>
                </w:p>
              </w:tc>
              <w:tc>
                <w:tcPr>
                  <w:tcW w:w="1380"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30-36</w:t>
                  </w:r>
                </w:p>
              </w:tc>
              <w:tc>
                <w:tcPr>
                  <w:tcW w:w="1673"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99</w:t>
                  </w:r>
                  <w:r>
                    <w:rPr>
                      <w:rFonts w:hint="eastAsia" w:asciiTheme="minorEastAsia" w:hAnsiTheme="minorEastAsia" w:cstheme="minorEastAsia"/>
                      <w:sz w:val="24"/>
                      <w:szCs w:val="24"/>
                      <w:lang w:val="en-US" w:eastAsia="zh-CN"/>
                    </w:rPr>
                    <w:t>3</w:t>
                  </w:r>
                  <w:r>
                    <w:rPr>
                      <w:rFonts w:hint="eastAsia" w:asciiTheme="minorEastAsia" w:hAnsiTheme="minorEastAsia" w:eastAsiaTheme="minorEastAsia" w:cstheme="minorEastAsia"/>
                      <w:sz w:val="24"/>
                      <w:szCs w:val="24"/>
                    </w:rPr>
                    <w:t>.0-</w:t>
                  </w:r>
                  <w:r>
                    <w:rPr>
                      <w:rFonts w:hint="eastAsia" w:asciiTheme="minorEastAsia" w:hAnsiTheme="minorEastAsia" w:cstheme="minorEastAsia"/>
                      <w:sz w:val="24"/>
                      <w:szCs w:val="24"/>
                      <w:lang w:val="en-US" w:eastAsia="zh-CN"/>
                    </w:rPr>
                    <w:t>1006</w:t>
                  </w:r>
                  <w:r>
                    <w:rPr>
                      <w:rFonts w:hint="eastAsia" w:asciiTheme="minorEastAsia" w:hAnsiTheme="minorEastAsia" w:eastAsiaTheme="minorEastAsia" w:cstheme="minorEastAsia"/>
                      <w:sz w:val="24"/>
                      <w:szCs w:val="24"/>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trPr>
              <w:tc>
                <w:tcPr>
                  <w:tcW w:w="1503" w:type="dxa"/>
                  <w:noWrap w:val="0"/>
                  <w:vAlign w:val="center"/>
                </w:tcPr>
                <w:p>
                  <w:pPr>
                    <w:spacing w:line="360" w:lineRule="auto"/>
                    <w:jc w:val="center"/>
                    <w:rPr>
                      <w:rFonts w:hint="default" w:asciiTheme="minorEastAsia" w:hAnsiTheme="minorEastAsia" w:eastAsiaTheme="minorEastAsia" w:cstheme="minorEastAsia"/>
                      <w:color w:val="000000" w:themeColor="text1"/>
                      <w:sz w:val="24"/>
                      <w:szCs w:val="24"/>
                      <w:lang w:val="en-US" w:eastAsia="zh-CN"/>
                    </w:rPr>
                  </w:pPr>
                  <w:r>
                    <w:rPr>
                      <w:rFonts w:hint="eastAsia" w:asciiTheme="minorEastAsia" w:hAnsiTheme="minorEastAsia" w:eastAsiaTheme="minorEastAsia" w:cstheme="minorEastAsia"/>
                      <w:color w:val="000000" w:themeColor="text1"/>
                      <w:sz w:val="24"/>
                      <w:szCs w:val="24"/>
                    </w:rPr>
                    <w:t>20</w:t>
                  </w:r>
                  <w:r>
                    <w:rPr>
                      <w:rFonts w:hint="eastAsia" w:asciiTheme="minorEastAsia" w:hAnsiTheme="minorEastAsia" w:cstheme="minorEastAsia"/>
                      <w:color w:val="000000" w:themeColor="text1"/>
                      <w:sz w:val="24"/>
                      <w:szCs w:val="24"/>
                      <w:lang w:val="en-US" w:eastAsia="zh-CN"/>
                    </w:rPr>
                    <w:t>20</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val="en-US" w:eastAsia="zh-CN"/>
                    </w:rPr>
                    <w:t>7</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val="en-US" w:eastAsia="zh-CN"/>
                    </w:rPr>
                    <w:t>13</w:t>
                  </w:r>
                </w:p>
              </w:tc>
              <w:tc>
                <w:tcPr>
                  <w:tcW w:w="133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晴</w:t>
                  </w:r>
                </w:p>
              </w:tc>
              <w:tc>
                <w:tcPr>
                  <w:tcW w:w="1215"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南</w:t>
                  </w:r>
                </w:p>
              </w:tc>
              <w:tc>
                <w:tcPr>
                  <w:tcW w:w="1515" w:type="dxa"/>
                  <w:noWrap w:val="0"/>
                  <w:vAlign w:val="center"/>
                </w:tcPr>
                <w:p>
                  <w:pPr>
                    <w:spacing w:line="360" w:lineRule="auto"/>
                    <w:jc w:val="center"/>
                    <w:rPr>
                      <w:rFonts w:hint="eastAsia" w:asciiTheme="minorEastAsia" w:hAnsiTheme="minorEastAsia" w:eastAsiaTheme="minorEastAsia" w:cstheme="minorEastAsia"/>
                      <w:sz w:val="24"/>
                      <w:szCs w:val="24"/>
                      <w:lang w:eastAsia="zh-CN"/>
                    </w:rPr>
                  </w:pPr>
                  <w:r>
                    <w:rPr>
                      <w:rFonts w:hint="eastAsia" w:asciiTheme="minorEastAsia" w:hAnsiTheme="minorEastAsia" w:cstheme="minorEastAsia"/>
                      <w:sz w:val="24"/>
                      <w:szCs w:val="24"/>
                      <w:lang w:val="en-US" w:eastAsia="zh-CN"/>
                    </w:rPr>
                    <w:t>1.8</w:t>
                  </w:r>
                  <w:r>
                    <w:rPr>
                      <w:rFonts w:hint="eastAsia" w:asciiTheme="minorEastAsia" w:hAnsiTheme="minorEastAsia" w:eastAsiaTheme="minorEastAsia" w:cstheme="minorEastAsia"/>
                      <w:sz w:val="24"/>
                      <w:szCs w:val="24"/>
                    </w:rPr>
                    <w:t>-2.</w:t>
                  </w:r>
                  <w:r>
                    <w:rPr>
                      <w:rFonts w:hint="eastAsia" w:asciiTheme="minorEastAsia" w:hAnsiTheme="minorEastAsia" w:cstheme="minorEastAsia"/>
                      <w:sz w:val="24"/>
                      <w:szCs w:val="24"/>
                      <w:lang w:val="en-US" w:eastAsia="zh-CN"/>
                    </w:rPr>
                    <w:t>5</w:t>
                  </w:r>
                </w:p>
              </w:tc>
              <w:tc>
                <w:tcPr>
                  <w:tcW w:w="1380" w:type="dxa"/>
                  <w:noWrap w:val="0"/>
                  <w:vAlign w:val="center"/>
                </w:tcPr>
                <w:p>
                  <w:pPr>
                    <w:spacing w:line="360" w:lineRule="auto"/>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31-3</w:t>
                  </w:r>
                  <w:r>
                    <w:rPr>
                      <w:rFonts w:hint="eastAsia" w:asciiTheme="minorEastAsia" w:hAnsiTheme="minorEastAsia" w:cstheme="minorEastAsia"/>
                      <w:sz w:val="24"/>
                      <w:szCs w:val="24"/>
                      <w:lang w:val="en-US" w:eastAsia="zh-CN"/>
                    </w:rPr>
                    <w:t>7</w:t>
                  </w:r>
                </w:p>
              </w:tc>
              <w:tc>
                <w:tcPr>
                  <w:tcW w:w="1673" w:type="dxa"/>
                  <w:noWrap w:val="0"/>
                  <w:vAlign w:val="center"/>
                </w:tcPr>
                <w:p>
                  <w:pPr>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994.0-</w:t>
                  </w:r>
                  <w:r>
                    <w:rPr>
                      <w:rFonts w:hint="eastAsia" w:asciiTheme="minorEastAsia" w:hAnsiTheme="minorEastAsia" w:cstheme="minorEastAsia"/>
                      <w:sz w:val="24"/>
                      <w:szCs w:val="24"/>
                      <w:lang w:val="en-US" w:eastAsia="zh-CN"/>
                    </w:rPr>
                    <w:t>1001</w:t>
                  </w:r>
                  <w:r>
                    <w:rPr>
                      <w:rFonts w:hint="eastAsia" w:asciiTheme="minorEastAsia" w:hAnsiTheme="minorEastAsia" w:eastAsiaTheme="minorEastAsia" w:cstheme="minorEastAsia"/>
                      <w:sz w:val="24"/>
                      <w:szCs w:val="24"/>
                    </w:rPr>
                    <w:t>.0</w:t>
                  </w:r>
                </w:p>
              </w:tc>
            </w:tr>
          </w:tbl>
          <w:p>
            <w:pPr>
              <w:spacing w:line="360" w:lineRule="auto"/>
              <w:rPr>
                <w:rFonts w:hint="eastAsia" w:eastAsiaTheme="minorEastAsia"/>
                <w:sz w:val="24"/>
                <w:szCs w:val="24"/>
                <w:lang w:eastAsia="zh-CN"/>
              </w:rPr>
            </w:pPr>
            <w:r>
              <w:rPr>
                <w:rFonts w:hint="eastAsia" w:ascii="Times New Roman" w:hAnsi="Times New Roman"/>
                <w:b/>
                <w:sz w:val="24"/>
                <w:szCs w:val="24"/>
              </w:rPr>
              <w:t>验收监测</w:t>
            </w:r>
            <w:r>
              <w:rPr>
                <w:rFonts w:hint="eastAsia" w:ascii="Times New Roman" w:hAnsi="Times New Roman"/>
                <w:b/>
                <w:sz w:val="24"/>
                <w:szCs w:val="24"/>
                <w:lang w:eastAsia="zh-CN"/>
              </w:rPr>
              <w:t>点位图</w:t>
            </w:r>
          </w:p>
          <w:p>
            <w:pPr>
              <w:pStyle w:val="25"/>
              <w:rPr>
                <w:rFonts w:hint="eastAsia" w:ascii="Times New Roman" w:hAnsi="Times New Roman" w:cs="Times New Roman"/>
                <w:b/>
                <w:kern w:val="2"/>
                <w:sz w:val="24"/>
                <w:szCs w:val="24"/>
              </w:rPr>
            </w:pPr>
            <w:r>
              <w:rPr>
                <w:sz w:val="24"/>
              </w:rPr>
              <w:pict>
                <v:rect id="_x0000_s2153" o:spid="_x0000_s2153" o:spt="1" style="position:absolute;left:0pt;flip:x;margin-left:229.65pt;margin-top:13.85pt;height:27.7pt;width:32.95pt;z-index:252500992;mso-width-relative:page;mso-height-relative:page;" fillcolor="#FFFFFF" filled="t" stroked="t" coordsize="21600,21600">
                  <v:path/>
                  <v:fill on="t" color2="#FFFFFF" focussize="0,0"/>
                  <v:stroke color="#FFFFFF" joinstyle="miter"/>
                  <v:imagedata o:title=""/>
                  <o:lock v:ext="edit" aspectratio="f"/>
                  <v:textbox>
                    <w:txbxContent>
                      <w:p>
                        <w:pPr>
                          <w:rPr>
                            <w:rFonts w:hint="default" w:eastAsiaTheme="minorEastAsia"/>
                            <w:b/>
                            <w:bCs/>
                            <w:lang w:val="en-US" w:eastAsia="zh-CN"/>
                          </w:rPr>
                        </w:pPr>
                        <w:r>
                          <w:rPr>
                            <w:rFonts w:hint="eastAsia"/>
                            <w:b/>
                            <w:bCs/>
                            <w:lang w:val="en-US" w:eastAsia="zh-CN"/>
                          </w:rPr>
                          <w:t>C3</w:t>
                        </w:r>
                      </w:p>
                    </w:txbxContent>
                  </v:textbox>
                </v:rect>
              </w:pict>
            </w:r>
          </w:p>
          <w:p>
            <w:pPr>
              <w:pStyle w:val="25"/>
              <w:rPr>
                <w:rFonts w:hint="eastAsia" w:ascii="Times New Roman" w:hAnsi="Times New Roman" w:cs="Times New Roman"/>
                <w:b/>
                <w:kern w:val="2"/>
                <w:sz w:val="24"/>
                <w:szCs w:val="24"/>
              </w:rPr>
            </w:pPr>
            <w:r>
              <w:rPr>
                <w:sz w:val="24"/>
              </w:rPr>
              <w:pict>
                <v:rect id="_x0000_s2152" o:spid="_x0000_s2152" o:spt="1" style="position:absolute;left:0pt;margin-left:104.1pt;margin-top:12.9pt;height:29.7pt;width:48.8pt;z-index:252079104;mso-width-relative:page;mso-height-relative:page;" fillcolor="#FFFFFF" filled="t" stroked="t" coordsize="21600,21600">
                  <v:path/>
                  <v:fill on="t" color2="#FFFFFF" focussize="0,0"/>
                  <v:stroke color="#FFFFFF"/>
                  <v:imagedata o:title=""/>
                  <o:lock v:ext="edit" aspectratio="f"/>
                  <v:textbox>
                    <w:txbxContent>
                      <w:p>
                        <w:pPr>
                          <w:rPr>
                            <w:rFonts w:hint="default" w:eastAsiaTheme="minorEastAsia"/>
                            <w:b/>
                            <w:bCs/>
                            <w:lang w:val="en-US" w:eastAsia="zh-CN"/>
                          </w:rPr>
                        </w:pPr>
                        <w:r>
                          <w:rPr>
                            <w:rFonts w:hint="eastAsia"/>
                            <w:b/>
                            <w:bCs/>
                            <w:lang w:val="en-US" w:eastAsia="zh-CN"/>
                          </w:rPr>
                          <w:t>C2</w:t>
                        </w:r>
                      </w:p>
                    </w:txbxContent>
                  </v:textbox>
                </v:rect>
              </w:pict>
            </w:r>
          </w:p>
          <w:p>
            <w:pPr>
              <w:pStyle w:val="25"/>
              <w:rPr>
                <w:rFonts w:hint="eastAsia" w:ascii="Times New Roman" w:hAnsi="Times New Roman" w:cs="Times New Roman"/>
                <w:b/>
                <w:kern w:val="2"/>
                <w:sz w:val="24"/>
                <w:szCs w:val="24"/>
              </w:rPr>
            </w:pPr>
            <w:r>
              <w:rPr>
                <w:sz w:val="24"/>
              </w:rPr>
              <w:pict>
                <v:rect id="_x0000_s2154" o:spid="_x0000_s2154" o:spt="1" style="position:absolute;left:0pt;margin-left:336.35pt;margin-top:1.15pt;height:20.2pt;width:48.8pt;z-index:252922880;mso-width-relative:page;mso-height-relative:page;" fillcolor="#FFFFFF" filled="t" stroked="t" coordsize="21600,21600">
                  <v:path/>
                  <v:fill on="t" color2="#FFFFFF" focussize="0,0"/>
                  <v:stroke color="#FFFFFF" joinstyle="miter"/>
                  <v:imagedata o:title=""/>
                  <o:lock v:ext="edit" aspectratio="f"/>
                  <v:textbox>
                    <w:txbxContent>
                      <w:p>
                        <w:pPr>
                          <w:rPr>
                            <w:rFonts w:hint="default" w:eastAsiaTheme="minorEastAsia"/>
                            <w:b/>
                            <w:bCs/>
                            <w:lang w:val="en-US" w:eastAsia="zh-CN"/>
                          </w:rPr>
                        </w:pPr>
                        <w:r>
                          <w:rPr>
                            <w:rFonts w:hint="eastAsia"/>
                            <w:b/>
                            <w:bCs/>
                            <w:lang w:val="en-US" w:eastAsia="zh-CN"/>
                          </w:rPr>
                          <w:t>C4</w:t>
                        </w:r>
                      </w:p>
                    </w:txbxContent>
                  </v:textbox>
                </v:rect>
              </w:pict>
            </w:r>
          </w:p>
          <w:p>
            <w:pPr>
              <w:pStyle w:val="25"/>
              <w:rPr>
                <w:rFonts w:hint="eastAsia" w:ascii="Times New Roman" w:hAnsi="Times New Roman" w:cs="Times New Roman"/>
                <w:b/>
                <w:kern w:val="2"/>
                <w:sz w:val="24"/>
                <w:szCs w:val="24"/>
              </w:rPr>
            </w:pPr>
            <w:r>
              <w:rPr>
                <w:sz w:val="24"/>
              </w:rPr>
              <w:pict>
                <v:rect id="_x0000_s2151" o:spid="_x0000_s2151" o:spt="1" style="position:absolute;left:0pt;margin-left:253.5pt;margin-top:162.3pt;height:18.85pt;width:44.8pt;z-index:252078080;mso-width-relative:page;mso-height-relative:page;" fillcolor="#FFFFFF" filled="t" stroked="t" coordsize="21600,21600">
                  <v:path/>
                  <v:fill on="t" color2="#FFFFFF" focussize="0,0"/>
                  <v:stroke color="#FFFFFF"/>
                  <v:imagedata o:title=""/>
                  <o:lock v:ext="edit" aspectratio="f"/>
                  <v:textbox>
                    <w:txbxContent>
                      <w:p>
                        <w:pPr>
                          <w:rPr>
                            <w:rFonts w:hint="default" w:eastAsiaTheme="minorEastAsia"/>
                            <w:b/>
                            <w:bCs/>
                            <w:lang w:val="en-US" w:eastAsia="zh-CN"/>
                          </w:rPr>
                        </w:pPr>
                        <w:r>
                          <w:rPr>
                            <w:rFonts w:hint="eastAsia"/>
                            <w:b/>
                            <w:bCs/>
                            <w:lang w:val="en-US" w:eastAsia="zh-CN"/>
                          </w:rPr>
                          <w:t>C1</w:t>
                        </w:r>
                      </w:p>
                    </w:txbxContent>
                  </v:textbox>
                </v:rect>
              </w:pict>
            </w:r>
            <w:r>
              <w:drawing>
                <wp:inline distT="0" distB="0" distL="114300" distR="114300">
                  <wp:extent cx="5875655" cy="2477770"/>
                  <wp:effectExtent l="0" t="0" r="10795" b="1778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34"/>
                          <a:stretch>
                            <a:fillRect/>
                          </a:stretch>
                        </pic:blipFill>
                        <pic:spPr>
                          <a:xfrm>
                            <a:off x="0" y="0"/>
                            <a:ext cx="5875655" cy="2477770"/>
                          </a:xfrm>
                          <a:prstGeom prst="rect">
                            <a:avLst/>
                          </a:prstGeom>
                          <a:noFill/>
                          <a:ln>
                            <a:noFill/>
                          </a:ln>
                        </pic:spPr>
                      </pic:pic>
                    </a:graphicData>
                  </a:graphic>
                </wp:inline>
              </w:drawing>
            </w: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ind w:firstLine="2100" w:firstLineChars="1000"/>
            </w:pPr>
            <w:r>
              <w:rPr>
                <w:rFonts w:hint="eastAsia"/>
                <w:szCs w:val="21"/>
              </w:rPr>
              <w:t>备注：“▲”为厂界噪声检测点位</w:t>
            </w:r>
            <w:r>
              <w:rPr>
                <w:rFonts w:hint="eastAsia"/>
                <w:szCs w:val="21"/>
                <w:lang w:eastAsia="zh-CN"/>
              </w:rPr>
              <w:t>，</w:t>
            </w:r>
            <w:r>
              <w:rPr>
                <w:rFonts w:hint="eastAsia"/>
                <w:szCs w:val="21"/>
              </w:rPr>
              <w:t>“</w:t>
            </w:r>
            <w:r>
              <w:rPr>
                <w:rFonts w:hint="eastAsia"/>
                <w:b/>
                <w:bCs/>
                <w:color w:val="000000" w:themeColor="text1"/>
                <w:szCs w:val="21"/>
                <w:lang w:val="en-US" w:eastAsia="zh-CN"/>
              </w:rPr>
              <w:t>C</w:t>
            </w:r>
            <w:r>
              <w:rPr>
                <w:rFonts w:hint="eastAsia"/>
                <w:szCs w:val="21"/>
              </w:rPr>
              <w:t>”</w:t>
            </w:r>
            <w:r>
              <w:rPr>
                <w:rFonts w:hint="eastAsia"/>
                <w:szCs w:val="21"/>
                <w:lang w:eastAsia="zh-CN"/>
              </w:rPr>
              <w:t>为无组织检测点位</w:t>
            </w:r>
            <w:r>
              <w:rPr>
                <w:rFonts w:hint="eastAsia"/>
                <w:b w:val="0"/>
                <w:bCs w:val="0"/>
                <w:lang w:eastAsia="zh-CN"/>
              </w:rPr>
              <w:t>。</w:t>
            </w: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p>
          <w:p>
            <w:pPr>
              <w:pStyle w:val="25"/>
              <w:rPr>
                <w:rFonts w:hint="eastAsia" w:ascii="Times New Roman" w:hAnsi="Times New Roman" w:cs="Times New Roman"/>
                <w:b/>
                <w:kern w:val="2"/>
                <w:sz w:val="24"/>
                <w:szCs w:val="24"/>
              </w:rPr>
            </w:pPr>
            <w:r>
              <w:rPr>
                <w:rFonts w:hint="eastAsia" w:ascii="Times New Roman" w:hAnsi="Times New Roman" w:cs="Times New Roman"/>
                <w:b/>
                <w:kern w:val="2"/>
                <w:sz w:val="24"/>
                <w:szCs w:val="24"/>
              </w:rPr>
              <w:t>验收监测结果：</w:t>
            </w:r>
          </w:p>
          <w:p>
            <w:pPr>
              <w:pStyle w:val="25"/>
              <w:numPr>
                <w:ilvl w:val="0"/>
                <w:numId w:val="0"/>
              </w:numPr>
              <w:rPr>
                <w:rFonts w:hint="eastAsia" w:ascii="Times New Roman" w:hAnsi="Times New Roman" w:cs="Times New Roman"/>
                <w:b/>
                <w:kern w:val="2"/>
                <w:sz w:val="24"/>
                <w:szCs w:val="24"/>
              </w:rPr>
            </w:pPr>
            <w:r>
              <w:rPr>
                <w:rFonts w:hint="eastAsia" w:ascii="Times New Roman" w:hAnsi="Times New Roman" w:cs="Times New Roman"/>
                <w:b/>
                <w:kern w:val="2"/>
                <w:sz w:val="24"/>
                <w:szCs w:val="24"/>
                <w:lang w:val="en-US" w:eastAsia="zh-CN"/>
              </w:rPr>
              <w:t>1、</w:t>
            </w:r>
            <w:r>
              <w:rPr>
                <w:rFonts w:hint="eastAsia" w:ascii="Times New Roman" w:hAnsi="Times New Roman" w:cs="Times New Roman"/>
                <w:b/>
                <w:kern w:val="2"/>
                <w:sz w:val="24"/>
                <w:szCs w:val="24"/>
              </w:rPr>
              <w:t>废气监测结果见下表：</w:t>
            </w:r>
          </w:p>
          <w:p>
            <w:pPr>
              <w:spacing w:line="360" w:lineRule="auto"/>
              <w:jc w:val="center"/>
              <w:rPr>
                <w:rFonts w:hint="eastAsia" w:ascii="Times New Roman" w:hAnsi="Times New Roman" w:eastAsia="宋体"/>
                <w:b/>
                <w:sz w:val="24"/>
                <w:szCs w:val="24"/>
                <w:lang w:val="en-US" w:eastAsia="zh-CN"/>
              </w:rPr>
            </w:pPr>
            <w:r>
              <w:rPr>
                <w:rFonts w:ascii="Times New Roman" w:hAnsi="Times New Roman"/>
                <w:b/>
                <w:sz w:val="24"/>
                <w:szCs w:val="24"/>
              </w:rPr>
              <w:t xml:space="preserve">表 </w:t>
            </w:r>
            <w:r>
              <w:rPr>
                <w:rFonts w:hint="eastAsia" w:ascii="Times New Roman" w:hAnsi="Times New Roman"/>
                <w:b/>
                <w:sz w:val="24"/>
                <w:szCs w:val="24"/>
              </w:rPr>
              <w:t>7-</w:t>
            </w:r>
            <w:r>
              <w:rPr>
                <w:rFonts w:hint="eastAsia" w:ascii="Times New Roman" w:hAnsi="Times New Roman"/>
                <w:b/>
                <w:sz w:val="24"/>
                <w:szCs w:val="24"/>
                <w:lang w:val="en-US" w:eastAsia="zh-CN"/>
              </w:rPr>
              <w:t>2</w:t>
            </w:r>
            <w:r>
              <w:rPr>
                <w:rFonts w:ascii="Times New Roman" w:hAnsi="Times New Roman"/>
                <w:b/>
                <w:sz w:val="24"/>
                <w:szCs w:val="24"/>
              </w:rPr>
              <w:t xml:space="preserve"> </w:t>
            </w:r>
            <w:r>
              <w:rPr>
                <w:rFonts w:hint="eastAsia" w:ascii="Times New Roman" w:hAnsi="Times New Roman"/>
                <w:b/>
                <w:sz w:val="24"/>
                <w:szCs w:val="24"/>
              </w:rPr>
              <w:t xml:space="preserve">  无组织废气</w:t>
            </w:r>
            <w:r>
              <w:rPr>
                <w:rFonts w:ascii="Times New Roman" w:hAnsi="Times New Roman"/>
                <w:b/>
                <w:sz w:val="24"/>
                <w:szCs w:val="24"/>
              </w:rPr>
              <w:t>监测结果表</w:t>
            </w:r>
            <w:r>
              <w:rPr>
                <w:rFonts w:hint="eastAsia" w:ascii="Times New Roman" w:hAnsi="Times New Roman"/>
                <w:b/>
                <w:sz w:val="24"/>
                <w:szCs w:val="24"/>
                <w:lang w:val="en-US" w:eastAsia="zh-CN"/>
              </w:rPr>
              <w:t xml:space="preserve">  </w:t>
            </w:r>
            <w:r>
              <w:rPr>
                <w:rFonts w:hint="eastAsia" w:ascii="宋体" w:hAnsi="宋体" w:eastAsia="宋体"/>
                <w:b/>
                <w:sz w:val="24"/>
                <w:szCs w:val="24"/>
              </w:rPr>
              <w:t>单位：mg/</w:t>
            </w:r>
            <w:r>
              <w:rPr>
                <w:rFonts w:hint="eastAsia" w:ascii="宋体" w:hAnsi="宋体" w:eastAsia="宋体"/>
                <w:b/>
                <w:sz w:val="24"/>
                <w:szCs w:val="24"/>
                <w:lang w:val="en-US" w:eastAsia="zh-CN"/>
              </w:rPr>
              <w:t>m</w:t>
            </w:r>
            <w:r>
              <w:rPr>
                <w:rFonts w:hint="eastAsia" w:ascii="宋体" w:hAnsi="宋体" w:eastAsia="宋体"/>
                <w:b/>
                <w:sz w:val="24"/>
                <w:szCs w:val="24"/>
                <w:vertAlign w:val="superscript"/>
                <w:lang w:val="en-US" w:eastAsia="zh-CN"/>
              </w:rPr>
              <w:t>3</w:t>
            </w:r>
          </w:p>
          <w:tbl>
            <w:tblPr>
              <w:tblStyle w:val="20"/>
              <w:tblW w:w="931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83"/>
              <w:gridCol w:w="1743"/>
              <w:gridCol w:w="1134"/>
              <w:gridCol w:w="1134"/>
              <w:gridCol w:w="1134"/>
              <w:gridCol w:w="1136"/>
              <w:gridCol w:w="14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9319" w:type="dxa"/>
                  <w:gridSpan w:val="7"/>
                  <w:noWrap w:val="0"/>
                  <w:vAlign w:val="center"/>
                </w:tcPr>
                <w:p>
                  <w:pPr>
                    <w:jc w:val="center"/>
                    <w:rPr>
                      <w:rFonts w:hint="default" w:ascii="Times New Roman" w:hAnsi="Times New Roman" w:cs="Times New Roman"/>
                      <w:b/>
                      <w:sz w:val="24"/>
                      <w:szCs w:val="24"/>
                      <w:lang w:val="en-US"/>
                    </w:rPr>
                  </w:pPr>
                  <w:r>
                    <w:rPr>
                      <w:rFonts w:hint="eastAsia" w:cs="Times New Roman"/>
                      <w:sz w:val="24"/>
                      <w:szCs w:val="24"/>
                      <w:lang w:eastAsia="zh-CN"/>
                    </w:rPr>
                    <w:t>采样时间：</w:t>
                  </w:r>
                  <w:r>
                    <w:rPr>
                      <w:rFonts w:hint="eastAsia" w:cs="Times New Roman"/>
                      <w:sz w:val="24"/>
                      <w:szCs w:val="24"/>
                      <w:lang w:val="en-US" w:eastAsia="zh-CN"/>
                    </w:rPr>
                    <w:t>2020.07.12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583" w:type="dxa"/>
                  <w:vMerge w:val="restart"/>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采样点位</w:t>
                  </w:r>
                </w:p>
              </w:tc>
              <w:tc>
                <w:tcPr>
                  <w:tcW w:w="1743" w:type="dxa"/>
                  <w:vMerge w:val="restart"/>
                  <w:tcBorders>
                    <w:right w:val="single" w:color="auto" w:sz="4" w:space="0"/>
                  </w:tcBorders>
                  <w:noWrap w:val="0"/>
                  <w:vAlign w:val="center"/>
                </w:tcPr>
                <w:p>
                  <w:pPr>
                    <w:jc w:val="center"/>
                    <w:rPr>
                      <w:rFonts w:hint="default" w:ascii="Times New Roman" w:hAnsi="Times New Roman" w:cs="Times New Roman"/>
                      <w:b/>
                      <w:sz w:val="24"/>
                      <w:szCs w:val="24"/>
                    </w:rPr>
                  </w:pPr>
                  <w:r>
                    <w:rPr>
                      <w:rFonts w:hint="default" w:ascii="Times New Roman" w:hAnsi="Times New Roman" w:cs="Times New Roman"/>
                      <w:sz w:val="24"/>
                      <w:szCs w:val="24"/>
                    </w:rPr>
                    <w:t>检测项目</w:t>
                  </w:r>
                </w:p>
              </w:tc>
              <w:tc>
                <w:tcPr>
                  <w:tcW w:w="4538" w:type="dxa"/>
                  <w:gridSpan w:val="4"/>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检测结果</w:t>
                  </w:r>
                </w:p>
              </w:tc>
              <w:tc>
                <w:tcPr>
                  <w:tcW w:w="1455" w:type="dxa"/>
                  <w:vMerge w:val="restart"/>
                  <w:tcBorders>
                    <w:top w:val="single" w:color="auto" w:sz="4" w:space="0"/>
                    <w:left w:val="single" w:color="auto" w:sz="4" w:space="0"/>
                  </w:tcBorders>
                  <w:noWrap w:val="0"/>
                  <w:vAlign w:val="center"/>
                </w:tcPr>
                <w:p>
                  <w:pPr>
                    <w:jc w:val="center"/>
                    <w:rPr>
                      <w:rFonts w:hint="eastAsia" w:ascii="Times New Roman" w:hAnsi="Times New Roman" w:cs="Times New Roman" w:eastAsiaTheme="minorEastAsia"/>
                      <w:b/>
                      <w:sz w:val="24"/>
                      <w:szCs w:val="24"/>
                      <w:lang w:eastAsia="zh-CN"/>
                    </w:rPr>
                  </w:pPr>
                  <w:r>
                    <w:rPr>
                      <w:rFonts w:hint="eastAsia" w:ascii="Times New Roman" w:hAnsi="Times New Roman" w:cs="Times New Roman"/>
                      <w:sz w:val="24"/>
                      <w:szCs w:val="24"/>
                      <w:lang w:eastAsia="zh-CN"/>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trPr>
              <w:tc>
                <w:tcPr>
                  <w:tcW w:w="1583" w:type="dxa"/>
                  <w:vMerge w:val="continue"/>
                  <w:tcBorders>
                    <w:bottom w:val="single" w:color="auto" w:sz="4" w:space="0"/>
                  </w:tcBorders>
                  <w:noWrap w:val="0"/>
                  <w:vAlign w:val="center"/>
                </w:tcPr>
                <w:p>
                  <w:pPr>
                    <w:jc w:val="center"/>
                    <w:rPr>
                      <w:rFonts w:hint="default" w:ascii="Times New Roman" w:hAnsi="Times New Roman" w:cs="Times New Roman"/>
                      <w:sz w:val="24"/>
                      <w:szCs w:val="24"/>
                    </w:rPr>
                  </w:pPr>
                </w:p>
              </w:tc>
              <w:tc>
                <w:tcPr>
                  <w:tcW w:w="1743" w:type="dxa"/>
                  <w:vMerge w:val="continue"/>
                  <w:tcBorders>
                    <w:right w:val="single" w:color="auto" w:sz="4" w:space="0"/>
                  </w:tcBorders>
                  <w:noWrap w:val="0"/>
                  <w:vAlign w:val="center"/>
                </w:tcPr>
                <w:p>
                  <w:pPr>
                    <w:jc w:val="center"/>
                    <w:rPr>
                      <w:rFonts w:hint="default" w:ascii="Times New Roman" w:hAnsi="Times New Roman" w:cs="Times New Roman"/>
                      <w:sz w:val="24"/>
                      <w:szCs w:val="24"/>
                    </w:rPr>
                  </w:pPr>
                </w:p>
              </w:tc>
              <w:tc>
                <w:tcPr>
                  <w:tcW w:w="1134" w:type="dxa"/>
                  <w:tcBorders>
                    <w:left w:val="single" w:color="auto" w:sz="4" w:space="0"/>
                    <w:right w:val="single" w:color="auto" w:sz="4" w:space="0"/>
                  </w:tcBorders>
                  <w:noWrap w:val="0"/>
                  <w:vAlign w:val="center"/>
                </w:tcPr>
                <w:p>
                  <w:pPr>
                    <w:jc w:val="center"/>
                    <w:rPr>
                      <w:rFonts w:hint="eastAsia" w:ascii="Times New Roman" w:hAnsi="Times New Roman" w:eastAsia="宋体" w:cs="Times New Roman"/>
                      <w:sz w:val="24"/>
                      <w:szCs w:val="24"/>
                      <w:lang w:val="en-US" w:eastAsia="zh-CN"/>
                    </w:rPr>
                  </w:pPr>
                  <w:r>
                    <w:rPr>
                      <w:rFonts w:hint="eastAsia" w:cs="Times New Roman"/>
                      <w:sz w:val="24"/>
                      <w:szCs w:val="24"/>
                      <w:lang w:val="en-US" w:eastAsia="zh-CN"/>
                    </w:rPr>
                    <w:t>第一次</w:t>
                  </w:r>
                </w:p>
              </w:tc>
              <w:tc>
                <w:tcPr>
                  <w:tcW w:w="1134" w:type="dxa"/>
                  <w:tcBorders>
                    <w:left w:val="single" w:color="auto" w:sz="4" w:space="0"/>
                    <w:right w:val="single" w:color="auto" w:sz="4" w:space="0"/>
                  </w:tcBorders>
                  <w:noWrap w:val="0"/>
                  <w:vAlign w:val="center"/>
                </w:tcPr>
                <w:p>
                  <w:pPr>
                    <w:jc w:val="center"/>
                    <w:rPr>
                      <w:rFonts w:hint="eastAsia" w:cs="Times New Roman"/>
                      <w:sz w:val="24"/>
                      <w:szCs w:val="24"/>
                      <w:lang w:val="en-US" w:eastAsia="zh-CN"/>
                    </w:rPr>
                  </w:pPr>
                  <w:r>
                    <w:rPr>
                      <w:rFonts w:hint="eastAsia" w:cs="Times New Roman"/>
                      <w:sz w:val="24"/>
                      <w:szCs w:val="24"/>
                      <w:lang w:eastAsia="zh-CN"/>
                    </w:rPr>
                    <w:t>第二次</w:t>
                  </w:r>
                </w:p>
              </w:tc>
              <w:tc>
                <w:tcPr>
                  <w:tcW w:w="1134" w:type="dxa"/>
                  <w:tcBorders>
                    <w:left w:val="single" w:color="auto" w:sz="4" w:space="0"/>
                    <w:right w:val="single" w:color="auto" w:sz="4" w:space="0"/>
                  </w:tcBorders>
                  <w:noWrap w:val="0"/>
                  <w:vAlign w:val="center"/>
                </w:tcPr>
                <w:p>
                  <w:pPr>
                    <w:jc w:val="center"/>
                    <w:rPr>
                      <w:rFonts w:hint="eastAsia" w:ascii="Times New Roman" w:hAnsi="Times New Roman" w:eastAsia="宋体" w:cs="Times New Roman"/>
                      <w:sz w:val="24"/>
                      <w:szCs w:val="24"/>
                      <w:lang w:eastAsia="zh-CN"/>
                    </w:rPr>
                  </w:pPr>
                  <w:r>
                    <w:rPr>
                      <w:rFonts w:hint="eastAsia" w:cs="Times New Roman"/>
                      <w:sz w:val="24"/>
                      <w:szCs w:val="24"/>
                      <w:lang w:val="en-US" w:eastAsia="zh-CN"/>
                    </w:rPr>
                    <w:t>第三次</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cs="Times New Roman"/>
                      <w:sz w:val="24"/>
                      <w:szCs w:val="24"/>
                      <w:lang w:val="en-US" w:eastAsia="zh-CN"/>
                    </w:rPr>
                    <w:t>第四次</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1583" w:type="dxa"/>
                  <w:noWrap w:val="0"/>
                  <w:vAlign w:val="center"/>
                </w:tcPr>
                <w:p>
                  <w:pPr>
                    <w:spacing w:line="240" w:lineRule="auto"/>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C1</w:t>
                  </w:r>
                </w:p>
              </w:tc>
              <w:tc>
                <w:tcPr>
                  <w:tcW w:w="1743" w:type="dxa"/>
                  <w:vMerge w:val="restart"/>
                  <w:tcBorders>
                    <w:right w:val="single" w:color="auto" w:sz="4" w:space="0"/>
                  </w:tcBorders>
                  <w:noWrap w:val="0"/>
                  <w:vAlign w:val="center"/>
                </w:tcPr>
                <w:p>
                  <w:pPr>
                    <w:pStyle w:val="12"/>
                    <w:snapToGrid w:val="0"/>
                    <w:jc w:val="center"/>
                    <w:rPr>
                      <w:rFonts w:hint="default" w:ascii="Times New Roman" w:hAnsi="Times New Roman" w:cs="Times New Roman"/>
                      <w:sz w:val="24"/>
                      <w:szCs w:val="24"/>
                      <w:lang w:val="en-US" w:eastAsia="zh-CN"/>
                    </w:rPr>
                  </w:pPr>
                  <w:r>
                    <w:rPr>
                      <w:rFonts w:hint="eastAsia" w:ascii="Times New Roman" w:hAnsi="宋体"/>
                      <w:sz w:val="24"/>
                      <w:szCs w:val="24"/>
                      <w:lang w:val="en-US" w:eastAsia="zh-CN"/>
                    </w:rPr>
                    <w:t>颗粒物</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0.291</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0.250</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0.162</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0.253</w:t>
                  </w:r>
                </w:p>
              </w:tc>
              <w:tc>
                <w:tcPr>
                  <w:tcW w:w="1455" w:type="dxa"/>
                  <w:vMerge w:val="restart"/>
                  <w:tcBorders>
                    <w:lef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1583" w:type="dxa"/>
                  <w:noWrap w:val="0"/>
                  <w:vAlign w:val="center"/>
                </w:tcPr>
                <w:p>
                  <w:pPr>
                    <w:spacing w:line="240" w:lineRule="auto"/>
                    <w:jc w:val="center"/>
                    <w:rPr>
                      <w:rFonts w:hint="default" w:ascii="Times New Roman" w:hAnsi="Times New Roman" w:cs="Times New Roman"/>
                      <w:sz w:val="24"/>
                      <w:szCs w:val="24"/>
                    </w:rPr>
                  </w:pPr>
                  <w:r>
                    <w:rPr>
                      <w:rFonts w:hint="eastAsia" w:eastAsia="宋体" w:cs="Times New Roman"/>
                      <w:sz w:val="24"/>
                      <w:szCs w:val="24"/>
                      <w:lang w:val="en-US" w:eastAsia="zh-CN"/>
                    </w:rPr>
                    <w:t>C2</w:t>
                  </w:r>
                </w:p>
              </w:tc>
              <w:tc>
                <w:tcPr>
                  <w:tcW w:w="1743" w:type="dxa"/>
                  <w:vMerge w:val="continue"/>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0.469</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0.522</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0.624</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0.574</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1583" w:type="dxa"/>
                  <w:noWrap w:val="0"/>
                  <w:vAlign w:val="center"/>
                </w:tcPr>
                <w:p>
                  <w:pPr>
                    <w:spacing w:line="240" w:lineRule="auto"/>
                    <w:jc w:val="center"/>
                    <w:rPr>
                      <w:rFonts w:hint="default" w:eastAsia="宋体" w:cs="Times New Roman"/>
                      <w:sz w:val="24"/>
                      <w:szCs w:val="24"/>
                      <w:lang w:val="en-US" w:eastAsia="zh-CN"/>
                    </w:rPr>
                  </w:pPr>
                  <w:r>
                    <w:rPr>
                      <w:rFonts w:hint="eastAsia" w:eastAsia="宋体" w:cs="Times New Roman"/>
                      <w:sz w:val="24"/>
                      <w:szCs w:val="24"/>
                      <w:lang w:val="en-US" w:eastAsia="zh-CN"/>
                    </w:rPr>
                    <w:t>C3</w:t>
                  </w:r>
                </w:p>
              </w:tc>
              <w:tc>
                <w:tcPr>
                  <w:tcW w:w="1743" w:type="dxa"/>
                  <w:vMerge w:val="continue"/>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0.537</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0.658</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0.601</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0.482</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default" w:ascii="Times New Roman" w:hAnsi="Times New Roman" w:cs="Times New Roman"/>
                      <w:sz w:val="24"/>
                      <w:szCs w:val="24"/>
                    </w:rPr>
                  </w:pPr>
                  <w:r>
                    <w:rPr>
                      <w:rFonts w:hint="eastAsia" w:eastAsia="宋体" w:cs="Times New Roman"/>
                      <w:sz w:val="24"/>
                      <w:szCs w:val="24"/>
                      <w:lang w:val="en-US" w:eastAsia="zh-CN"/>
                    </w:rPr>
                    <w:t>C4</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0.648</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0.522</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0.554</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0.436</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C1</w:t>
                  </w:r>
                </w:p>
              </w:tc>
              <w:tc>
                <w:tcPr>
                  <w:tcW w:w="1743" w:type="dxa"/>
                  <w:vMerge w:val="restart"/>
                  <w:tcBorders>
                    <w:right w:val="single" w:color="auto" w:sz="4" w:space="0"/>
                  </w:tcBorders>
                  <w:noWrap w:val="0"/>
                  <w:vAlign w:val="center"/>
                </w:tcPr>
                <w:p>
                  <w:pPr>
                    <w:pStyle w:val="12"/>
                    <w:snapToGrid w:val="0"/>
                    <w:jc w:val="center"/>
                    <w:rPr>
                      <w:rFonts w:hint="eastAsia" w:ascii="Times New Roman" w:hAnsi="宋体"/>
                      <w:sz w:val="24"/>
                      <w:szCs w:val="24"/>
                      <w:lang w:val="en-US" w:eastAsia="zh-CN"/>
                    </w:rPr>
                  </w:pPr>
                  <w:r>
                    <w:rPr>
                      <w:rFonts w:hint="eastAsia" w:ascii="Times New Roman" w:hAnsi="宋体"/>
                      <w:sz w:val="24"/>
                      <w:szCs w:val="24"/>
                      <w:lang w:val="en-US" w:eastAsia="zh-CN"/>
                    </w:rPr>
                    <w:t>非甲烷总烃</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0.92</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0.72</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0.85</w:t>
                  </w:r>
                </w:p>
              </w:tc>
              <w:tc>
                <w:tcPr>
                  <w:tcW w:w="1136"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1.37</w:t>
                  </w:r>
                </w:p>
              </w:tc>
              <w:tc>
                <w:tcPr>
                  <w:tcW w:w="1455" w:type="dxa"/>
                  <w:vMerge w:val="restart"/>
                  <w:tcBorders>
                    <w:left w:val="single" w:color="auto" w:sz="4" w:space="0"/>
                  </w:tcBorders>
                  <w:noWrap w:val="0"/>
                  <w:vAlign w:val="center"/>
                </w:tcPr>
                <w:p>
                  <w:pPr>
                    <w:jc w:val="center"/>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C2</w:t>
                  </w:r>
                </w:p>
              </w:tc>
              <w:tc>
                <w:tcPr>
                  <w:tcW w:w="1743" w:type="dxa"/>
                  <w:vMerge w:val="continue"/>
                  <w:tcBorders>
                    <w:right w:val="single" w:color="auto" w:sz="4" w:space="0"/>
                  </w:tcBorders>
                  <w:noWrap w:val="0"/>
                  <w:vAlign w:val="center"/>
                </w:tcPr>
                <w:p>
                  <w:pPr>
                    <w:pStyle w:val="12"/>
                    <w:snapToGrid w:val="0"/>
                    <w:jc w:val="center"/>
                    <w:rPr>
                      <w:rFonts w:hint="eastAsia" w:ascii="Times New Roman" w:hAnsi="宋体"/>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0.97</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0.66</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0.53</w:t>
                  </w:r>
                </w:p>
              </w:tc>
              <w:tc>
                <w:tcPr>
                  <w:tcW w:w="1136"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0.61</w:t>
                  </w:r>
                </w:p>
              </w:tc>
              <w:tc>
                <w:tcPr>
                  <w:tcW w:w="1455" w:type="dxa"/>
                  <w:vMerge w:val="continue"/>
                  <w:tcBorders>
                    <w:left w:val="single" w:color="auto" w:sz="4" w:space="0"/>
                  </w:tcBorders>
                  <w:noWrap w:val="0"/>
                  <w:vAlign w:val="center"/>
                </w:tcPr>
                <w:p>
                  <w:pPr>
                    <w:jc w:val="center"/>
                    <w:rPr>
                      <w:rFonts w:hint="eastAsia" w:ascii="Times New Roman" w:hAnsi="Times New Roman" w:cs="Times New Roman"/>
                      <w:sz w:val="24"/>
                      <w:szCs w:val="24"/>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C3</w:t>
                  </w:r>
                </w:p>
              </w:tc>
              <w:tc>
                <w:tcPr>
                  <w:tcW w:w="1743" w:type="dxa"/>
                  <w:vMerge w:val="continue"/>
                  <w:tcBorders>
                    <w:right w:val="single" w:color="auto" w:sz="4" w:space="0"/>
                  </w:tcBorders>
                  <w:noWrap w:val="0"/>
                  <w:vAlign w:val="center"/>
                </w:tcPr>
                <w:p>
                  <w:pPr>
                    <w:pStyle w:val="12"/>
                    <w:snapToGrid w:val="0"/>
                    <w:jc w:val="center"/>
                    <w:rPr>
                      <w:rFonts w:hint="eastAsia" w:ascii="Times New Roman" w:hAnsi="宋体"/>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2.09</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0.49</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0.48</w:t>
                  </w:r>
                </w:p>
              </w:tc>
              <w:tc>
                <w:tcPr>
                  <w:tcW w:w="1136"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0.36</w:t>
                  </w:r>
                </w:p>
              </w:tc>
              <w:tc>
                <w:tcPr>
                  <w:tcW w:w="1455" w:type="dxa"/>
                  <w:vMerge w:val="continue"/>
                  <w:tcBorders>
                    <w:left w:val="single" w:color="auto" w:sz="4" w:space="0"/>
                  </w:tcBorders>
                  <w:noWrap w:val="0"/>
                  <w:vAlign w:val="center"/>
                </w:tcPr>
                <w:p>
                  <w:pPr>
                    <w:jc w:val="center"/>
                    <w:rPr>
                      <w:rFonts w:hint="eastAsia" w:ascii="Times New Roman" w:hAnsi="Times New Roman" w:cs="Times New Roman"/>
                      <w:sz w:val="24"/>
                      <w:szCs w:val="24"/>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C4</w:t>
                  </w:r>
                </w:p>
              </w:tc>
              <w:tc>
                <w:tcPr>
                  <w:tcW w:w="1743" w:type="dxa"/>
                  <w:vMerge w:val="continue"/>
                  <w:tcBorders>
                    <w:right w:val="single" w:color="auto" w:sz="4" w:space="0"/>
                  </w:tcBorders>
                  <w:noWrap w:val="0"/>
                  <w:vAlign w:val="center"/>
                </w:tcPr>
                <w:p>
                  <w:pPr>
                    <w:pStyle w:val="12"/>
                    <w:snapToGrid w:val="0"/>
                    <w:jc w:val="center"/>
                    <w:rPr>
                      <w:rFonts w:hint="eastAsia" w:ascii="Times New Roman" w:hAnsi="宋体"/>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0.33</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0.48</w:t>
                  </w:r>
                </w:p>
              </w:tc>
              <w:tc>
                <w:tcPr>
                  <w:tcW w:w="1134"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0.34</w:t>
                  </w:r>
                </w:p>
              </w:tc>
              <w:tc>
                <w:tcPr>
                  <w:tcW w:w="1136" w:type="dxa"/>
                  <w:tcBorders>
                    <w:left w:val="single" w:color="auto" w:sz="4" w:space="0"/>
                    <w:right w:val="single" w:color="auto" w:sz="4" w:space="0"/>
                  </w:tcBorders>
                  <w:noWrap w:val="0"/>
                  <w:vAlign w:val="center"/>
                </w:tcPr>
                <w:p>
                  <w:pPr>
                    <w:jc w:val="center"/>
                    <w:rPr>
                      <w:rFonts w:hint="eastAsia"/>
                      <w:sz w:val="24"/>
                      <w:szCs w:val="24"/>
                      <w:lang w:val="en-US" w:eastAsia="zh-CN"/>
                    </w:rPr>
                  </w:pPr>
                  <w:r>
                    <w:rPr>
                      <w:rFonts w:hint="eastAsia" w:eastAsia="宋体" w:cs="Times New Roman"/>
                      <w:sz w:val="24"/>
                      <w:szCs w:val="24"/>
                      <w:lang w:val="en-US" w:eastAsia="zh-CN"/>
                    </w:rPr>
                    <w:t>0.40</w:t>
                  </w:r>
                </w:p>
              </w:tc>
              <w:tc>
                <w:tcPr>
                  <w:tcW w:w="1455" w:type="dxa"/>
                  <w:vMerge w:val="continue"/>
                  <w:tcBorders>
                    <w:left w:val="single" w:color="auto" w:sz="4" w:space="0"/>
                  </w:tcBorders>
                  <w:noWrap w:val="0"/>
                  <w:vAlign w:val="center"/>
                </w:tcPr>
                <w:p>
                  <w:pPr>
                    <w:jc w:val="center"/>
                    <w:rPr>
                      <w:rFonts w:hint="eastAsia" w:ascii="Times New Roman" w:hAnsi="Times New Roman" w:cs="Times New Roman"/>
                      <w:sz w:val="24"/>
                      <w:szCs w:val="24"/>
                      <w:lang w:val="en-US" w:eastAsia="zh-CN"/>
                    </w:rPr>
                  </w:pPr>
                </w:p>
              </w:tc>
            </w:tr>
          </w:tbl>
          <w:tbl>
            <w:tblPr>
              <w:tblStyle w:val="20"/>
              <w:tblpPr w:leftFromText="180" w:rightFromText="180" w:vertAnchor="text" w:horzAnchor="page" w:tblpX="112" w:tblpY="138"/>
              <w:tblOverlap w:val="never"/>
              <w:tblW w:w="931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83"/>
              <w:gridCol w:w="1743"/>
              <w:gridCol w:w="1134"/>
              <w:gridCol w:w="1134"/>
              <w:gridCol w:w="1134"/>
              <w:gridCol w:w="1136"/>
              <w:gridCol w:w="14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9319" w:type="dxa"/>
                  <w:gridSpan w:val="7"/>
                  <w:noWrap w:val="0"/>
                  <w:vAlign w:val="center"/>
                </w:tcPr>
                <w:p>
                  <w:pPr>
                    <w:jc w:val="center"/>
                    <w:rPr>
                      <w:rFonts w:hint="default" w:ascii="Times New Roman" w:hAnsi="Times New Roman" w:cs="Times New Roman"/>
                      <w:sz w:val="24"/>
                      <w:szCs w:val="24"/>
                      <w:lang w:val="en-US"/>
                    </w:rPr>
                  </w:pPr>
                  <w:r>
                    <w:rPr>
                      <w:rFonts w:hint="eastAsia" w:cs="Times New Roman"/>
                      <w:sz w:val="24"/>
                      <w:szCs w:val="24"/>
                      <w:lang w:eastAsia="zh-CN"/>
                    </w:rPr>
                    <w:t>采样时间：</w:t>
                  </w:r>
                  <w:r>
                    <w:rPr>
                      <w:rFonts w:hint="eastAsia" w:cs="Times New Roman"/>
                      <w:sz w:val="24"/>
                      <w:szCs w:val="24"/>
                      <w:lang w:val="en-US" w:eastAsia="zh-CN"/>
                    </w:rPr>
                    <w:t>2020.07.13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restart"/>
                  <w:noWrap w:val="0"/>
                  <w:vAlign w:val="center"/>
                </w:tcPr>
                <w:p>
                  <w:pPr>
                    <w:jc w:val="center"/>
                    <w:rPr>
                      <w:rFonts w:hint="eastAsia" w:eastAsia="宋体" w:cs="Times New Roman"/>
                      <w:sz w:val="24"/>
                      <w:szCs w:val="24"/>
                      <w:lang w:val="en-US" w:eastAsia="zh-CN"/>
                    </w:rPr>
                  </w:pPr>
                  <w:r>
                    <w:rPr>
                      <w:rFonts w:hint="default" w:ascii="Times New Roman" w:hAnsi="Times New Roman" w:cs="Times New Roman"/>
                      <w:sz w:val="24"/>
                      <w:szCs w:val="24"/>
                    </w:rPr>
                    <w:t>采样点位</w:t>
                  </w:r>
                </w:p>
              </w:tc>
              <w:tc>
                <w:tcPr>
                  <w:tcW w:w="1743" w:type="dxa"/>
                  <w:vMerge w:val="restart"/>
                  <w:tcBorders>
                    <w:right w:val="single" w:color="auto" w:sz="4" w:space="0"/>
                  </w:tcBorders>
                  <w:noWrap w:val="0"/>
                  <w:vAlign w:val="center"/>
                </w:tcPr>
                <w:p>
                  <w:pPr>
                    <w:jc w:val="center"/>
                    <w:rPr>
                      <w:rFonts w:hint="eastAsia" w:ascii="Times New Roman" w:hAnsi="Times New Roman" w:cs="Times New Roman"/>
                      <w:color w:val="auto"/>
                      <w:sz w:val="24"/>
                      <w:szCs w:val="24"/>
                      <w:lang w:val="en-US" w:eastAsia="zh-CN"/>
                    </w:rPr>
                  </w:pPr>
                  <w:r>
                    <w:rPr>
                      <w:rFonts w:hint="default" w:ascii="Times New Roman" w:hAnsi="Times New Roman" w:cs="Times New Roman"/>
                      <w:sz w:val="24"/>
                      <w:szCs w:val="24"/>
                    </w:rPr>
                    <w:t>检测项目</w:t>
                  </w:r>
                </w:p>
              </w:tc>
              <w:tc>
                <w:tcPr>
                  <w:tcW w:w="4538" w:type="dxa"/>
                  <w:gridSpan w:val="4"/>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default" w:ascii="Times New Roman" w:hAnsi="Times New Roman" w:cs="Times New Roman"/>
                      <w:sz w:val="24"/>
                      <w:szCs w:val="24"/>
                    </w:rPr>
                    <w:t>检测结果</w:t>
                  </w:r>
                </w:p>
              </w:tc>
              <w:tc>
                <w:tcPr>
                  <w:tcW w:w="1455" w:type="dxa"/>
                  <w:vMerge w:val="restart"/>
                  <w:tcBorders>
                    <w:left w:val="single" w:color="auto" w:sz="4" w:space="0"/>
                  </w:tcBorders>
                  <w:noWrap w:val="0"/>
                  <w:vAlign w:val="center"/>
                </w:tcPr>
                <w:p>
                  <w:pPr>
                    <w:jc w:val="center"/>
                    <w:rPr>
                      <w:rFonts w:hint="default" w:ascii="Times New Roman" w:hAnsi="Times New Roman" w:cs="Times New Roman"/>
                      <w:sz w:val="24"/>
                      <w:szCs w:val="24"/>
                    </w:rPr>
                  </w:pPr>
                  <w:r>
                    <w:rPr>
                      <w:rFonts w:hint="eastAsia" w:ascii="Times New Roman" w:hAnsi="Times New Roman" w:cs="Times New Roman"/>
                      <w:sz w:val="24"/>
                      <w:szCs w:val="24"/>
                      <w:lang w:eastAsia="zh-CN"/>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eastAsia" w:eastAsia="宋体" w:cs="Times New Roman"/>
                      <w:sz w:val="24"/>
                      <w:szCs w:val="24"/>
                      <w:lang w:val="en-US" w:eastAsia="zh-CN"/>
                    </w:rPr>
                  </w:pPr>
                </w:p>
              </w:tc>
              <w:tc>
                <w:tcPr>
                  <w:tcW w:w="1743" w:type="dxa"/>
                  <w:vMerge w:val="continue"/>
                  <w:tcBorders>
                    <w:right w:val="single" w:color="auto" w:sz="4" w:space="0"/>
                  </w:tcBorders>
                  <w:noWrap w:val="0"/>
                  <w:vAlign w:val="center"/>
                </w:tcPr>
                <w:p>
                  <w:pPr>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cs="Times New Roman"/>
                      <w:sz w:val="24"/>
                      <w:szCs w:val="24"/>
                      <w:lang w:val="en-US" w:eastAsia="zh-CN"/>
                    </w:rPr>
                    <w:t>第一次</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cs="Times New Roman"/>
                      <w:sz w:val="24"/>
                      <w:szCs w:val="24"/>
                      <w:lang w:eastAsia="zh-CN"/>
                    </w:rPr>
                    <w:t>第二次</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cs="Times New Roman"/>
                      <w:sz w:val="24"/>
                      <w:szCs w:val="24"/>
                      <w:lang w:val="en-US" w:eastAsia="zh-CN"/>
                    </w:rPr>
                    <w:t>第三次</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cs="Times New Roman"/>
                      <w:sz w:val="24"/>
                      <w:szCs w:val="24"/>
                      <w:lang w:val="en-US" w:eastAsia="zh-CN"/>
                    </w:rPr>
                    <w:t>第四次</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C1</w:t>
                  </w:r>
                </w:p>
              </w:tc>
              <w:tc>
                <w:tcPr>
                  <w:tcW w:w="1743" w:type="dxa"/>
                  <w:vMerge w:val="restart"/>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颗粒物</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0.269</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0.297</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0.325</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0.297</w:t>
                  </w:r>
                </w:p>
              </w:tc>
              <w:tc>
                <w:tcPr>
                  <w:tcW w:w="1455" w:type="dxa"/>
                  <w:vMerge w:val="restart"/>
                  <w:tcBorders>
                    <w:left w:val="single" w:color="auto" w:sz="4" w:space="0"/>
                  </w:tcBorders>
                  <w:noWrap w:val="0"/>
                  <w:vAlign w:val="center"/>
                </w:tcPr>
                <w:p>
                  <w:pPr>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sz w:val="24"/>
                      <w:szCs w:val="24"/>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C2</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0.694</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0.525</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0.650</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0.503</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C3</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0.515</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0.571</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0.534</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0.641</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C4</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0.425</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0.548</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0.534</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0.572</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C1</w:t>
                  </w:r>
                </w:p>
              </w:tc>
              <w:tc>
                <w:tcPr>
                  <w:tcW w:w="1743" w:type="dxa"/>
                  <w:vMerge w:val="restart"/>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宋体"/>
                      <w:sz w:val="24"/>
                      <w:szCs w:val="24"/>
                      <w:lang w:val="en-US" w:eastAsia="zh-CN"/>
                    </w:rPr>
                    <w:t>非甲烷总烃</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0.28</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0.01</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0.03</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0.38</w:t>
                  </w:r>
                </w:p>
              </w:tc>
              <w:tc>
                <w:tcPr>
                  <w:tcW w:w="1455" w:type="dxa"/>
                  <w:vMerge w:val="restart"/>
                  <w:tcBorders>
                    <w:left w:val="single" w:color="auto" w:sz="4" w:space="0"/>
                  </w:tcBorders>
                  <w:noWrap w:val="0"/>
                  <w:vAlign w:val="center"/>
                </w:tcPr>
                <w:p>
                  <w:pPr>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sz w:val="24"/>
                      <w:szCs w:val="24"/>
                      <w:lang w:val="en-US" w:eastAsia="zh-CN"/>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C2</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0.98</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2.17</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0.36</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0.35</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C3</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1.10</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0.57</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2.86</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0.14</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noWrap w:val="0"/>
                  <w:vAlign w:val="center"/>
                </w:tcPr>
                <w:p>
                  <w:pPr>
                    <w:spacing w:line="240" w:lineRule="auto"/>
                    <w:jc w:val="center"/>
                    <w:rPr>
                      <w:rFonts w:hint="eastAsia" w:eastAsia="宋体" w:cs="Times New Roman"/>
                      <w:sz w:val="24"/>
                      <w:szCs w:val="24"/>
                      <w:lang w:val="en-US" w:eastAsia="zh-CN"/>
                    </w:rPr>
                  </w:pPr>
                  <w:r>
                    <w:rPr>
                      <w:rFonts w:hint="eastAsia" w:eastAsia="宋体" w:cs="Times New Roman"/>
                      <w:sz w:val="24"/>
                      <w:szCs w:val="24"/>
                      <w:lang w:val="en-US" w:eastAsia="zh-CN"/>
                    </w:rPr>
                    <w:t>C4</w:t>
                  </w:r>
                </w:p>
              </w:tc>
              <w:tc>
                <w:tcPr>
                  <w:tcW w:w="1743" w:type="dxa"/>
                  <w:vMerge w:val="continue"/>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0.37</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0.15</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0.19</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0.03</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bl>
          <w:p>
            <w:pPr>
              <w:spacing w:line="360" w:lineRule="auto"/>
              <w:rPr>
                <w:rFonts w:ascii="Times New Roman" w:hAnsi="Times New Roman"/>
                <w:sz w:val="24"/>
                <w:szCs w:val="24"/>
              </w:rPr>
            </w:pPr>
            <w:r>
              <w:rPr>
                <w:rFonts w:ascii="Times New Roman" w:hAnsi="Times New Roman"/>
                <w:sz w:val="24"/>
                <w:szCs w:val="24"/>
              </w:rPr>
              <w:t>由上表可知：</w:t>
            </w:r>
            <w:r>
              <w:rPr>
                <w:rFonts w:ascii="宋体" w:hAnsi="宋体" w:eastAsia="宋体" w:cs="Times New Roman"/>
                <w:sz w:val="24"/>
                <w:szCs w:val="24"/>
              </w:rPr>
              <w:t>该项目</w:t>
            </w:r>
            <w:r>
              <w:rPr>
                <w:rFonts w:hint="eastAsia" w:ascii="宋体" w:hAnsi="宋体" w:eastAsia="宋体" w:cs="Times New Roman"/>
                <w:sz w:val="24"/>
                <w:szCs w:val="24"/>
              </w:rPr>
              <w:t>无组织</w:t>
            </w:r>
            <w:r>
              <w:rPr>
                <w:rFonts w:ascii="宋体" w:hAnsi="宋体" w:eastAsia="宋体" w:cs="Times New Roman"/>
                <w:sz w:val="24"/>
                <w:szCs w:val="24"/>
              </w:rPr>
              <w:t>废气</w:t>
            </w:r>
            <w:r>
              <w:rPr>
                <w:rFonts w:hint="eastAsia" w:ascii="宋体" w:hAnsi="宋体" w:eastAsia="宋体" w:cs="Times New Roman"/>
                <w:sz w:val="24"/>
                <w:szCs w:val="24"/>
                <w:lang w:val="en-US" w:eastAsia="zh-CN"/>
              </w:rPr>
              <w:t>中</w:t>
            </w:r>
            <w:r>
              <w:rPr>
                <w:rFonts w:hint="eastAsia" w:ascii="宋体" w:hAnsi="宋体" w:eastAsia="宋体" w:cs="Times New Roman"/>
                <w:sz w:val="24"/>
                <w:szCs w:val="24"/>
                <w:lang w:eastAsia="zh-CN"/>
              </w:rPr>
              <w:t>颗粒物、非甲烷总烃厂</w:t>
            </w:r>
            <w:r>
              <w:rPr>
                <w:rFonts w:hint="eastAsia" w:ascii="宋体" w:hAnsi="宋体" w:eastAsia="宋体" w:cs="Times New Roman"/>
                <w:sz w:val="24"/>
                <w:szCs w:val="24"/>
              </w:rPr>
              <w:t>界外最高浓度值</w:t>
            </w:r>
            <w:r>
              <w:rPr>
                <w:rFonts w:hint="eastAsia" w:ascii="宋体" w:hAnsi="宋体" w:eastAsia="宋体" w:cs="Times New Roman"/>
                <w:sz w:val="24"/>
                <w:szCs w:val="24"/>
                <w:lang w:eastAsia="zh-CN"/>
              </w:rPr>
              <w:t>均</w:t>
            </w:r>
            <w:r>
              <w:rPr>
                <w:rFonts w:hint="eastAsia" w:ascii="宋体" w:hAnsi="宋体" w:eastAsia="宋体" w:cs="Times New Roman"/>
                <w:sz w:val="24"/>
                <w:szCs w:val="24"/>
              </w:rPr>
              <w:t>符合</w:t>
            </w:r>
            <w:r>
              <w:rPr>
                <w:rFonts w:hint="eastAsia" w:ascii="宋体" w:hAnsi="宋体" w:eastAsia="宋体"/>
                <w:sz w:val="24"/>
                <w:szCs w:val="24"/>
              </w:rPr>
              <w:t>《大气污染物综合排放标准》（</w:t>
            </w:r>
            <w:r>
              <w:rPr>
                <w:rFonts w:ascii="宋体" w:hAnsi="宋体" w:eastAsia="宋体" w:cs="Times New Roman"/>
                <w:sz w:val="24"/>
                <w:szCs w:val="24"/>
              </w:rPr>
              <w:t>GB16297-1996</w:t>
            </w:r>
            <w:r>
              <w:rPr>
                <w:rFonts w:hint="eastAsia" w:ascii="宋体" w:hAnsi="宋体" w:eastAsia="宋体"/>
                <w:sz w:val="24"/>
                <w:szCs w:val="24"/>
              </w:rPr>
              <w:t>）表</w:t>
            </w:r>
            <w:r>
              <w:rPr>
                <w:rFonts w:ascii="宋体" w:hAnsi="宋体" w:eastAsia="宋体" w:cs="Times New Roman"/>
                <w:sz w:val="24"/>
                <w:szCs w:val="24"/>
              </w:rPr>
              <w:t>2</w:t>
            </w:r>
            <w:r>
              <w:rPr>
                <w:rFonts w:hint="eastAsia" w:ascii="宋体" w:hAnsi="宋体" w:eastAsia="宋体"/>
                <w:sz w:val="24"/>
                <w:szCs w:val="24"/>
              </w:rPr>
              <w:t>中无组织排放浓度限值要求，</w:t>
            </w:r>
            <w:r>
              <w:rPr>
                <w:rFonts w:hint="eastAsia" w:ascii="宋体" w:hAnsi="宋体" w:eastAsia="宋体"/>
                <w:sz w:val="24"/>
                <w:szCs w:val="24"/>
                <w:lang w:eastAsia="zh-CN"/>
              </w:rPr>
              <w:t>为</w:t>
            </w:r>
            <w:r>
              <w:rPr>
                <w:rFonts w:hint="eastAsia" w:ascii="宋体" w:hAnsi="宋体" w:eastAsia="宋体" w:cs="Times New Roman"/>
                <w:sz w:val="24"/>
                <w:szCs w:val="24"/>
              </w:rPr>
              <w:t>达标排放</w:t>
            </w:r>
            <w:r>
              <w:rPr>
                <w:rFonts w:ascii="Times New Roman" w:hAnsi="Times New Roman"/>
                <w:sz w:val="24"/>
                <w:szCs w:val="24"/>
              </w:rPr>
              <w:t>。</w:t>
            </w:r>
          </w:p>
          <w:p>
            <w:pPr>
              <w:pStyle w:val="25"/>
              <w:numPr>
                <w:ilvl w:val="0"/>
                <w:numId w:val="0"/>
              </w:numPr>
              <w:rPr>
                <w:rFonts w:hint="eastAsia" w:ascii="Times New Roman" w:hAnsi="Times New Roman" w:cs="Times New Roman"/>
                <w:b/>
                <w:kern w:val="2"/>
                <w:sz w:val="24"/>
                <w:szCs w:val="24"/>
                <w:lang w:val="en-US" w:eastAsia="zh-CN"/>
              </w:rPr>
            </w:pPr>
          </w:p>
          <w:p>
            <w:pPr>
              <w:pStyle w:val="25"/>
              <w:numPr>
                <w:ilvl w:val="0"/>
                <w:numId w:val="0"/>
              </w:numPr>
              <w:rPr>
                <w:rFonts w:hint="eastAsia" w:ascii="Times New Roman" w:hAnsi="Times New Roman" w:cs="Times New Roman"/>
                <w:b/>
                <w:kern w:val="2"/>
                <w:sz w:val="24"/>
                <w:szCs w:val="24"/>
                <w:lang w:val="en-US" w:eastAsia="zh-CN"/>
              </w:rPr>
            </w:pPr>
          </w:p>
          <w:p>
            <w:pPr>
              <w:pStyle w:val="25"/>
              <w:numPr>
                <w:ilvl w:val="0"/>
                <w:numId w:val="0"/>
              </w:numPr>
              <w:rPr>
                <w:rFonts w:hint="eastAsia" w:ascii="Times New Roman" w:hAnsi="Times New Roman" w:cs="Times New Roman"/>
                <w:b/>
                <w:kern w:val="2"/>
                <w:sz w:val="24"/>
                <w:szCs w:val="24"/>
                <w:lang w:val="en-US" w:eastAsia="zh-CN"/>
              </w:rPr>
            </w:pPr>
          </w:p>
          <w:p>
            <w:pPr>
              <w:pStyle w:val="25"/>
              <w:numPr>
                <w:ilvl w:val="0"/>
                <w:numId w:val="0"/>
              </w:numPr>
              <w:rPr>
                <w:rFonts w:hint="eastAsia" w:ascii="Times New Roman" w:hAnsi="Times New Roman" w:cs="Times New Roman"/>
                <w:b/>
                <w:kern w:val="2"/>
                <w:sz w:val="24"/>
                <w:szCs w:val="24"/>
                <w:lang w:val="en-US" w:eastAsia="zh-CN"/>
              </w:rPr>
            </w:pPr>
          </w:p>
          <w:p>
            <w:pPr>
              <w:pStyle w:val="25"/>
              <w:numPr>
                <w:ilvl w:val="0"/>
                <w:numId w:val="0"/>
              </w:numPr>
              <w:rPr>
                <w:rFonts w:hint="eastAsia" w:ascii="Times New Roman" w:hAnsi="Times New Roman" w:cs="Times New Roman"/>
                <w:b/>
                <w:kern w:val="2"/>
                <w:sz w:val="24"/>
                <w:szCs w:val="24"/>
              </w:rPr>
            </w:pPr>
            <w:r>
              <w:rPr>
                <w:rFonts w:hint="eastAsia" w:ascii="Times New Roman" w:hAnsi="Times New Roman" w:cs="Times New Roman"/>
                <w:b/>
                <w:kern w:val="2"/>
                <w:sz w:val="24"/>
                <w:szCs w:val="24"/>
                <w:lang w:val="en-US" w:eastAsia="zh-CN"/>
              </w:rPr>
              <w:t>2、</w:t>
            </w:r>
            <w:r>
              <w:rPr>
                <w:rFonts w:hint="eastAsia" w:ascii="Times New Roman" w:hAnsi="Times New Roman" w:cs="Times New Roman"/>
                <w:b/>
                <w:kern w:val="2"/>
                <w:sz w:val="24"/>
                <w:szCs w:val="24"/>
              </w:rPr>
              <w:t>废</w:t>
            </w:r>
            <w:r>
              <w:rPr>
                <w:rFonts w:hint="eastAsia" w:ascii="Times New Roman" w:hAnsi="Times New Roman" w:cs="Times New Roman"/>
                <w:b/>
                <w:kern w:val="2"/>
                <w:sz w:val="24"/>
                <w:szCs w:val="24"/>
                <w:lang w:eastAsia="zh-CN"/>
              </w:rPr>
              <w:t>水</w:t>
            </w:r>
            <w:r>
              <w:rPr>
                <w:rFonts w:hint="eastAsia" w:ascii="Times New Roman" w:hAnsi="Times New Roman" w:cs="Times New Roman"/>
                <w:b/>
                <w:kern w:val="2"/>
                <w:sz w:val="24"/>
                <w:szCs w:val="24"/>
              </w:rPr>
              <w:t>监测结果见下表：</w:t>
            </w:r>
          </w:p>
          <w:p>
            <w:pPr>
              <w:spacing w:line="360" w:lineRule="auto"/>
              <w:jc w:val="center"/>
              <w:rPr>
                <w:rFonts w:hint="eastAsia" w:eastAsia="宋体"/>
                <w:lang w:val="en-US" w:eastAsia="zh-CN"/>
              </w:rPr>
            </w:pPr>
            <w:r>
              <w:rPr>
                <w:rFonts w:ascii="Times New Roman" w:hAnsi="Times New Roman"/>
                <w:b/>
                <w:sz w:val="24"/>
                <w:szCs w:val="24"/>
              </w:rPr>
              <w:t xml:space="preserve">表 </w:t>
            </w:r>
            <w:r>
              <w:rPr>
                <w:rFonts w:hint="eastAsia" w:ascii="Times New Roman" w:hAnsi="Times New Roman"/>
                <w:b/>
                <w:sz w:val="24"/>
                <w:szCs w:val="24"/>
              </w:rPr>
              <w:t>7-</w:t>
            </w:r>
            <w:r>
              <w:rPr>
                <w:rFonts w:hint="eastAsia" w:ascii="Times New Roman" w:hAnsi="Times New Roman"/>
                <w:b/>
                <w:sz w:val="24"/>
                <w:szCs w:val="24"/>
                <w:lang w:val="en-US" w:eastAsia="zh-CN"/>
              </w:rPr>
              <w:t>3</w:t>
            </w:r>
            <w:r>
              <w:rPr>
                <w:rFonts w:ascii="Times New Roman" w:hAnsi="Times New Roman"/>
                <w:b/>
                <w:sz w:val="24"/>
                <w:szCs w:val="24"/>
              </w:rPr>
              <w:t xml:space="preserve"> </w:t>
            </w:r>
            <w:r>
              <w:rPr>
                <w:rFonts w:hint="eastAsia" w:ascii="Times New Roman" w:hAnsi="Times New Roman"/>
                <w:b/>
                <w:sz w:val="24"/>
                <w:szCs w:val="24"/>
              </w:rPr>
              <w:t xml:space="preserve">  </w:t>
            </w:r>
            <w:r>
              <w:rPr>
                <w:rFonts w:hint="eastAsia" w:ascii="Times New Roman" w:hAnsi="Times New Roman"/>
                <w:b/>
                <w:sz w:val="24"/>
                <w:szCs w:val="24"/>
                <w:lang w:eastAsia="zh-CN"/>
              </w:rPr>
              <w:t>废水</w:t>
            </w:r>
            <w:r>
              <w:rPr>
                <w:rFonts w:ascii="Times New Roman" w:hAnsi="Times New Roman"/>
                <w:b/>
                <w:sz w:val="24"/>
                <w:szCs w:val="24"/>
              </w:rPr>
              <w:t>监测结果表</w:t>
            </w:r>
            <w:r>
              <w:rPr>
                <w:rFonts w:hint="eastAsia" w:ascii="Times New Roman" w:hAnsi="Times New Roman"/>
                <w:b/>
                <w:sz w:val="24"/>
                <w:szCs w:val="24"/>
                <w:lang w:val="en-US" w:eastAsia="zh-CN"/>
              </w:rPr>
              <w:t xml:space="preserve">  </w:t>
            </w:r>
            <w:r>
              <w:rPr>
                <w:rFonts w:hint="eastAsia" w:ascii="宋体" w:hAnsi="宋体" w:eastAsia="宋体"/>
                <w:b/>
                <w:sz w:val="24"/>
                <w:szCs w:val="24"/>
              </w:rPr>
              <w:t>单位：mg/</w:t>
            </w:r>
            <w:r>
              <w:rPr>
                <w:rFonts w:hint="eastAsia" w:ascii="宋体" w:hAnsi="宋体" w:eastAsia="宋体"/>
                <w:b/>
                <w:sz w:val="24"/>
                <w:szCs w:val="24"/>
                <w:lang w:val="en-US" w:eastAsia="zh-CN"/>
              </w:rPr>
              <w:t>L，pH无量纲</w:t>
            </w:r>
          </w:p>
          <w:tbl>
            <w:tblPr>
              <w:tblStyle w:val="20"/>
              <w:tblW w:w="931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83"/>
              <w:gridCol w:w="1743"/>
              <w:gridCol w:w="1134"/>
              <w:gridCol w:w="1134"/>
              <w:gridCol w:w="1134"/>
              <w:gridCol w:w="1136"/>
              <w:gridCol w:w="14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9319" w:type="dxa"/>
                  <w:gridSpan w:val="7"/>
                  <w:noWrap w:val="0"/>
                  <w:vAlign w:val="center"/>
                </w:tcPr>
                <w:p>
                  <w:pPr>
                    <w:jc w:val="center"/>
                    <w:rPr>
                      <w:rFonts w:hint="default" w:ascii="Times New Roman" w:hAnsi="Times New Roman" w:cs="Times New Roman"/>
                      <w:b/>
                      <w:sz w:val="24"/>
                      <w:szCs w:val="24"/>
                      <w:lang w:val="en-US"/>
                    </w:rPr>
                  </w:pPr>
                  <w:r>
                    <w:rPr>
                      <w:rFonts w:hint="eastAsia" w:cs="Times New Roman"/>
                      <w:sz w:val="24"/>
                      <w:szCs w:val="24"/>
                      <w:lang w:eastAsia="zh-CN"/>
                    </w:rPr>
                    <w:t>采样时间：</w:t>
                  </w:r>
                  <w:r>
                    <w:rPr>
                      <w:rFonts w:hint="eastAsia" w:cs="Times New Roman"/>
                      <w:sz w:val="24"/>
                      <w:szCs w:val="24"/>
                      <w:lang w:val="en-US" w:eastAsia="zh-CN"/>
                    </w:rPr>
                    <w:t>2020.07.12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583" w:type="dxa"/>
                  <w:vMerge w:val="restart"/>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采样点位</w:t>
                  </w:r>
                </w:p>
              </w:tc>
              <w:tc>
                <w:tcPr>
                  <w:tcW w:w="1743" w:type="dxa"/>
                  <w:vMerge w:val="restart"/>
                  <w:tcBorders>
                    <w:right w:val="single" w:color="auto" w:sz="4" w:space="0"/>
                  </w:tcBorders>
                  <w:noWrap w:val="0"/>
                  <w:vAlign w:val="center"/>
                </w:tcPr>
                <w:p>
                  <w:pPr>
                    <w:jc w:val="center"/>
                    <w:rPr>
                      <w:rFonts w:hint="default" w:ascii="Times New Roman" w:hAnsi="Times New Roman" w:cs="Times New Roman"/>
                      <w:b/>
                      <w:sz w:val="24"/>
                      <w:szCs w:val="24"/>
                    </w:rPr>
                  </w:pPr>
                  <w:r>
                    <w:rPr>
                      <w:rFonts w:hint="default" w:ascii="Times New Roman" w:hAnsi="Times New Roman" w:cs="Times New Roman"/>
                      <w:sz w:val="24"/>
                      <w:szCs w:val="24"/>
                    </w:rPr>
                    <w:t>检测项目</w:t>
                  </w:r>
                </w:p>
              </w:tc>
              <w:tc>
                <w:tcPr>
                  <w:tcW w:w="4538" w:type="dxa"/>
                  <w:gridSpan w:val="4"/>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检测结果</w:t>
                  </w:r>
                </w:p>
              </w:tc>
              <w:tc>
                <w:tcPr>
                  <w:tcW w:w="1455" w:type="dxa"/>
                  <w:vMerge w:val="restart"/>
                  <w:tcBorders>
                    <w:top w:val="single" w:color="auto" w:sz="4" w:space="0"/>
                    <w:left w:val="single" w:color="auto" w:sz="4" w:space="0"/>
                  </w:tcBorders>
                  <w:noWrap w:val="0"/>
                  <w:vAlign w:val="center"/>
                </w:tcPr>
                <w:p>
                  <w:pPr>
                    <w:jc w:val="center"/>
                    <w:rPr>
                      <w:rFonts w:hint="eastAsia" w:ascii="Times New Roman" w:hAnsi="Times New Roman" w:cs="Times New Roman" w:eastAsiaTheme="minorEastAsia"/>
                      <w:b/>
                      <w:sz w:val="24"/>
                      <w:szCs w:val="24"/>
                      <w:lang w:eastAsia="zh-CN"/>
                    </w:rPr>
                  </w:pPr>
                  <w:r>
                    <w:rPr>
                      <w:rFonts w:hint="eastAsia" w:ascii="Times New Roman" w:hAnsi="Times New Roman" w:cs="Times New Roman"/>
                      <w:sz w:val="24"/>
                      <w:szCs w:val="24"/>
                      <w:lang w:eastAsia="zh-CN"/>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trPr>
              <w:tc>
                <w:tcPr>
                  <w:tcW w:w="1583" w:type="dxa"/>
                  <w:vMerge w:val="continue"/>
                  <w:tcBorders>
                    <w:bottom w:val="single" w:color="auto" w:sz="4" w:space="0"/>
                  </w:tcBorders>
                  <w:noWrap w:val="0"/>
                  <w:vAlign w:val="center"/>
                </w:tcPr>
                <w:p>
                  <w:pPr>
                    <w:jc w:val="center"/>
                    <w:rPr>
                      <w:rFonts w:hint="default" w:ascii="Times New Roman" w:hAnsi="Times New Roman" w:cs="Times New Roman"/>
                      <w:sz w:val="24"/>
                      <w:szCs w:val="24"/>
                    </w:rPr>
                  </w:pPr>
                </w:p>
              </w:tc>
              <w:tc>
                <w:tcPr>
                  <w:tcW w:w="1743" w:type="dxa"/>
                  <w:vMerge w:val="continue"/>
                  <w:tcBorders>
                    <w:right w:val="single" w:color="auto" w:sz="4" w:space="0"/>
                  </w:tcBorders>
                  <w:noWrap w:val="0"/>
                  <w:vAlign w:val="center"/>
                </w:tcPr>
                <w:p>
                  <w:pPr>
                    <w:jc w:val="center"/>
                    <w:rPr>
                      <w:rFonts w:hint="default" w:ascii="Times New Roman" w:hAnsi="Times New Roman" w:cs="Times New Roman"/>
                      <w:sz w:val="24"/>
                      <w:szCs w:val="24"/>
                    </w:rPr>
                  </w:pPr>
                </w:p>
              </w:tc>
              <w:tc>
                <w:tcPr>
                  <w:tcW w:w="1134" w:type="dxa"/>
                  <w:tcBorders>
                    <w:left w:val="single" w:color="auto" w:sz="4" w:space="0"/>
                    <w:right w:val="single" w:color="auto" w:sz="4" w:space="0"/>
                  </w:tcBorders>
                  <w:noWrap w:val="0"/>
                  <w:vAlign w:val="center"/>
                </w:tcPr>
                <w:p>
                  <w:pPr>
                    <w:jc w:val="center"/>
                    <w:rPr>
                      <w:rFonts w:hint="eastAsia" w:ascii="Times New Roman" w:hAnsi="Times New Roman" w:eastAsia="宋体" w:cs="Times New Roman"/>
                      <w:sz w:val="24"/>
                      <w:szCs w:val="24"/>
                      <w:lang w:val="en-US" w:eastAsia="zh-CN"/>
                    </w:rPr>
                  </w:pPr>
                  <w:r>
                    <w:rPr>
                      <w:rFonts w:hint="eastAsia" w:cs="Times New Roman"/>
                      <w:sz w:val="24"/>
                      <w:szCs w:val="24"/>
                      <w:lang w:val="en-US" w:eastAsia="zh-CN"/>
                    </w:rPr>
                    <w:t>第一次</w:t>
                  </w:r>
                </w:p>
              </w:tc>
              <w:tc>
                <w:tcPr>
                  <w:tcW w:w="1134" w:type="dxa"/>
                  <w:tcBorders>
                    <w:left w:val="single" w:color="auto" w:sz="4" w:space="0"/>
                    <w:right w:val="single" w:color="auto" w:sz="4" w:space="0"/>
                  </w:tcBorders>
                  <w:noWrap w:val="0"/>
                  <w:vAlign w:val="center"/>
                </w:tcPr>
                <w:p>
                  <w:pPr>
                    <w:jc w:val="center"/>
                    <w:rPr>
                      <w:rFonts w:hint="eastAsia" w:cs="Times New Roman"/>
                      <w:sz w:val="24"/>
                      <w:szCs w:val="24"/>
                      <w:lang w:val="en-US" w:eastAsia="zh-CN"/>
                    </w:rPr>
                  </w:pPr>
                  <w:r>
                    <w:rPr>
                      <w:rFonts w:hint="eastAsia" w:cs="Times New Roman"/>
                      <w:sz w:val="24"/>
                      <w:szCs w:val="24"/>
                      <w:lang w:eastAsia="zh-CN"/>
                    </w:rPr>
                    <w:t>第二次</w:t>
                  </w:r>
                </w:p>
              </w:tc>
              <w:tc>
                <w:tcPr>
                  <w:tcW w:w="1134" w:type="dxa"/>
                  <w:tcBorders>
                    <w:left w:val="single" w:color="auto" w:sz="4" w:space="0"/>
                    <w:right w:val="single" w:color="auto" w:sz="4" w:space="0"/>
                  </w:tcBorders>
                  <w:noWrap w:val="0"/>
                  <w:vAlign w:val="center"/>
                </w:tcPr>
                <w:p>
                  <w:pPr>
                    <w:jc w:val="center"/>
                    <w:rPr>
                      <w:rFonts w:hint="eastAsia" w:cs="Times New Roman"/>
                      <w:sz w:val="24"/>
                      <w:szCs w:val="24"/>
                      <w:lang w:val="en-US" w:eastAsia="zh-CN"/>
                    </w:rPr>
                  </w:pPr>
                  <w:r>
                    <w:rPr>
                      <w:rFonts w:hint="eastAsia" w:cs="Times New Roman"/>
                      <w:sz w:val="24"/>
                      <w:szCs w:val="24"/>
                      <w:lang w:val="en-US" w:eastAsia="zh-CN"/>
                    </w:rPr>
                    <w:t>第三次</w:t>
                  </w:r>
                </w:p>
              </w:tc>
              <w:tc>
                <w:tcPr>
                  <w:tcW w:w="1136" w:type="dxa"/>
                  <w:tcBorders>
                    <w:left w:val="single" w:color="auto" w:sz="4" w:space="0"/>
                    <w:right w:val="single" w:color="auto" w:sz="4" w:space="0"/>
                  </w:tcBorders>
                  <w:noWrap w:val="0"/>
                  <w:vAlign w:val="center"/>
                </w:tcPr>
                <w:p>
                  <w:pPr>
                    <w:jc w:val="center"/>
                    <w:rPr>
                      <w:rFonts w:hint="eastAsia" w:cs="Times New Roman"/>
                      <w:sz w:val="24"/>
                      <w:szCs w:val="24"/>
                      <w:lang w:val="en-US" w:eastAsia="zh-CN"/>
                    </w:rPr>
                  </w:pPr>
                  <w:r>
                    <w:rPr>
                      <w:rFonts w:hint="eastAsia" w:cs="Times New Roman"/>
                      <w:sz w:val="24"/>
                      <w:szCs w:val="24"/>
                      <w:lang w:val="en-US" w:eastAsia="zh-CN"/>
                    </w:rPr>
                    <w:t>第四次</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1583" w:type="dxa"/>
                  <w:vMerge w:val="restart"/>
                  <w:noWrap w:val="0"/>
                  <w:vAlign w:val="center"/>
                </w:tcPr>
                <w:p>
                  <w:pPr>
                    <w:spacing w:line="240" w:lineRule="auto"/>
                    <w:jc w:val="center"/>
                    <w:rPr>
                      <w:rFonts w:hint="eastAsia" w:ascii="Times New Roman" w:hAnsi="Times New Roman" w:eastAsia="宋体" w:cs="Times New Roman"/>
                      <w:sz w:val="24"/>
                      <w:szCs w:val="24"/>
                      <w:lang w:eastAsia="zh-CN"/>
                    </w:rPr>
                  </w:pPr>
                  <w:r>
                    <w:rPr>
                      <w:rFonts w:hint="eastAsia" w:cs="Times New Roman"/>
                      <w:sz w:val="24"/>
                      <w:szCs w:val="24"/>
                      <w:lang w:eastAsia="zh-CN"/>
                    </w:rPr>
                    <w:t>生活废水排口</w:t>
                  </w: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sz w:val="24"/>
                      <w:szCs w:val="24"/>
                      <w:lang w:val="en-US" w:eastAsia="zh-CN"/>
                    </w:rPr>
                  </w:pPr>
                  <w:r>
                    <w:rPr>
                      <w:rFonts w:hint="default" w:ascii="Times New Roman" w:hAnsi="Times New Roman" w:cs="Times New Roman"/>
                      <w:color w:val="auto"/>
                      <w:sz w:val="24"/>
                      <w:szCs w:val="24"/>
                      <w:lang w:val="en-US" w:eastAsia="zh-CN"/>
                    </w:rPr>
                    <w:t>pH值</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8.16</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8.18</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8.17</w:t>
                  </w:r>
                </w:p>
              </w:tc>
              <w:tc>
                <w:tcPr>
                  <w:tcW w:w="1136"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8.21</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olor w:val="000000" w:themeColor="text1"/>
                      <w:sz w:val="24"/>
                      <w:szCs w:val="24"/>
                      <w:lang w:val="en-US" w:eastAsia="zh-CN"/>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1583" w:type="dxa"/>
                  <w:vMerge w:val="continue"/>
                  <w:noWrap w:val="0"/>
                  <w:vAlign w:val="center"/>
                </w:tcPr>
                <w:p>
                  <w:pPr>
                    <w:spacing w:line="240" w:lineRule="auto"/>
                    <w:jc w:val="center"/>
                    <w:rPr>
                      <w:rFonts w:hint="eastAsia" w:cs="Times New Roman"/>
                      <w:sz w:val="24"/>
                      <w:szCs w:val="24"/>
                      <w:lang w:eastAsia="zh-CN"/>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化学需氧量</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14</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25</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18</w:t>
                  </w:r>
                </w:p>
              </w:tc>
              <w:tc>
                <w:tcPr>
                  <w:tcW w:w="1136"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13</w:t>
                  </w:r>
                </w:p>
              </w:tc>
              <w:tc>
                <w:tcPr>
                  <w:tcW w:w="1455" w:type="dxa"/>
                  <w:tcBorders>
                    <w:left w:val="single" w:color="auto" w:sz="4" w:space="0"/>
                  </w:tcBorders>
                  <w:noWrap w:val="0"/>
                  <w:vAlign w:val="center"/>
                </w:tcPr>
                <w:p>
                  <w:pPr>
                    <w:pStyle w:val="25"/>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eastAsia" w:ascii="Times New Roman" w:hAnsi="Times New Roman" w:cs="Times New Roman"/>
                      <w:sz w:val="24"/>
                      <w:szCs w:val="24"/>
                      <w:lang w:eastAsia="zh-CN"/>
                    </w:rPr>
                    <w:t>悬浮物</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35</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42</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36</w:t>
                  </w:r>
                </w:p>
              </w:tc>
              <w:tc>
                <w:tcPr>
                  <w:tcW w:w="1136"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28</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lang w:val="en-US"/>
                    </w:rPr>
                  </w:pPr>
                  <w:r>
                    <w:rPr>
                      <w:rFonts w:hint="eastAsia" w:ascii="Times New Roman" w:hAnsi="Times New Roman"/>
                      <w:color w:val="000000" w:themeColor="text1"/>
                      <w:sz w:val="24"/>
                      <w:szCs w:val="24"/>
                      <w:lang w:val="en-US" w:eastAsia="zh-CN"/>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五日生化需氧量</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6.2</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5.8</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5.4</w:t>
                  </w:r>
                </w:p>
              </w:tc>
              <w:tc>
                <w:tcPr>
                  <w:tcW w:w="1136"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6.2</w:t>
                  </w:r>
                </w:p>
              </w:tc>
              <w:tc>
                <w:tcPr>
                  <w:tcW w:w="1455" w:type="dxa"/>
                  <w:tcBorders>
                    <w:left w:val="single" w:color="auto" w:sz="4" w:space="0"/>
                  </w:tcBorders>
                  <w:noWrap w:val="0"/>
                  <w:vAlign w:val="center"/>
                </w:tcPr>
                <w:p>
                  <w:pPr>
                    <w:pStyle w:val="25"/>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氨氮</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0.961</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0.831</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1.02</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0.886</w:t>
                  </w:r>
                </w:p>
              </w:tc>
              <w:tc>
                <w:tcPr>
                  <w:tcW w:w="1455" w:type="dxa"/>
                  <w:tcBorders>
                    <w:left w:val="single" w:color="auto" w:sz="4" w:space="0"/>
                  </w:tcBorders>
                  <w:noWrap w:val="0"/>
                  <w:vAlign w:val="center"/>
                </w:tcPr>
                <w:p>
                  <w:pPr>
                    <w:pStyle w:val="25"/>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石油类</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0.71</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0.65</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0.54</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0.75</w:t>
                  </w:r>
                </w:p>
              </w:tc>
              <w:tc>
                <w:tcPr>
                  <w:tcW w:w="1455" w:type="dxa"/>
                  <w:tcBorders>
                    <w:left w:val="single" w:color="auto" w:sz="4" w:space="0"/>
                  </w:tcBorders>
                  <w:noWrap w:val="0"/>
                  <w:vAlign w:val="center"/>
                </w:tcPr>
                <w:p>
                  <w:pPr>
                    <w:pStyle w:val="25"/>
                    <w:jc w:val="center"/>
                    <w:rPr>
                      <w:rFonts w:hint="default" w:ascii="Times New Roman" w:hAnsi="Times New Roman"/>
                      <w:color w:val="000000" w:themeColor="text1"/>
                      <w:sz w:val="24"/>
                      <w:szCs w:val="24"/>
                      <w:lang w:val="en-US" w:eastAsia="zh-CN"/>
                    </w:rPr>
                  </w:pPr>
                  <w:r>
                    <w:rPr>
                      <w:rFonts w:hint="eastAsia" w:ascii="Times New Roman" w:hAnsi="Times New Roman"/>
                      <w:color w:val="000000" w:themeColor="text1"/>
                      <w:sz w:val="24"/>
                      <w:szCs w:val="24"/>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9319" w:type="dxa"/>
                  <w:gridSpan w:val="7"/>
                  <w:noWrap w:val="0"/>
                  <w:vAlign w:val="center"/>
                </w:tcPr>
                <w:p>
                  <w:pPr>
                    <w:jc w:val="center"/>
                    <w:rPr>
                      <w:rFonts w:hint="default" w:ascii="Times New Roman" w:hAnsi="Times New Roman" w:cs="Times New Roman"/>
                      <w:b/>
                      <w:sz w:val="24"/>
                      <w:szCs w:val="24"/>
                      <w:lang w:val="en-US"/>
                    </w:rPr>
                  </w:pPr>
                  <w:r>
                    <w:rPr>
                      <w:rFonts w:hint="eastAsia" w:cs="Times New Roman"/>
                      <w:sz w:val="24"/>
                      <w:szCs w:val="24"/>
                      <w:lang w:eastAsia="zh-CN"/>
                    </w:rPr>
                    <w:t>采样时间：</w:t>
                  </w:r>
                  <w:r>
                    <w:rPr>
                      <w:rFonts w:hint="eastAsia" w:cs="Times New Roman"/>
                      <w:sz w:val="24"/>
                      <w:szCs w:val="24"/>
                      <w:lang w:val="en-US" w:eastAsia="zh-CN"/>
                    </w:rPr>
                    <w:t>2020.07.13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583" w:type="dxa"/>
                  <w:vMerge w:val="restart"/>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采样点位</w:t>
                  </w:r>
                </w:p>
              </w:tc>
              <w:tc>
                <w:tcPr>
                  <w:tcW w:w="1743" w:type="dxa"/>
                  <w:vMerge w:val="restart"/>
                  <w:tcBorders>
                    <w:right w:val="single" w:color="auto" w:sz="4" w:space="0"/>
                  </w:tcBorders>
                  <w:noWrap w:val="0"/>
                  <w:vAlign w:val="center"/>
                </w:tcPr>
                <w:p>
                  <w:pPr>
                    <w:jc w:val="center"/>
                    <w:rPr>
                      <w:rFonts w:hint="default" w:ascii="Times New Roman" w:hAnsi="Times New Roman" w:cs="Times New Roman"/>
                      <w:b/>
                      <w:sz w:val="24"/>
                      <w:szCs w:val="24"/>
                    </w:rPr>
                  </w:pPr>
                  <w:r>
                    <w:rPr>
                      <w:rFonts w:hint="default" w:ascii="Times New Roman" w:hAnsi="Times New Roman" w:cs="Times New Roman"/>
                      <w:sz w:val="24"/>
                      <w:szCs w:val="24"/>
                    </w:rPr>
                    <w:t>检测项目</w:t>
                  </w:r>
                </w:p>
              </w:tc>
              <w:tc>
                <w:tcPr>
                  <w:tcW w:w="4538" w:type="dxa"/>
                  <w:gridSpan w:val="4"/>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检测结果</w:t>
                  </w:r>
                </w:p>
              </w:tc>
              <w:tc>
                <w:tcPr>
                  <w:tcW w:w="1455" w:type="dxa"/>
                  <w:vMerge w:val="restart"/>
                  <w:tcBorders>
                    <w:top w:val="single" w:color="auto" w:sz="4" w:space="0"/>
                    <w:left w:val="single" w:color="auto" w:sz="4" w:space="0"/>
                  </w:tcBorders>
                  <w:noWrap w:val="0"/>
                  <w:vAlign w:val="center"/>
                </w:tcPr>
                <w:p>
                  <w:pPr>
                    <w:jc w:val="center"/>
                    <w:rPr>
                      <w:rFonts w:hint="eastAsia" w:ascii="Times New Roman" w:hAnsi="Times New Roman" w:cs="Times New Roman" w:eastAsiaTheme="minorEastAsia"/>
                      <w:b/>
                      <w:sz w:val="24"/>
                      <w:szCs w:val="24"/>
                      <w:lang w:eastAsia="zh-CN"/>
                    </w:rPr>
                  </w:pPr>
                  <w:r>
                    <w:rPr>
                      <w:rFonts w:hint="eastAsia" w:ascii="Times New Roman" w:hAnsi="Times New Roman" w:cs="Times New Roman"/>
                      <w:sz w:val="24"/>
                      <w:szCs w:val="24"/>
                      <w:lang w:eastAsia="zh-CN"/>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vMerge w:val="continue"/>
                  <w:tcBorders>
                    <w:right w:val="single" w:color="auto" w:sz="4" w:space="0"/>
                  </w:tcBorders>
                  <w:noWrap w:val="0"/>
                  <w:vAlign w:val="center"/>
                </w:tcPr>
                <w:p>
                  <w:pPr>
                    <w:jc w:val="center"/>
                    <w:rPr>
                      <w:rFonts w:hint="default" w:ascii="Times New Roman" w:hAnsi="Times New Roman" w:cs="Times New Roman"/>
                      <w:sz w:val="24"/>
                      <w:szCs w:val="24"/>
                    </w:rPr>
                  </w:pPr>
                </w:p>
              </w:tc>
              <w:tc>
                <w:tcPr>
                  <w:tcW w:w="113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eastAsia" w:cs="Times New Roman"/>
                      <w:sz w:val="24"/>
                      <w:szCs w:val="24"/>
                      <w:lang w:val="en-US" w:eastAsia="zh-CN"/>
                    </w:rPr>
                    <w:t>第一次</w:t>
                  </w:r>
                </w:p>
              </w:tc>
              <w:tc>
                <w:tcPr>
                  <w:tcW w:w="113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eastAsia" w:cs="Times New Roman"/>
                      <w:sz w:val="24"/>
                      <w:szCs w:val="24"/>
                      <w:lang w:eastAsia="zh-CN"/>
                    </w:rPr>
                    <w:t>第二次</w:t>
                  </w:r>
                </w:p>
              </w:tc>
              <w:tc>
                <w:tcPr>
                  <w:tcW w:w="113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sz w:val="24"/>
                      <w:szCs w:val="24"/>
                    </w:rPr>
                  </w:pPr>
                  <w:r>
                    <w:rPr>
                      <w:rFonts w:hint="eastAsia" w:cs="Times New Roman"/>
                      <w:sz w:val="24"/>
                      <w:szCs w:val="24"/>
                      <w:lang w:val="en-US" w:eastAsia="zh-CN"/>
                    </w:rPr>
                    <w:t>第三次</w:t>
                  </w:r>
                </w:p>
              </w:tc>
              <w:tc>
                <w:tcPr>
                  <w:tcW w:w="1136" w:type="dxa"/>
                  <w:tcBorders>
                    <w:top w:val="single" w:color="auto" w:sz="4" w:space="0"/>
                    <w:left w:val="single" w:color="auto" w:sz="4" w:space="0"/>
                    <w:right w:val="single" w:color="auto" w:sz="4" w:space="0"/>
                  </w:tcBorders>
                  <w:noWrap w:val="0"/>
                  <w:vAlign w:val="center"/>
                </w:tcPr>
                <w:p>
                  <w:pPr>
                    <w:jc w:val="center"/>
                    <w:rPr>
                      <w:rFonts w:hint="eastAsia" w:cs="Times New Roman"/>
                      <w:sz w:val="24"/>
                      <w:szCs w:val="24"/>
                      <w:lang w:val="en-US" w:eastAsia="zh-CN"/>
                    </w:rPr>
                  </w:pPr>
                  <w:r>
                    <w:rPr>
                      <w:rFonts w:hint="eastAsia" w:cs="Times New Roman"/>
                      <w:sz w:val="24"/>
                      <w:szCs w:val="24"/>
                      <w:lang w:val="en-US" w:eastAsia="zh-CN"/>
                    </w:rPr>
                    <w:t>第四次</w:t>
                  </w:r>
                </w:p>
              </w:tc>
              <w:tc>
                <w:tcPr>
                  <w:tcW w:w="1455" w:type="dxa"/>
                  <w:vMerge w:val="continue"/>
                  <w:tcBorders>
                    <w:left w:val="single" w:color="auto" w:sz="4" w:space="0"/>
                  </w:tcBorders>
                  <w:noWrap w:val="0"/>
                  <w:vAlign w:val="center"/>
                </w:tcPr>
                <w:p>
                  <w:pPr>
                    <w:jc w:val="center"/>
                    <w:rPr>
                      <w:rFonts w:hint="default" w:ascii="Times New Roman" w:hAnsi="Times New Roman" w:cs="Times New Roman"/>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1583" w:type="dxa"/>
                  <w:vMerge w:val="restart"/>
                  <w:noWrap w:val="0"/>
                  <w:vAlign w:val="center"/>
                </w:tcPr>
                <w:p>
                  <w:pPr>
                    <w:spacing w:line="240" w:lineRule="auto"/>
                    <w:jc w:val="center"/>
                    <w:rPr>
                      <w:rFonts w:hint="eastAsia" w:ascii="Times New Roman" w:hAnsi="Times New Roman" w:eastAsia="宋体" w:cs="Times New Roman"/>
                      <w:sz w:val="24"/>
                      <w:szCs w:val="24"/>
                      <w:lang w:eastAsia="zh-CN"/>
                    </w:rPr>
                  </w:pPr>
                  <w:r>
                    <w:rPr>
                      <w:rFonts w:hint="eastAsia" w:cs="Times New Roman"/>
                      <w:sz w:val="24"/>
                      <w:szCs w:val="24"/>
                      <w:lang w:eastAsia="zh-CN"/>
                    </w:rPr>
                    <w:t>生活废水排口</w:t>
                  </w: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sz w:val="24"/>
                      <w:szCs w:val="24"/>
                      <w:lang w:val="en-US" w:eastAsia="zh-CN"/>
                    </w:rPr>
                  </w:pPr>
                  <w:r>
                    <w:rPr>
                      <w:rFonts w:hint="default" w:ascii="Times New Roman" w:hAnsi="Times New Roman" w:cs="Times New Roman"/>
                      <w:color w:val="auto"/>
                      <w:sz w:val="24"/>
                      <w:szCs w:val="24"/>
                      <w:lang w:val="en-US" w:eastAsia="zh-CN"/>
                    </w:rPr>
                    <w:t>pH值</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8.17</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8.21</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8.19</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8.20</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olor w:val="000000" w:themeColor="text1"/>
                      <w:sz w:val="24"/>
                      <w:szCs w:val="24"/>
                      <w:lang w:val="en-US" w:eastAsia="zh-CN"/>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7" w:hRule="atLeast"/>
              </w:trPr>
              <w:tc>
                <w:tcPr>
                  <w:tcW w:w="1583" w:type="dxa"/>
                  <w:vMerge w:val="continue"/>
                  <w:noWrap w:val="0"/>
                  <w:vAlign w:val="center"/>
                </w:tcPr>
                <w:p>
                  <w:pPr>
                    <w:spacing w:line="240" w:lineRule="auto"/>
                    <w:jc w:val="center"/>
                    <w:rPr>
                      <w:rFonts w:hint="eastAsia" w:cs="Times New Roman"/>
                      <w:sz w:val="24"/>
                      <w:szCs w:val="24"/>
                      <w:lang w:eastAsia="zh-CN"/>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化学需氧量</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22</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24</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21</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19</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s="Times New Roman"/>
                      <w:sz w:val="24"/>
                      <w:szCs w:val="24"/>
                      <w:lang w:val="en-US" w:eastAsia="zh-CN"/>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eastAsia" w:ascii="Times New Roman" w:hAnsi="Times New Roman" w:cs="Times New Roman"/>
                      <w:sz w:val="24"/>
                      <w:szCs w:val="24"/>
                      <w:lang w:eastAsia="zh-CN"/>
                    </w:rPr>
                    <w:t>悬浮物</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40</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29</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32</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26</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olor w:val="000000" w:themeColor="text1"/>
                      <w:sz w:val="24"/>
                      <w:szCs w:val="24"/>
                      <w:lang w:val="en-US" w:eastAsia="zh-CN"/>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五日生化需氧量</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6.6</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6.8</w:t>
                  </w:r>
                </w:p>
              </w:tc>
              <w:tc>
                <w:tcPr>
                  <w:tcW w:w="1134" w:type="dxa"/>
                  <w:tcBorders>
                    <w:left w:val="single" w:color="auto" w:sz="4" w:space="0"/>
                    <w:right w:val="single" w:color="auto" w:sz="4" w:space="0"/>
                  </w:tcBorders>
                  <w:noWrap w:val="0"/>
                  <w:vAlign w:val="center"/>
                </w:tcPr>
                <w:p>
                  <w:pPr>
                    <w:jc w:val="center"/>
                    <w:rPr>
                      <w:rFonts w:hint="default" w:ascii="Times New Roman" w:hAnsi="Times New Roman" w:eastAsia="宋体" w:cs="Times New Roman"/>
                      <w:sz w:val="24"/>
                      <w:szCs w:val="24"/>
                      <w:lang w:val="en-US" w:eastAsia="zh-CN"/>
                    </w:rPr>
                  </w:pPr>
                  <w:r>
                    <w:rPr>
                      <w:rFonts w:hint="eastAsia" w:eastAsia="宋体" w:cs="Times New Roman"/>
                      <w:sz w:val="24"/>
                      <w:szCs w:val="24"/>
                      <w:lang w:val="en-US" w:eastAsia="zh-CN"/>
                    </w:rPr>
                    <w:t>4.4</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6.1</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s="Times New Roman"/>
                      <w:sz w:val="24"/>
                      <w:szCs w:val="24"/>
                      <w:lang w:val="en-US" w:eastAsia="zh-CN"/>
                    </w:rPr>
                    <w:t>125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氨氮</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0.642</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0.871</w:t>
                  </w:r>
                </w:p>
              </w:tc>
              <w:tc>
                <w:tcPr>
                  <w:tcW w:w="1134"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0.752</w:t>
                  </w:r>
                </w:p>
              </w:tc>
              <w:tc>
                <w:tcPr>
                  <w:tcW w:w="1136" w:type="dxa"/>
                  <w:tcBorders>
                    <w:left w:val="single" w:color="auto" w:sz="4" w:space="0"/>
                    <w:right w:val="single" w:color="auto" w:sz="4" w:space="0"/>
                  </w:tcBorders>
                  <w:noWrap w:val="0"/>
                  <w:vAlign w:val="center"/>
                </w:tcPr>
                <w:p>
                  <w:pPr>
                    <w:jc w:val="center"/>
                    <w:rPr>
                      <w:rFonts w:hint="default" w:eastAsia="宋体" w:cs="Times New Roman"/>
                      <w:sz w:val="24"/>
                      <w:szCs w:val="24"/>
                      <w:lang w:val="en-US" w:eastAsia="zh-CN"/>
                    </w:rPr>
                  </w:pPr>
                  <w:r>
                    <w:rPr>
                      <w:rFonts w:hint="eastAsia" w:eastAsia="宋体" w:cs="Times New Roman"/>
                      <w:sz w:val="24"/>
                      <w:szCs w:val="24"/>
                      <w:lang w:val="en-US" w:eastAsia="zh-CN"/>
                    </w:rPr>
                    <w:t>1.03</w:t>
                  </w:r>
                </w:p>
              </w:tc>
              <w:tc>
                <w:tcPr>
                  <w:tcW w:w="1455" w:type="dxa"/>
                  <w:tcBorders>
                    <w:left w:val="single" w:color="auto" w:sz="4" w:space="0"/>
                  </w:tcBorders>
                  <w:noWrap w:val="0"/>
                  <w:vAlign w:val="center"/>
                </w:tcPr>
                <w:p>
                  <w:pPr>
                    <w:pStyle w:val="25"/>
                    <w:jc w:val="center"/>
                    <w:rPr>
                      <w:rFonts w:hint="default" w:ascii="Times New Roman" w:hAnsi="Times New Roman" w:cs="Times New Roman"/>
                      <w:sz w:val="24"/>
                      <w:szCs w:val="24"/>
                    </w:rPr>
                  </w:pPr>
                  <w:r>
                    <w:rPr>
                      <w:rFonts w:hint="eastAsia" w:ascii="Times New Roman" w:hAnsi="Times New Roman" w:cs="Times New Roman"/>
                      <w:sz w:val="24"/>
                      <w:szCs w:val="24"/>
                      <w:lang w:val="en-US" w:eastAsia="zh-CN"/>
                    </w:rPr>
                    <w:t>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trPr>
              <w:tc>
                <w:tcPr>
                  <w:tcW w:w="1583" w:type="dxa"/>
                  <w:vMerge w:val="continue"/>
                  <w:noWrap w:val="0"/>
                  <w:vAlign w:val="center"/>
                </w:tcPr>
                <w:p>
                  <w:pPr>
                    <w:jc w:val="center"/>
                    <w:rPr>
                      <w:rFonts w:hint="default" w:ascii="Times New Roman" w:hAnsi="Times New Roman" w:cs="Times New Roman"/>
                      <w:sz w:val="24"/>
                      <w:szCs w:val="24"/>
                    </w:rPr>
                  </w:pPr>
                </w:p>
              </w:tc>
              <w:tc>
                <w:tcPr>
                  <w:tcW w:w="1743" w:type="dxa"/>
                  <w:tcBorders>
                    <w:right w:val="single" w:color="auto" w:sz="4" w:space="0"/>
                  </w:tcBorders>
                  <w:noWrap w:val="0"/>
                  <w:vAlign w:val="center"/>
                </w:tcPr>
                <w:p>
                  <w:pPr>
                    <w:pStyle w:val="12"/>
                    <w:snapToGrid w:val="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石油类</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0.72</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0.70</w:t>
                  </w:r>
                </w:p>
              </w:tc>
              <w:tc>
                <w:tcPr>
                  <w:tcW w:w="1134"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0.68</w:t>
                  </w:r>
                </w:p>
              </w:tc>
              <w:tc>
                <w:tcPr>
                  <w:tcW w:w="1136" w:type="dxa"/>
                  <w:tcBorders>
                    <w:left w:val="single" w:color="auto" w:sz="4" w:space="0"/>
                    <w:right w:val="single" w:color="auto" w:sz="4" w:space="0"/>
                  </w:tcBorders>
                  <w:noWrap w:val="0"/>
                  <w:vAlign w:val="center"/>
                </w:tcPr>
                <w:p>
                  <w:pPr>
                    <w:jc w:val="center"/>
                    <w:rPr>
                      <w:rFonts w:hint="eastAsia" w:eastAsia="宋体" w:cs="Times New Roman"/>
                      <w:sz w:val="24"/>
                      <w:szCs w:val="24"/>
                      <w:lang w:val="en-US" w:eastAsia="zh-CN"/>
                    </w:rPr>
                  </w:pPr>
                  <w:r>
                    <w:rPr>
                      <w:rFonts w:hint="eastAsia" w:eastAsia="宋体" w:cs="Times New Roman"/>
                      <w:sz w:val="24"/>
                      <w:szCs w:val="24"/>
                      <w:lang w:val="en-US" w:eastAsia="zh-CN"/>
                    </w:rPr>
                    <w:t>0.74</w:t>
                  </w:r>
                </w:p>
              </w:tc>
              <w:tc>
                <w:tcPr>
                  <w:tcW w:w="1455" w:type="dxa"/>
                  <w:tcBorders>
                    <w:left w:val="single" w:color="auto" w:sz="4" w:space="0"/>
                  </w:tcBorders>
                  <w:noWrap w:val="0"/>
                  <w:vAlign w:val="center"/>
                </w:tcPr>
                <w:p>
                  <w:pPr>
                    <w:pStyle w:val="25"/>
                    <w:jc w:val="center"/>
                    <w:rPr>
                      <w:rFonts w:hint="default" w:ascii="Times New Roman" w:hAnsi="Times New Roman"/>
                      <w:color w:val="000000" w:themeColor="text1"/>
                      <w:sz w:val="24"/>
                      <w:szCs w:val="24"/>
                      <w:lang w:val="en-US" w:eastAsia="zh-CN"/>
                    </w:rPr>
                  </w:pPr>
                  <w:r>
                    <w:rPr>
                      <w:rFonts w:hint="eastAsia" w:ascii="Times New Roman" w:hAnsi="Times New Roman"/>
                      <w:color w:val="000000" w:themeColor="text1"/>
                      <w:sz w:val="24"/>
                      <w:szCs w:val="24"/>
                      <w:lang w:val="en-US" w:eastAsia="zh-CN"/>
                    </w:rPr>
                    <w:t>20</w:t>
                  </w:r>
                </w:p>
              </w:tc>
            </w:tr>
          </w:tbl>
          <w:p>
            <w:pPr>
              <w:spacing w:line="320" w:lineRule="exact"/>
              <w:ind w:left="-108" w:right="-102"/>
              <w:jc w:val="center"/>
              <w:rPr>
                <w:rFonts w:hint="eastAsia" w:ascii="宋体" w:hAnsi="宋体" w:eastAsia="宋体" w:cs="宋体"/>
                <w:color w:val="000000" w:themeColor="text1"/>
                <w:sz w:val="24"/>
                <w:szCs w:val="24"/>
              </w:rPr>
            </w:pPr>
            <w:r>
              <w:rPr>
                <w:rFonts w:ascii="Times New Roman" w:hAnsi="Times New Roman"/>
                <w:color w:val="000000" w:themeColor="text1"/>
                <w:sz w:val="24"/>
                <w:szCs w:val="24"/>
              </w:rPr>
              <w:t>由上表可知：</w:t>
            </w:r>
            <w:r>
              <w:rPr>
                <w:rFonts w:ascii="宋体" w:hAnsi="宋体" w:eastAsia="宋体" w:cs="Times New Roman"/>
                <w:color w:val="000000" w:themeColor="text1"/>
                <w:sz w:val="24"/>
                <w:szCs w:val="24"/>
              </w:rPr>
              <w:t>该项目</w:t>
            </w:r>
            <w:r>
              <w:rPr>
                <w:rFonts w:hint="eastAsia" w:ascii="宋体" w:hAnsi="宋体" w:eastAsia="宋体" w:cs="Times New Roman"/>
                <w:color w:val="000000" w:themeColor="text1"/>
                <w:sz w:val="24"/>
                <w:szCs w:val="24"/>
                <w:lang w:eastAsia="zh-CN"/>
              </w:rPr>
              <w:t>废水各个监测因子符合</w:t>
            </w:r>
            <w:r>
              <w:rPr>
                <w:rFonts w:hint="eastAsia" w:ascii="宋体" w:hAnsi="宋体" w:eastAsia="宋体" w:cs="宋体"/>
                <w:color w:val="000000" w:themeColor="text1"/>
                <w:sz w:val="24"/>
                <w:szCs w:val="24"/>
              </w:rPr>
              <w:t>《污水综合排放标准》(GB8978-1996)</w:t>
            </w:r>
          </w:p>
          <w:p>
            <w:pPr>
              <w:spacing w:line="360" w:lineRule="auto"/>
              <w:rPr>
                <w:rFonts w:hint="eastAsia" w:ascii="Times New Roman" w:hAnsi="Times New Roman"/>
                <w:color w:val="FF0000"/>
                <w:sz w:val="24"/>
                <w:szCs w:val="24"/>
                <w:lang w:val="en-US" w:eastAsia="zh-CN"/>
              </w:rPr>
            </w:pPr>
            <w:r>
              <w:rPr>
                <w:rFonts w:hint="eastAsia" w:ascii="宋体" w:hAnsi="宋体" w:eastAsia="宋体" w:cs="宋体"/>
                <w:color w:val="000000" w:themeColor="text1"/>
                <w:sz w:val="24"/>
                <w:szCs w:val="24"/>
              </w:rPr>
              <w:t>表4中三级标准</w:t>
            </w:r>
            <w:r>
              <w:rPr>
                <w:rFonts w:hint="eastAsia" w:ascii="Times New Roman" w:hAnsi="Times New Roman"/>
                <w:color w:val="000000" w:themeColor="text1"/>
                <w:sz w:val="24"/>
                <w:szCs w:val="24"/>
                <w:lang w:eastAsia="zh-CN"/>
              </w:rPr>
              <w:t>限</w:t>
            </w:r>
            <w:r>
              <w:rPr>
                <w:rFonts w:ascii="Times New Roman" w:hAnsi="Times New Roman"/>
                <w:color w:val="000000" w:themeColor="text1"/>
                <w:sz w:val="24"/>
                <w:szCs w:val="24"/>
              </w:rPr>
              <w:t>值</w:t>
            </w:r>
            <w:r>
              <w:rPr>
                <w:rFonts w:hint="eastAsia" w:ascii="Times New Roman" w:hAnsi="Times New Roman"/>
                <w:color w:val="000000" w:themeColor="text1"/>
                <w:sz w:val="24"/>
                <w:szCs w:val="24"/>
                <w:lang w:eastAsia="zh-CN"/>
              </w:rPr>
              <w:t>及吉安市</w:t>
            </w:r>
            <w:r>
              <w:rPr>
                <w:rFonts w:hint="eastAsia" w:hAnsi="宋体"/>
                <w:color w:val="000000" w:themeColor="text1"/>
                <w:sz w:val="24"/>
              </w:rPr>
              <w:t>新源污水处理厂接管标准</w:t>
            </w:r>
            <w:r>
              <w:rPr>
                <w:rFonts w:hint="eastAsia" w:ascii="Times New Roman" w:hAnsi="Times New Roman"/>
                <w:color w:val="000000" w:themeColor="text1"/>
                <w:sz w:val="24"/>
                <w:szCs w:val="24"/>
                <w:lang w:eastAsia="zh-CN"/>
              </w:rPr>
              <w:t>限</w:t>
            </w:r>
            <w:r>
              <w:rPr>
                <w:rFonts w:ascii="Times New Roman" w:hAnsi="Times New Roman"/>
                <w:color w:val="000000" w:themeColor="text1"/>
                <w:sz w:val="24"/>
                <w:szCs w:val="24"/>
              </w:rPr>
              <w:t>值</w:t>
            </w:r>
            <w:r>
              <w:rPr>
                <w:rFonts w:hint="eastAsia" w:ascii="宋体" w:hAnsi="宋体" w:eastAsia="宋体"/>
                <w:color w:val="000000" w:themeColor="text1"/>
                <w:sz w:val="24"/>
                <w:szCs w:val="24"/>
              </w:rPr>
              <w:t>排放浓度限值要求，</w:t>
            </w:r>
            <w:r>
              <w:rPr>
                <w:rFonts w:hint="eastAsia" w:ascii="宋体" w:hAnsi="宋体" w:eastAsia="宋体"/>
                <w:color w:val="000000" w:themeColor="text1"/>
                <w:sz w:val="24"/>
                <w:szCs w:val="24"/>
                <w:lang w:eastAsia="zh-CN"/>
              </w:rPr>
              <w:t>为</w:t>
            </w:r>
            <w:r>
              <w:rPr>
                <w:rFonts w:hint="eastAsia" w:ascii="宋体" w:hAnsi="宋体" w:eastAsia="宋体" w:cs="Times New Roman"/>
                <w:color w:val="000000" w:themeColor="text1"/>
                <w:sz w:val="24"/>
                <w:szCs w:val="24"/>
              </w:rPr>
              <w:t>达标排放</w:t>
            </w:r>
            <w:r>
              <w:rPr>
                <w:rFonts w:ascii="Times New Roman" w:hAnsi="Times New Roman"/>
                <w:color w:val="000000" w:themeColor="text1"/>
                <w:sz w:val="24"/>
                <w:szCs w:val="24"/>
              </w:rPr>
              <w:t>。</w:t>
            </w:r>
            <w:bookmarkStart w:id="9" w:name="_Toc26227"/>
          </w:p>
          <w:p>
            <w:pPr>
              <w:pStyle w:val="5"/>
              <w:ind w:left="0" w:leftChars="0" w:firstLine="0" w:firstLineChars="0"/>
              <w:rPr>
                <w:rFonts w:ascii="Times New Roman" w:hAnsi="Times New Roman"/>
                <w:sz w:val="24"/>
                <w:szCs w:val="24"/>
              </w:rPr>
            </w:pPr>
            <w:r>
              <w:rPr>
                <w:rFonts w:hint="eastAsia" w:ascii="Times New Roman" w:hAnsi="Times New Roman"/>
                <w:sz w:val="24"/>
                <w:szCs w:val="24"/>
                <w:lang w:val="en-US" w:eastAsia="zh-CN"/>
              </w:rPr>
              <w:t>3</w:t>
            </w:r>
            <w:r>
              <w:rPr>
                <w:rFonts w:hint="eastAsia" w:ascii="Times New Roman" w:hAnsi="Times New Roman"/>
                <w:sz w:val="24"/>
                <w:szCs w:val="24"/>
              </w:rPr>
              <w:t>、厂界噪声</w:t>
            </w:r>
            <w:bookmarkEnd w:id="9"/>
            <w:r>
              <w:rPr>
                <w:rFonts w:hint="eastAsia" w:ascii="Times New Roman" w:hAnsi="Times New Roman"/>
                <w:sz w:val="24"/>
                <w:szCs w:val="24"/>
              </w:rPr>
              <w:t>监测结果见下表</w:t>
            </w:r>
          </w:p>
          <w:p>
            <w:pPr>
              <w:spacing w:line="360" w:lineRule="auto"/>
              <w:jc w:val="center"/>
              <w:rPr>
                <w:rFonts w:hint="eastAsia" w:ascii="Times New Roman" w:hAnsi="Times New Roman" w:eastAsiaTheme="minorEastAsia"/>
                <w:b/>
                <w:bCs w:val="0"/>
                <w:sz w:val="24"/>
                <w:szCs w:val="24"/>
                <w:lang w:val="en-US" w:eastAsia="zh-CN"/>
              </w:rPr>
            </w:pPr>
            <w:r>
              <w:rPr>
                <w:rFonts w:hint="eastAsia" w:ascii="Times New Roman" w:hAnsi="Times New Roman"/>
                <w:b/>
                <w:bCs/>
                <w:sz w:val="24"/>
                <w:szCs w:val="24"/>
              </w:rPr>
              <w:t>表7-</w:t>
            </w:r>
            <w:r>
              <w:rPr>
                <w:rFonts w:hint="eastAsia" w:ascii="Times New Roman" w:hAnsi="Times New Roman"/>
                <w:b/>
                <w:bCs/>
                <w:sz w:val="24"/>
                <w:szCs w:val="24"/>
                <w:lang w:val="en-US" w:eastAsia="zh-CN"/>
              </w:rPr>
              <w:t>4</w:t>
            </w:r>
            <w:r>
              <w:rPr>
                <w:rFonts w:hint="eastAsia" w:ascii="Times New Roman" w:hAnsi="Times New Roman"/>
                <w:b/>
                <w:bCs/>
                <w:sz w:val="24"/>
                <w:szCs w:val="24"/>
              </w:rPr>
              <w:t xml:space="preserve"> 工业企业厂界环境噪声监测结果</w:t>
            </w:r>
            <w:r>
              <w:rPr>
                <w:rFonts w:hint="eastAsia" w:ascii="Times New Roman" w:hAnsi="Times New Roman"/>
                <w:b/>
                <w:bCs/>
                <w:sz w:val="24"/>
                <w:szCs w:val="24"/>
                <w:lang w:val="en-US" w:eastAsia="zh-CN"/>
              </w:rPr>
              <w:t xml:space="preserve">  </w:t>
            </w:r>
            <w:r>
              <w:rPr>
                <w:rFonts w:hint="eastAsia" w:ascii="宋体" w:hAnsi="宋体" w:eastAsia="宋体"/>
                <w:b/>
                <w:sz w:val="24"/>
                <w:szCs w:val="24"/>
              </w:rPr>
              <w:t>单位：</w:t>
            </w:r>
            <w:r>
              <w:rPr>
                <w:rFonts w:ascii="宋体" w:hAnsi="宋体" w:cs="Times New Roman"/>
                <w:b/>
                <w:bCs w:val="0"/>
                <w:sz w:val="24"/>
                <w:szCs w:val="24"/>
              </w:rPr>
              <w:t>dB(A)</w:t>
            </w:r>
          </w:p>
          <w:tbl>
            <w:tblPr>
              <w:tblStyle w:val="20"/>
              <w:tblW w:w="9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6"/>
              <w:gridCol w:w="1335"/>
              <w:gridCol w:w="1276"/>
              <w:gridCol w:w="1417"/>
              <w:gridCol w:w="1276"/>
              <w:gridCol w:w="1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3" w:hRule="atLeast"/>
                <w:jc w:val="center"/>
              </w:trPr>
              <w:tc>
                <w:tcPr>
                  <w:tcW w:w="2036" w:type="dxa"/>
                  <w:vMerge w:val="restart"/>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sz w:val="24"/>
                      <w:szCs w:val="24"/>
                    </w:rPr>
                    <w:t>监测点位</w:t>
                  </w:r>
                </w:p>
              </w:tc>
              <w:tc>
                <w:tcPr>
                  <w:tcW w:w="2611" w:type="dxa"/>
                  <w:gridSpan w:val="2"/>
                  <w:noWrap w:val="0"/>
                  <w:vAlign w:val="center"/>
                </w:tcPr>
                <w:p>
                  <w:pPr>
                    <w:spacing w:line="360" w:lineRule="auto"/>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rPr>
                    <w:t>20</w:t>
                  </w:r>
                  <w:r>
                    <w:rPr>
                      <w:rFonts w:hint="eastAsia" w:ascii="宋体" w:hAnsi="宋体" w:eastAsia="宋体" w:cs="Times New Roman"/>
                      <w:sz w:val="24"/>
                      <w:szCs w:val="24"/>
                      <w:lang w:val="en-US" w:eastAsia="zh-CN"/>
                    </w:rPr>
                    <w:t>20</w:t>
                  </w:r>
                  <w:r>
                    <w:rPr>
                      <w:rFonts w:hint="eastAsia" w:ascii="宋体" w:hAnsi="宋体" w:eastAsia="宋体" w:cs="Times New Roman"/>
                      <w:sz w:val="24"/>
                      <w:szCs w:val="24"/>
                    </w:rPr>
                    <w:t>.</w:t>
                  </w:r>
                  <w:r>
                    <w:rPr>
                      <w:rFonts w:hint="eastAsia" w:ascii="宋体" w:hAnsi="宋体" w:eastAsia="宋体" w:cs="Times New Roman"/>
                      <w:sz w:val="24"/>
                      <w:szCs w:val="24"/>
                      <w:lang w:val="en-US" w:eastAsia="zh-CN"/>
                    </w:rPr>
                    <w:t>7.12</w:t>
                  </w:r>
                </w:p>
              </w:tc>
              <w:tc>
                <w:tcPr>
                  <w:tcW w:w="2693" w:type="dxa"/>
                  <w:gridSpan w:val="2"/>
                  <w:noWrap w:val="0"/>
                  <w:vAlign w:val="center"/>
                </w:tcPr>
                <w:p>
                  <w:pPr>
                    <w:spacing w:line="360" w:lineRule="auto"/>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rPr>
                    <w:t>20</w:t>
                  </w:r>
                  <w:r>
                    <w:rPr>
                      <w:rFonts w:hint="eastAsia" w:ascii="宋体" w:hAnsi="宋体" w:eastAsia="宋体" w:cs="Times New Roman"/>
                      <w:sz w:val="24"/>
                      <w:szCs w:val="24"/>
                      <w:lang w:val="en-US" w:eastAsia="zh-CN"/>
                    </w:rPr>
                    <w:t>20.7.13</w:t>
                  </w:r>
                </w:p>
              </w:tc>
              <w:tc>
                <w:tcPr>
                  <w:tcW w:w="1788" w:type="dxa"/>
                  <w:vMerge w:val="restart"/>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sz w:val="24"/>
                      <w:szCs w:val="24"/>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4" w:hRule="atLeast"/>
                <w:jc w:val="center"/>
              </w:trPr>
              <w:tc>
                <w:tcPr>
                  <w:tcW w:w="2036" w:type="dxa"/>
                  <w:vMerge w:val="continue"/>
                  <w:noWrap w:val="0"/>
                  <w:vAlign w:val="center"/>
                </w:tcPr>
                <w:p>
                  <w:pPr>
                    <w:spacing w:line="300" w:lineRule="exact"/>
                    <w:jc w:val="center"/>
                    <w:rPr>
                      <w:rFonts w:ascii="宋体" w:hAnsi="宋体" w:eastAsia="宋体" w:cs="Times New Roman"/>
                      <w:sz w:val="24"/>
                      <w:szCs w:val="24"/>
                    </w:rPr>
                  </w:pPr>
                </w:p>
              </w:tc>
              <w:tc>
                <w:tcPr>
                  <w:tcW w:w="1335" w:type="dxa"/>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bCs/>
                      <w:sz w:val="24"/>
                      <w:szCs w:val="24"/>
                    </w:rPr>
                    <w:t>测试时间</w:t>
                  </w:r>
                </w:p>
              </w:tc>
              <w:tc>
                <w:tcPr>
                  <w:tcW w:w="1276" w:type="dxa"/>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sz w:val="24"/>
                      <w:szCs w:val="24"/>
                    </w:rPr>
                    <w:t>Leq</w:t>
                  </w:r>
                </w:p>
              </w:tc>
              <w:tc>
                <w:tcPr>
                  <w:tcW w:w="1417" w:type="dxa"/>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bCs/>
                      <w:sz w:val="24"/>
                      <w:szCs w:val="24"/>
                    </w:rPr>
                    <w:t>测试时间</w:t>
                  </w:r>
                </w:p>
              </w:tc>
              <w:tc>
                <w:tcPr>
                  <w:tcW w:w="1276" w:type="dxa"/>
                  <w:noWrap w:val="0"/>
                  <w:vAlign w:val="center"/>
                </w:tcPr>
                <w:p>
                  <w:pPr>
                    <w:spacing w:line="300" w:lineRule="exact"/>
                    <w:jc w:val="center"/>
                    <w:rPr>
                      <w:rFonts w:ascii="宋体" w:hAnsi="宋体" w:eastAsia="宋体" w:cs="Times New Roman"/>
                      <w:sz w:val="24"/>
                      <w:szCs w:val="24"/>
                    </w:rPr>
                  </w:pPr>
                  <w:r>
                    <w:rPr>
                      <w:rFonts w:hint="eastAsia" w:ascii="宋体" w:hAnsi="宋体" w:eastAsia="宋体" w:cs="Times New Roman"/>
                      <w:sz w:val="24"/>
                      <w:szCs w:val="24"/>
                    </w:rPr>
                    <w:t>Leq</w:t>
                  </w:r>
                </w:p>
              </w:tc>
              <w:tc>
                <w:tcPr>
                  <w:tcW w:w="1788" w:type="dxa"/>
                  <w:vMerge w:val="continue"/>
                  <w:noWrap w:val="0"/>
                  <w:vAlign w:val="center"/>
                </w:tcPr>
                <w:p>
                  <w:pPr>
                    <w:spacing w:line="300" w:lineRule="exact"/>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1▲项目</w:t>
                  </w:r>
                  <w:r>
                    <w:rPr>
                      <w:rFonts w:hint="eastAsia" w:ascii="宋体" w:hAnsi="宋体" w:eastAsia="宋体"/>
                      <w:sz w:val="24"/>
                      <w:szCs w:val="24"/>
                      <w:lang w:eastAsia="zh-CN"/>
                    </w:rPr>
                    <w:t>厂界</w:t>
                  </w:r>
                  <w:r>
                    <w:rPr>
                      <w:rFonts w:hint="eastAsia" w:ascii="宋体" w:hAnsi="宋体" w:eastAsia="宋体"/>
                      <w:sz w:val="24"/>
                      <w:szCs w:val="24"/>
                    </w:rPr>
                    <w:t>东面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54.6</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52.6</w:t>
                  </w:r>
                </w:p>
              </w:tc>
              <w:tc>
                <w:tcPr>
                  <w:tcW w:w="1788" w:type="dxa"/>
                  <w:vMerge w:val="restart"/>
                  <w:noWrap w:val="0"/>
                  <w:vAlign w:val="center"/>
                </w:tcPr>
                <w:p>
                  <w:pPr>
                    <w:jc w:val="center"/>
                    <w:rPr>
                      <w:rFonts w:hint="eastAsia" w:ascii="宋体" w:hAnsi="宋体" w:eastAsia="宋体" w:cs="Times New Roman"/>
                      <w:sz w:val="24"/>
                      <w:szCs w:val="24"/>
                      <w:lang w:eastAsia="zh-CN"/>
                    </w:rPr>
                  </w:pPr>
                  <w:r>
                    <w:rPr>
                      <w:rFonts w:hint="eastAsia" w:ascii="宋体" w:hAnsi="宋体" w:eastAsia="宋体" w:cs="Times New Roman"/>
                      <w:sz w:val="24"/>
                      <w:szCs w:val="24"/>
                    </w:rPr>
                    <w:t>6</w:t>
                  </w:r>
                  <w:r>
                    <w:rPr>
                      <w:rFonts w:hint="eastAsia" w:ascii="宋体" w:hAnsi="宋体" w:eastAsia="宋体" w:cs="Times New Roman"/>
                      <w:sz w:val="24"/>
                      <w:szCs w:val="24"/>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2▲项目</w:t>
                  </w:r>
                  <w:r>
                    <w:rPr>
                      <w:rFonts w:hint="eastAsia" w:ascii="宋体" w:hAnsi="宋体" w:eastAsia="宋体"/>
                      <w:sz w:val="24"/>
                      <w:szCs w:val="24"/>
                      <w:lang w:eastAsia="zh-CN"/>
                    </w:rPr>
                    <w:t>厂界</w:t>
                  </w:r>
                  <w:r>
                    <w:rPr>
                      <w:rFonts w:hint="eastAsia" w:ascii="宋体" w:hAnsi="宋体" w:eastAsia="宋体"/>
                      <w:sz w:val="24"/>
                      <w:szCs w:val="24"/>
                    </w:rPr>
                    <w:t>南面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52.5</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55.7</w:t>
                  </w:r>
                </w:p>
              </w:tc>
              <w:tc>
                <w:tcPr>
                  <w:tcW w:w="1788" w:type="dxa"/>
                  <w:vMerge w:val="continue"/>
                  <w:noWrap w:val="0"/>
                  <w:vAlign w:val="center"/>
                </w:tcPr>
                <w:p>
                  <w:pPr>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3▲项目</w:t>
                  </w:r>
                  <w:r>
                    <w:rPr>
                      <w:rFonts w:hint="eastAsia" w:ascii="宋体" w:hAnsi="宋体" w:eastAsia="宋体"/>
                      <w:sz w:val="24"/>
                      <w:szCs w:val="24"/>
                      <w:lang w:eastAsia="zh-CN"/>
                    </w:rPr>
                    <w:t>厂界</w:t>
                  </w:r>
                  <w:r>
                    <w:rPr>
                      <w:rFonts w:hint="eastAsia" w:ascii="宋体" w:hAnsi="宋体" w:eastAsia="宋体"/>
                      <w:sz w:val="24"/>
                      <w:szCs w:val="24"/>
                    </w:rPr>
                    <w:t>西面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51.7</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52.4</w:t>
                  </w:r>
                </w:p>
              </w:tc>
              <w:tc>
                <w:tcPr>
                  <w:tcW w:w="1788" w:type="dxa"/>
                  <w:vMerge w:val="continue"/>
                  <w:noWrap w:val="0"/>
                  <w:vAlign w:val="center"/>
                </w:tcPr>
                <w:p>
                  <w:pPr>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4▲项目</w:t>
                  </w:r>
                  <w:r>
                    <w:rPr>
                      <w:rFonts w:hint="eastAsia" w:ascii="宋体" w:hAnsi="宋体" w:eastAsia="宋体"/>
                      <w:sz w:val="24"/>
                      <w:szCs w:val="24"/>
                      <w:lang w:eastAsia="zh-CN"/>
                    </w:rPr>
                    <w:t>厂界</w:t>
                  </w:r>
                  <w:r>
                    <w:rPr>
                      <w:rFonts w:hint="eastAsia" w:ascii="宋体" w:hAnsi="宋体" w:eastAsia="宋体"/>
                      <w:sz w:val="24"/>
                      <w:szCs w:val="24"/>
                    </w:rPr>
                    <w:t>北面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58.4</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昼</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58.2</w:t>
                  </w:r>
                </w:p>
              </w:tc>
              <w:tc>
                <w:tcPr>
                  <w:tcW w:w="1788" w:type="dxa"/>
                  <w:vMerge w:val="continue"/>
                  <w:noWrap w:val="0"/>
                  <w:vAlign w:val="center"/>
                </w:tcPr>
                <w:p>
                  <w:pPr>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1▲项目</w:t>
                  </w:r>
                  <w:r>
                    <w:rPr>
                      <w:rFonts w:hint="eastAsia" w:ascii="宋体" w:hAnsi="宋体" w:eastAsia="宋体"/>
                      <w:sz w:val="24"/>
                      <w:szCs w:val="24"/>
                      <w:lang w:eastAsia="zh-CN"/>
                    </w:rPr>
                    <w:t>厂界</w:t>
                  </w:r>
                  <w:r>
                    <w:rPr>
                      <w:rFonts w:hint="eastAsia" w:ascii="宋体" w:hAnsi="宋体" w:eastAsia="宋体"/>
                      <w:sz w:val="24"/>
                      <w:szCs w:val="24"/>
                    </w:rPr>
                    <w:t>东面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47.1</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47.0</w:t>
                  </w:r>
                </w:p>
              </w:tc>
              <w:tc>
                <w:tcPr>
                  <w:tcW w:w="1788" w:type="dxa"/>
                  <w:vMerge w:val="restart"/>
                  <w:noWrap w:val="0"/>
                  <w:vAlign w:val="center"/>
                </w:tcPr>
                <w:p>
                  <w:pPr>
                    <w:jc w:val="center"/>
                    <w:rPr>
                      <w:rFonts w:hint="eastAsia" w:ascii="宋体" w:hAnsi="宋体" w:eastAsia="宋体" w:cs="Times New Roman"/>
                      <w:sz w:val="24"/>
                      <w:szCs w:val="24"/>
                      <w:lang w:eastAsia="zh-CN"/>
                    </w:rPr>
                  </w:pPr>
                  <w:r>
                    <w:rPr>
                      <w:rFonts w:hint="eastAsia" w:ascii="宋体" w:hAnsi="宋体" w:eastAsia="宋体" w:cs="Times New Roman"/>
                      <w:sz w:val="24"/>
                      <w:szCs w:val="24"/>
                    </w:rPr>
                    <w:t>5</w:t>
                  </w:r>
                  <w:r>
                    <w:rPr>
                      <w:rFonts w:hint="eastAsia" w:ascii="宋体" w:hAnsi="宋体" w:eastAsia="宋体" w:cs="Times New Roman"/>
                      <w:sz w:val="24"/>
                      <w:szCs w:val="24"/>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6"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2▲项目</w:t>
                  </w:r>
                  <w:r>
                    <w:rPr>
                      <w:rFonts w:hint="eastAsia" w:ascii="宋体" w:hAnsi="宋体" w:eastAsia="宋体"/>
                      <w:sz w:val="24"/>
                      <w:szCs w:val="24"/>
                      <w:lang w:eastAsia="zh-CN"/>
                    </w:rPr>
                    <w:t>厂界</w:t>
                  </w:r>
                  <w:r>
                    <w:rPr>
                      <w:rFonts w:hint="eastAsia" w:ascii="宋体" w:hAnsi="宋体" w:eastAsia="宋体"/>
                      <w:sz w:val="24"/>
                      <w:szCs w:val="24"/>
                    </w:rPr>
                    <w:t>南面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45.3</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45.8</w:t>
                  </w:r>
                </w:p>
              </w:tc>
              <w:tc>
                <w:tcPr>
                  <w:tcW w:w="1788" w:type="dxa"/>
                  <w:vMerge w:val="continue"/>
                  <w:noWrap w:val="0"/>
                  <w:vAlign w:val="center"/>
                </w:tcPr>
                <w:p>
                  <w:pPr>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3▲项目</w:t>
                  </w:r>
                  <w:r>
                    <w:rPr>
                      <w:rFonts w:hint="eastAsia" w:ascii="宋体" w:hAnsi="宋体" w:eastAsia="宋体"/>
                      <w:sz w:val="24"/>
                      <w:szCs w:val="24"/>
                      <w:lang w:eastAsia="zh-CN"/>
                    </w:rPr>
                    <w:t>厂界</w:t>
                  </w:r>
                  <w:r>
                    <w:rPr>
                      <w:rFonts w:hint="eastAsia" w:ascii="宋体" w:hAnsi="宋体" w:eastAsia="宋体"/>
                      <w:sz w:val="24"/>
                      <w:szCs w:val="24"/>
                    </w:rPr>
                    <w:t>西面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46.4</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45.2</w:t>
                  </w:r>
                </w:p>
              </w:tc>
              <w:tc>
                <w:tcPr>
                  <w:tcW w:w="1788" w:type="dxa"/>
                  <w:vMerge w:val="continue"/>
                  <w:noWrap w:val="0"/>
                  <w:vAlign w:val="center"/>
                </w:tcPr>
                <w:p>
                  <w:pPr>
                    <w:jc w:val="center"/>
                    <w:rPr>
                      <w:rFonts w:ascii="宋体" w:hAnsi="宋体"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2036" w:type="dxa"/>
                  <w:noWrap w:val="0"/>
                  <w:vAlign w:val="center"/>
                </w:tcPr>
                <w:p>
                  <w:pPr>
                    <w:jc w:val="center"/>
                    <w:rPr>
                      <w:rFonts w:ascii="宋体" w:hAnsi="宋体" w:eastAsia="宋体" w:cs="Times New Roman"/>
                      <w:sz w:val="24"/>
                      <w:szCs w:val="24"/>
                    </w:rPr>
                  </w:pPr>
                  <w:r>
                    <w:rPr>
                      <w:rFonts w:hint="eastAsia" w:ascii="宋体" w:hAnsi="宋体" w:eastAsia="宋体"/>
                      <w:sz w:val="24"/>
                      <w:szCs w:val="24"/>
                    </w:rPr>
                    <w:t>4▲项目</w:t>
                  </w:r>
                  <w:r>
                    <w:rPr>
                      <w:rFonts w:hint="eastAsia" w:ascii="宋体" w:hAnsi="宋体" w:eastAsia="宋体"/>
                      <w:sz w:val="24"/>
                      <w:szCs w:val="24"/>
                      <w:lang w:eastAsia="zh-CN"/>
                    </w:rPr>
                    <w:t>厂界</w:t>
                  </w:r>
                  <w:r>
                    <w:rPr>
                      <w:rFonts w:hint="eastAsia" w:ascii="宋体" w:hAnsi="宋体" w:eastAsia="宋体"/>
                      <w:sz w:val="24"/>
                      <w:szCs w:val="24"/>
                    </w:rPr>
                    <w:t>北面</w:t>
                  </w:r>
                </w:p>
              </w:tc>
              <w:tc>
                <w:tcPr>
                  <w:tcW w:w="1335"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48.6</w:t>
                  </w:r>
                </w:p>
              </w:tc>
              <w:tc>
                <w:tcPr>
                  <w:tcW w:w="1417" w:type="dxa"/>
                  <w:noWrap w:val="0"/>
                  <w:vAlign w:val="center"/>
                </w:tcPr>
                <w:p>
                  <w:pPr>
                    <w:jc w:val="center"/>
                    <w:rPr>
                      <w:rFonts w:ascii="宋体" w:hAnsi="宋体" w:eastAsia="宋体" w:cs="Times New Roman"/>
                      <w:sz w:val="24"/>
                      <w:szCs w:val="24"/>
                    </w:rPr>
                  </w:pPr>
                  <w:r>
                    <w:rPr>
                      <w:rFonts w:hint="eastAsia" w:ascii="宋体" w:hAnsi="宋体" w:eastAsia="宋体" w:cs="Times New Roman"/>
                      <w:sz w:val="24"/>
                      <w:szCs w:val="24"/>
                    </w:rPr>
                    <w:t>夜</w:t>
                  </w:r>
                </w:p>
              </w:tc>
              <w:tc>
                <w:tcPr>
                  <w:tcW w:w="1276" w:type="dxa"/>
                  <w:noWrap w:val="0"/>
                  <w:vAlign w:val="center"/>
                </w:tcPr>
                <w:p>
                  <w:pPr>
                    <w:jc w:val="center"/>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48.8</w:t>
                  </w:r>
                </w:p>
              </w:tc>
              <w:tc>
                <w:tcPr>
                  <w:tcW w:w="1788" w:type="dxa"/>
                  <w:vMerge w:val="continue"/>
                  <w:noWrap w:val="0"/>
                  <w:vAlign w:val="center"/>
                </w:tcPr>
                <w:p>
                  <w:pPr>
                    <w:jc w:val="center"/>
                    <w:rPr>
                      <w:rFonts w:ascii="宋体" w:hAnsi="宋体" w:eastAsia="宋体" w:cs="Times New Roman"/>
                      <w:sz w:val="24"/>
                      <w:szCs w:val="24"/>
                    </w:rPr>
                  </w:pPr>
                </w:p>
              </w:tc>
            </w:tr>
          </w:tbl>
          <w:p>
            <w:pPr>
              <w:pStyle w:val="24"/>
              <w:rPr>
                <w:rFonts w:ascii="Times New Roman" w:hAnsi="Times New Roman" w:eastAsia="仿宋"/>
                <w:sz w:val="24"/>
                <w:szCs w:val="24"/>
              </w:rPr>
            </w:pPr>
            <w:r>
              <w:rPr>
                <w:rFonts w:ascii="Times New Roman" w:hAnsi="Times New Roman"/>
                <w:sz w:val="24"/>
                <w:szCs w:val="24"/>
              </w:rPr>
              <w:t>由上表可知：</w:t>
            </w:r>
            <w:r>
              <w:rPr>
                <w:rFonts w:ascii="宋体" w:hAnsi="宋体" w:cs="Times New Roman"/>
                <w:sz w:val="24"/>
                <w:szCs w:val="24"/>
              </w:rPr>
              <w:t>该项目厂界昼间噪声</w:t>
            </w:r>
            <w:r>
              <w:rPr>
                <w:rFonts w:hint="eastAsia" w:ascii="宋体" w:hAnsi="宋体" w:cs="Times New Roman"/>
                <w:sz w:val="24"/>
                <w:szCs w:val="24"/>
              </w:rPr>
              <w:t>最大</w:t>
            </w:r>
            <w:r>
              <w:rPr>
                <w:rFonts w:ascii="宋体" w:hAnsi="宋体" w:cs="Times New Roman"/>
                <w:sz w:val="24"/>
                <w:szCs w:val="24"/>
              </w:rPr>
              <w:t>值为</w:t>
            </w:r>
            <w:r>
              <w:rPr>
                <w:rFonts w:hint="eastAsia" w:ascii="宋体" w:hAnsi="宋体" w:cs="Times New Roman"/>
                <w:sz w:val="24"/>
                <w:szCs w:val="24"/>
                <w:lang w:val="en-US" w:eastAsia="zh-CN"/>
              </w:rPr>
              <w:t>5</w:t>
            </w:r>
            <w:r>
              <w:rPr>
                <w:rFonts w:hint="eastAsia" w:hAnsi="宋体" w:cs="Times New Roman"/>
                <w:sz w:val="24"/>
                <w:szCs w:val="24"/>
                <w:lang w:val="en-US" w:eastAsia="zh-CN"/>
              </w:rPr>
              <w:t>8.4</w:t>
            </w:r>
            <w:r>
              <w:rPr>
                <w:rFonts w:ascii="宋体" w:hAnsi="宋体" w:cs="Times New Roman"/>
                <w:bCs/>
                <w:sz w:val="24"/>
                <w:szCs w:val="24"/>
              </w:rPr>
              <w:t>dB(A)</w:t>
            </w:r>
            <w:r>
              <w:rPr>
                <w:rFonts w:hint="eastAsia" w:ascii="宋体" w:hAnsi="宋体" w:cs="Times New Roman"/>
                <w:sz w:val="24"/>
                <w:szCs w:val="24"/>
              </w:rPr>
              <w:t>、</w:t>
            </w:r>
            <w:r>
              <w:rPr>
                <w:rFonts w:ascii="宋体" w:hAnsi="宋体" w:cs="Times New Roman"/>
                <w:sz w:val="24"/>
                <w:szCs w:val="24"/>
              </w:rPr>
              <w:t>厂界</w:t>
            </w:r>
            <w:r>
              <w:rPr>
                <w:rFonts w:hint="eastAsia" w:ascii="宋体" w:hAnsi="宋体" w:cs="Times New Roman"/>
                <w:sz w:val="24"/>
                <w:szCs w:val="24"/>
              </w:rPr>
              <w:t>夜</w:t>
            </w:r>
            <w:r>
              <w:rPr>
                <w:rFonts w:ascii="宋体" w:hAnsi="宋体" w:cs="Times New Roman"/>
                <w:sz w:val="24"/>
                <w:szCs w:val="24"/>
              </w:rPr>
              <w:t>间噪声</w:t>
            </w:r>
            <w:r>
              <w:rPr>
                <w:rFonts w:hint="eastAsia" w:ascii="宋体" w:hAnsi="宋体" w:cs="Times New Roman"/>
                <w:sz w:val="24"/>
                <w:szCs w:val="24"/>
              </w:rPr>
              <w:t>最大</w:t>
            </w:r>
            <w:r>
              <w:rPr>
                <w:rFonts w:ascii="宋体" w:hAnsi="宋体" w:cs="Times New Roman"/>
                <w:sz w:val="24"/>
                <w:szCs w:val="24"/>
              </w:rPr>
              <w:t>值为</w:t>
            </w:r>
            <w:r>
              <w:rPr>
                <w:rFonts w:hint="eastAsia" w:ascii="宋体" w:hAnsi="宋体" w:cs="Times New Roman"/>
                <w:sz w:val="24"/>
                <w:szCs w:val="24"/>
                <w:lang w:val="en-US" w:eastAsia="zh-CN"/>
              </w:rPr>
              <w:t>4</w:t>
            </w:r>
            <w:r>
              <w:rPr>
                <w:rFonts w:hint="eastAsia" w:hAnsi="宋体" w:cs="Times New Roman"/>
                <w:sz w:val="24"/>
                <w:szCs w:val="24"/>
                <w:lang w:val="en-US" w:eastAsia="zh-CN"/>
              </w:rPr>
              <w:t>8.8</w:t>
            </w:r>
            <w:r>
              <w:rPr>
                <w:rFonts w:ascii="宋体" w:hAnsi="宋体" w:cs="Times New Roman"/>
                <w:bCs/>
                <w:sz w:val="24"/>
                <w:szCs w:val="24"/>
              </w:rPr>
              <w:t>dB(A)，</w:t>
            </w:r>
            <w:r>
              <w:rPr>
                <w:rFonts w:hint="eastAsia" w:ascii="宋体" w:hAnsi="宋体" w:cs="Times New Roman"/>
                <w:bCs/>
                <w:sz w:val="24"/>
                <w:szCs w:val="24"/>
              </w:rPr>
              <w:t>满足</w:t>
            </w:r>
            <w:r>
              <w:rPr>
                <w:rFonts w:hint="eastAsia" w:ascii="宋体" w:hAnsi="宋体" w:eastAsia="宋体"/>
                <w:sz w:val="24"/>
                <w:szCs w:val="24"/>
              </w:rPr>
              <w:t>《</w:t>
            </w:r>
            <w:r>
              <w:rPr>
                <w:rFonts w:hint="eastAsia" w:hAnsi="宋体" w:cs="Times New Roman"/>
                <w:bCs/>
                <w:sz w:val="24"/>
                <w:szCs w:val="24"/>
                <w:lang w:eastAsia="zh-CN"/>
              </w:rPr>
              <w:t>工</w:t>
            </w:r>
            <w:r>
              <w:rPr>
                <w:rFonts w:hint="eastAsia" w:ascii="宋体" w:hAnsi="宋体"/>
                <w:sz w:val="24"/>
                <w:szCs w:val="24"/>
              </w:rPr>
              <w:t>业企业厂界环境噪声排放噪声标准</w:t>
            </w:r>
            <w:r>
              <w:rPr>
                <w:rFonts w:ascii="宋体" w:hAnsi="宋体" w:cs="Times New Roman"/>
                <w:sz w:val="24"/>
                <w:szCs w:val="24"/>
              </w:rPr>
              <w:t>》（GB12348-</w:t>
            </w:r>
            <w:r>
              <w:rPr>
                <w:rFonts w:hint="eastAsia" w:ascii="宋体" w:hAnsi="宋体" w:cs="Times New Roman"/>
                <w:sz w:val="24"/>
                <w:szCs w:val="24"/>
              </w:rPr>
              <w:t>2008</w:t>
            </w:r>
            <w:r>
              <w:rPr>
                <w:rFonts w:ascii="宋体" w:hAnsi="宋体" w:cs="Times New Roman"/>
                <w:sz w:val="24"/>
                <w:szCs w:val="24"/>
              </w:rPr>
              <w:t>）</w:t>
            </w:r>
            <w:r>
              <w:rPr>
                <w:rFonts w:hint="eastAsia" w:hAnsi="宋体" w:cs="Times New Roman"/>
                <w:sz w:val="24"/>
                <w:szCs w:val="24"/>
                <w:lang w:val="en-US" w:eastAsia="zh-CN"/>
              </w:rPr>
              <w:t>2</w:t>
            </w:r>
            <w:r>
              <w:rPr>
                <w:rFonts w:ascii="宋体" w:hAnsi="宋体" w:cs="Times New Roman"/>
                <w:sz w:val="24"/>
                <w:szCs w:val="24"/>
              </w:rPr>
              <w:t>类标准限值</w:t>
            </w:r>
            <w:r>
              <w:rPr>
                <w:rFonts w:hint="eastAsia" w:ascii="宋体" w:hAnsi="宋体" w:cs="Times New Roman"/>
                <w:sz w:val="24"/>
                <w:szCs w:val="24"/>
              </w:rPr>
              <w:t>要求，为达标排放</w:t>
            </w:r>
            <w:r>
              <w:rPr>
                <w:rFonts w:ascii="宋体" w:hAnsi="宋体" w:cs="Times New Roman"/>
                <w:sz w:val="24"/>
                <w:szCs w:val="24"/>
              </w:rPr>
              <w:t>。</w:t>
            </w: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p>
            <w:pPr>
              <w:pStyle w:val="24"/>
              <w:rPr>
                <w:rFonts w:ascii="Times New Roman" w:hAnsi="Times New Roman" w:eastAsia="仿宋"/>
                <w:sz w:val="24"/>
                <w:szCs w:val="24"/>
              </w:rPr>
            </w:pPr>
          </w:p>
        </w:tc>
      </w:tr>
    </w:tbl>
    <w:p>
      <w:pPr>
        <w:spacing w:line="0" w:lineRule="atLeast"/>
        <w:jc w:val="left"/>
        <w:rPr>
          <w:rFonts w:ascii="Times New Roman" w:hAnsi="Times New Roman"/>
          <w:b/>
          <w:color w:val="000000"/>
          <w:sz w:val="28"/>
        </w:rPr>
      </w:pPr>
    </w:p>
    <w:p>
      <w:pPr>
        <w:spacing w:line="0" w:lineRule="atLeast"/>
        <w:jc w:val="left"/>
        <w:rPr>
          <w:rFonts w:ascii="Times New Roman" w:hAnsi="Times New Roman"/>
          <w:b/>
          <w:color w:val="000000"/>
          <w:sz w:val="28"/>
        </w:rPr>
      </w:pPr>
    </w:p>
    <w:p>
      <w:pPr>
        <w:spacing w:line="0" w:lineRule="atLeast"/>
        <w:jc w:val="left"/>
        <w:rPr>
          <w:rFonts w:ascii="Times New Roman" w:hAnsi="Times New Roman"/>
          <w:b/>
          <w:color w:val="000000"/>
          <w:sz w:val="28"/>
        </w:rPr>
      </w:pPr>
    </w:p>
    <w:p>
      <w:pPr>
        <w:rPr>
          <w:rFonts w:asciiTheme="minorEastAsia" w:hAnsiTheme="minorEastAsia"/>
          <w:b/>
          <w:sz w:val="28"/>
          <w:szCs w:val="28"/>
        </w:rPr>
        <w:sectPr>
          <w:footerReference r:id="rId8" w:type="default"/>
          <w:pgSz w:w="11906" w:h="16838"/>
          <w:pgMar w:top="720" w:right="720" w:bottom="720" w:left="72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4"/>
          <w:szCs w:val="24"/>
        </w:rPr>
        <w:br w:type="page"/>
      </w:r>
    </w:p>
    <w:p>
      <w:pPr>
        <w:spacing w:line="0" w:lineRule="atLeast"/>
        <w:jc w:val="left"/>
        <w:rPr>
          <w:rFonts w:hint="default" w:ascii="Times New Roman" w:hAnsi="Times New Roman" w:eastAsiaTheme="minorEastAsia"/>
          <w:b/>
          <w:color w:val="000000"/>
          <w:sz w:val="28"/>
          <w:lang w:val="en-US" w:eastAsia="zh-CN"/>
        </w:rPr>
      </w:pPr>
      <w:r>
        <w:rPr>
          <w:rFonts w:ascii="Times New Roman" w:hAnsi="Times New Roman"/>
          <w:b/>
          <w:color w:val="000000"/>
          <w:sz w:val="28"/>
        </w:rPr>
        <w:t>表</w:t>
      </w:r>
      <w:r>
        <w:rPr>
          <w:rFonts w:hint="eastAsia" w:ascii="Times New Roman" w:hAnsi="Times New Roman"/>
          <w:b/>
          <w:color w:val="000000"/>
          <w:sz w:val="28"/>
          <w:lang w:eastAsia="zh-CN"/>
        </w:rPr>
        <w:t>八</w:t>
      </w:r>
      <w:r>
        <w:rPr>
          <w:rFonts w:ascii="Times New Roman" w:hAnsi="Times New Roman"/>
          <w:b/>
          <w:color w:val="000000"/>
          <w:sz w:val="28"/>
        </w:rPr>
        <w:t>、验收监测结论及建议</w:t>
      </w:r>
    </w:p>
    <w:tbl>
      <w:tblPr>
        <w:tblStyle w:val="20"/>
        <w:tblW w:w="9639"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9639" w:type="dxa"/>
            <w:noWrap w:val="0"/>
            <w:vAlign w:val="top"/>
          </w:tcPr>
          <w:p>
            <w:pPr>
              <w:spacing w:line="360" w:lineRule="auto"/>
              <w:ind w:firstLine="472" w:firstLineChars="196"/>
              <w:rPr>
                <w:rFonts w:hint="eastAsia" w:ascii="宋体" w:hAnsi="宋体" w:eastAsia="宋体"/>
                <w:b/>
                <w:sz w:val="24"/>
                <w:szCs w:val="24"/>
                <w:lang w:val="en-US" w:eastAsia="zh-CN"/>
              </w:rPr>
            </w:pPr>
            <w:r>
              <w:rPr>
                <w:rFonts w:hint="eastAsia" w:ascii="宋体" w:hAnsi="宋体" w:eastAsia="宋体"/>
                <w:b/>
                <w:sz w:val="24"/>
                <w:szCs w:val="24"/>
              </w:rPr>
              <w:t>1、工程概况</w:t>
            </w:r>
            <w:r>
              <w:rPr>
                <w:rFonts w:hint="eastAsia" w:ascii="宋体" w:hAnsi="宋体" w:eastAsia="宋体"/>
                <w:b/>
                <w:sz w:val="24"/>
                <w:szCs w:val="24"/>
                <w:lang w:val="en-US" w:eastAsia="zh-CN"/>
              </w:rPr>
              <w:t>:</w:t>
            </w:r>
          </w:p>
          <w:p>
            <w:pPr>
              <w:spacing w:line="360" w:lineRule="auto"/>
              <w:ind w:firstLine="480" w:firstLineChars="200"/>
              <w:rPr>
                <w:rFonts w:ascii="宋体" w:hAnsi="宋体" w:eastAsia="宋体"/>
                <w:sz w:val="24"/>
                <w:szCs w:val="24"/>
              </w:rPr>
            </w:pPr>
            <w:r>
              <w:rPr>
                <w:rFonts w:hint="eastAsia" w:ascii="宋体" w:hAnsi="宋体" w:eastAsia="宋体" w:cs="宋体"/>
                <w:b w:val="0"/>
                <w:bCs w:val="0"/>
                <w:sz w:val="24"/>
                <w:szCs w:val="24"/>
              </w:rPr>
              <w:t>吉安华润清洁能源有限公司吉安市吉福路天然气加气站工程项目</w:t>
            </w:r>
            <w:r>
              <w:rPr>
                <w:rFonts w:ascii="Times New Roman" w:hAnsi="Times New Roman"/>
                <w:sz w:val="24"/>
              </w:rPr>
              <w:t>建设项目厂址</w:t>
            </w:r>
            <w:r>
              <w:rPr>
                <w:rFonts w:hint="eastAsia" w:ascii="Times New Roman" w:hAnsi="Times New Roman"/>
                <w:sz w:val="24"/>
                <w:lang w:val="en-US" w:eastAsia="zh-CN"/>
              </w:rPr>
              <w:t>在</w:t>
            </w:r>
            <w:r>
              <w:rPr>
                <w:rFonts w:hint="eastAsia"/>
                <w:sz w:val="24"/>
              </w:rPr>
              <w:t>吉安市吉福路与规划四路交叉口东南侧华润燃气气化站内</w:t>
            </w:r>
            <w:r>
              <w:rPr>
                <w:rFonts w:hint="eastAsia" w:hAnsi="宋体"/>
                <w:sz w:val="24"/>
              </w:rPr>
              <w:t>本项目为天然气加气站，设置</w:t>
            </w:r>
            <w:r>
              <w:rPr>
                <w:rFonts w:hAnsi="宋体"/>
                <w:sz w:val="24"/>
              </w:rPr>
              <w:t>60m</w:t>
            </w:r>
            <w:r>
              <w:rPr>
                <w:rFonts w:hAnsi="宋体"/>
                <w:sz w:val="24"/>
                <w:vertAlign w:val="superscript"/>
              </w:rPr>
              <w:t>3</w:t>
            </w:r>
            <w:r>
              <w:rPr>
                <w:rFonts w:hAnsi="宋体"/>
                <w:sz w:val="24"/>
              </w:rPr>
              <w:t>LNG</w:t>
            </w:r>
            <w:r>
              <w:rPr>
                <w:rFonts w:hint="eastAsia" w:hAnsi="宋体"/>
                <w:sz w:val="24"/>
              </w:rPr>
              <w:t>储罐</w:t>
            </w:r>
            <w:r>
              <w:rPr>
                <w:rFonts w:hAnsi="宋体"/>
                <w:sz w:val="24"/>
              </w:rPr>
              <w:t xml:space="preserve">1 </w:t>
            </w:r>
            <w:r>
              <w:rPr>
                <w:rFonts w:hint="eastAsia" w:hAnsi="宋体"/>
                <w:sz w:val="24"/>
              </w:rPr>
              <w:t>个，14</w:t>
            </w:r>
            <w:r>
              <w:rPr>
                <w:rFonts w:hAnsi="宋体"/>
                <w:sz w:val="24"/>
              </w:rPr>
              <w:t>m</w:t>
            </w:r>
            <w:r>
              <w:rPr>
                <w:rFonts w:hAnsi="宋体"/>
                <w:sz w:val="24"/>
                <w:vertAlign w:val="superscript"/>
              </w:rPr>
              <w:t>3</w:t>
            </w:r>
            <w:r>
              <w:rPr>
                <w:rFonts w:hAnsi="宋体"/>
                <w:sz w:val="24"/>
              </w:rPr>
              <w:t>CNG</w:t>
            </w:r>
            <w:r>
              <w:rPr>
                <w:rFonts w:hint="eastAsia" w:hAnsi="宋体"/>
                <w:sz w:val="24"/>
              </w:rPr>
              <w:t>储气井</w:t>
            </w:r>
            <w:r>
              <w:rPr>
                <w:rFonts w:hAnsi="宋体"/>
                <w:sz w:val="24"/>
              </w:rPr>
              <w:t>1</w:t>
            </w:r>
            <w:r>
              <w:rPr>
                <w:rFonts w:hint="eastAsia" w:hAnsi="宋体"/>
                <w:sz w:val="24"/>
              </w:rPr>
              <w:t>套，为二级加气站。拟建站总共分成三个区域，即CNG加气工艺区、天然气加气区及站房区，</w:t>
            </w:r>
            <w:r>
              <w:rPr>
                <w:rFonts w:hAnsi="宋体"/>
                <w:sz w:val="24"/>
              </w:rPr>
              <w:t>本站总图设计是根据站区的地理位置、建设规模、交通运输、气象等条件，按照当地规划部门、城建部门对站区平面布置的要求，本着有利生产、方便管理、确保安全、保护环境，结合场地建设的具体情况，并参照国内外同类设计先例的经验来布置的。</w:t>
            </w:r>
            <w:r>
              <w:rPr>
                <w:rFonts w:hint="eastAsia" w:hAnsi="宋体"/>
                <w:sz w:val="24"/>
              </w:rPr>
              <w:t>站房区设置于厂区的西面，内设配电房和消防水池，加气区位于厂区东侧，内设双枪三线制</w:t>
            </w:r>
            <w:r>
              <w:rPr>
                <w:rFonts w:hAnsi="宋体"/>
                <w:sz w:val="24"/>
              </w:rPr>
              <w:t>CNG</w:t>
            </w:r>
            <w:r>
              <w:rPr>
                <w:rFonts w:hint="eastAsia" w:hAnsi="宋体"/>
                <w:sz w:val="24"/>
              </w:rPr>
              <w:t>加气机3台，LNG加气机2台，CNG加气站工艺区位于站房的下方，其中气化站站房、消防水池和公用工程均为华润燃气集团有限公司原有设施，本项目建设公司部分产权也隶属于华润燃气集团有限公司</w:t>
            </w:r>
            <w:r>
              <w:rPr>
                <w:rFonts w:hint="eastAsia" w:ascii="Times New Roman" w:hAnsi="Times New Roman"/>
                <w:color w:val="000000" w:themeColor="text1"/>
                <w:sz w:val="24"/>
              </w:rPr>
              <w:t>。</w:t>
            </w:r>
            <w:r>
              <w:rPr>
                <w:rFonts w:hint="eastAsia" w:hAnsi="宋体"/>
                <w:sz w:val="24"/>
              </w:rPr>
              <w:t>项目占地11455.37</w:t>
            </w:r>
            <w:r>
              <w:rPr>
                <w:rFonts w:hAnsi="宋体"/>
                <w:sz w:val="24"/>
              </w:rPr>
              <w:t>m</w:t>
            </w:r>
            <w:r>
              <w:rPr>
                <w:rFonts w:hAnsi="宋体"/>
                <w:sz w:val="24"/>
                <w:vertAlign w:val="superscript"/>
              </w:rPr>
              <w:t>2</w:t>
            </w:r>
            <w:r>
              <w:rPr>
                <w:rFonts w:hint="eastAsia" w:hAnsi="宋体"/>
                <w:sz w:val="24"/>
              </w:rPr>
              <w:t>，一座天然气加气站，</w:t>
            </w:r>
            <w:r>
              <w:rPr>
                <w:rFonts w:hAnsi="宋体"/>
                <w:sz w:val="24"/>
              </w:rPr>
              <w:t>CNG加气能力：</w:t>
            </w:r>
            <w:r>
              <w:rPr>
                <w:rFonts w:hint="eastAsia" w:hAnsi="宋体"/>
                <w:sz w:val="24"/>
              </w:rPr>
              <w:t>15</w:t>
            </w:r>
            <w:r>
              <w:rPr>
                <w:rFonts w:hAnsi="宋体"/>
                <w:sz w:val="24"/>
              </w:rPr>
              <w:t>000Nm</w:t>
            </w:r>
            <w:r>
              <w:rPr>
                <w:rFonts w:hAnsi="宋体"/>
                <w:sz w:val="24"/>
                <w:vertAlign w:val="superscript"/>
              </w:rPr>
              <w:t>3</w:t>
            </w:r>
            <w:r>
              <w:rPr>
                <w:rFonts w:hAnsi="宋体"/>
                <w:sz w:val="24"/>
              </w:rPr>
              <w:t>/d</w:t>
            </w:r>
            <w:r>
              <w:rPr>
                <w:rFonts w:hint="eastAsia" w:hAnsi="宋体"/>
                <w:sz w:val="24"/>
              </w:rPr>
              <w:t>，</w:t>
            </w:r>
            <w:r>
              <w:rPr>
                <w:rFonts w:hAnsi="宋体"/>
                <w:sz w:val="24"/>
              </w:rPr>
              <w:t>LNG加气站加气规模：1</w:t>
            </w:r>
            <w:r>
              <w:rPr>
                <w:rFonts w:hint="eastAsia" w:hAnsi="宋体"/>
                <w:sz w:val="24"/>
              </w:rPr>
              <w:t>2</w:t>
            </w:r>
            <w:r>
              <w:rPr>
                <w:rFonts w:hAnsi="宋体"/>
                <w:sz w:val="24"/>
              </w:rPr>
              <w:t>000Nm</w:t>
            </w:r>
            <w:r>
              <w:rPr>
                <w:rFonts w:hAnsi="宋体"/>
                <w:sz w:val="24"/>
                <w:vertAlign w:val="superscript"/>
              </w:rPr>
              <w:t>3</w:t>
            </w:r>
            <w:r>
              <w:rPr>
                <w:rFonts w:hAnsi="宋体"/>
                <w:sz w:val="24"/>
              </w:rPr>
              <w:t>/d</w:t>
            </w:r>
            <w:r>
              <w:rPr>
                <w:rFonts w:hint="eastAsia" w:hAnsi="宋体"/>
                <w:sz w:val="24"/>
                <w:lang w:eastAsia="zh-CN"/>
              </w:rPr>
              <w:t>，</w:t>
            </w:r>
            <w:r>
              <w:rPr>
                <w:rFonts w:hAnsi="宋体"/>
                <w:sz w:val="24"/>
              </w:rPr>
              <w:t>本站为LNG和CNG合建站，LNG储罐规模为60m</w:t>
            </w:r>
            <w:r>
              <w:rPr>
                <w:rFonts w:hAnsi="宋体"/>
                <w:sz w:val="24"/>
                <w:vertAlign w:val="superscript"/>
              </w:rPr>
              <w:t>3</w:t>
            </w:r>
            <w:r>
              <w:rPr>
                <w:rFonts w:hAnsi="宋体"/>
                <w:sz w:val="24"/>
              </w:rPr>
              <w:t>，CNG储气井容积为</w:t>
            </w:r>
            <w:r>
              <w:rPr>
                <w:rFonts w:hint="eastAsia" w:hAnsi="宋体"/>
                <w:sz w:val="24"/>
              </w:rPr>
              <w:t>14</w:t>
            </w:r>
            <w:r>
              <w:rPr>
                <w:rFonts w:hAnsi="宋体"/>
                <w:sz w:val="24"/>
              </w:rPr>
              <w:t>m</w:t>
            </w:r>
            <w:r>
              <w:rPr>
                <w:rFonts w:hAnsi="宋体"/>
                <w:sz w:val="24"/>
                <w:vertAlign w:val="superscript"/>
              </w:rPr>
              <w:t>3</w:t>
            </w:r>
            <w:r>
              <w:rPr>
                <w:rFonts w:hint="eastAsia" w:hAnsi="宋体"/>
                <w:sz w:val="24"/>
              </w:rPr>
              <w:t>，</w:t>
            </w:r>
            <w:r>
              <w:rPr>
                <w:rFonts w:hAnsi="宋体"/>
                <w:sz w:val="24"/>
              </w:rPr>
              <w:t>为</w:t>
            </w:r>
            <w:r>
              <w:rPr>
                <w:rFonts w:hint="eastAsia" w:hAnsi="宋体"/>
                <w:sz w:val="24"/>
              </w:rPr>
              <w:t>二</w:t>
            </w:r>
            <w:r>
              <w:rPr>
                <w:rFonts w:hAnsi="宋体"/>
                <w:sz w:val="24"/>
              </w:rPr>
              <w:t>级站</w:t>
            </w:r>
            <w:r>
              <w:rPr>
                <w:rFonts w:hint="eastAsia" w:hAnsi="宋体"/>
                <w:sz w:val="24"/>
              </w:rPr>
              <w:t>，辅助设施包括站房、户外箱变等。本加气站不修建食堂，不涉及清洗汽车服务，不留扩建余地</w:t>
            </w:r>
            <w:r>
              <w:rPr>
                <w:rFonts w:hint="eastAsia" w:hAnsi="宋体"/>
                <w:sz w:val="24"/>
                <w:lang w:eastAsia="zh-CN"/>
              </w:rPr>
              <w:t>。</w:t>
            </w:r>
          </w:p>
          <w:p>
            <w:pPr>
              <w:pStyle w:val="2"/>
              <w:spacing w:before="0"/>
              <w:ind w:left="0" w:firstLine="482" w:firstLineChars="200"/>
              <w:rPr>
                <w:rFonts w:hint="eastAsia" w:ascii="宋体" w:hAnsi="宋体" w:eastAsia="宋体" w:cs="宋体"/>
                <w:sz w:val="24"/>
                <w:szCs w:val="24"/>
                <w:lang w:eastAsia="zh-CN"/>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lang w:eastAsia="zh-CN"/>
              </w:rPr>
              <w:t>验收综合结论</w:t>
            </w:r>
            <w:r>
              <w:rPr>
                <w:rFonts w:hint="eastAsia" w:ascii="宋体" w:hAnsi="宋体" w:eastAsia="宋体" w:cs="宋体"/>
                <w:sz w:val="24"/>
                <w:szCs w:val="24"/>
                <w:lang w:eastAsia="zh-CN"/>
              </w:rPr>
              <w:t>：</w:t>
            </w:r>
          </w:p>
          <w:p>
            <w:pPr>
              <w:pStyle w:val="2"/>
              <w:spacing w:before="0"/>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依据《建设项目竣工环境保护验收暂行办法》中所规定的九种验收不合格情形，对项目进行逐一对照核查，本项目未出现不合格情形。具体如下表：</w:t>
            </w:r>
          </w:p>
          <w:p>
            <w:pPr>
              <w:pStyle w:val="2"/>
              <w:spacing w:before="0"/>
              <w:ind w:firstLine="480" w:firstLineChars="20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表</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-1   建设项目竣工环境保护验收条件与实际情况对照表</w:t>
            </w:r>
          </w:p>
          <w:tbl>
            <w:tblPr>
              <w:tblStyle w:val="2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7"/>
              <w:gridCol w:w="5148"/>
              <w:gridCol w:w="2663"/>
              <w:gridCol w:w="10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序号</w:t>
                  </w:r>
                </w:p>
              </w:tc>
              <w:tc>
                <w:tcPr>
                  <w:tcW w:w="5148"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不予通过验收的情形</w:t>
                  </w:r>
                </w:p>
              </w:tc>
              <w:tc>
                <w:tcPr>
                  <w:tcW w:w="2663"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项目实际情况</w:t>
                  </w:r>
                </w:p>
              </w:tc>
              <w:tc>
                <w:tcPr>
                  <w:tcW w:w="1026"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结论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1</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未按环境影响报告书（表）及其审批部门审批决定要求建成环境保护设施，或者环境保护设施不能与主体工程同时投产或者使用的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项目环境保护设施建设符合环评及批复要求，且与主体工程同时投产使用</w:t>
                  </w:r>
                </w:p>
              </w:tc>
              <w:tc>
                <w:tcPr>
                  <w:tcW w:w="1026"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2</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污染物排放不符合国家和地方相关标准、环境影响报告书（表）及其审批部门审批决定或者重点污染物排放总量控制指标要求的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经监测污染物排放均达标；项目符合总量控制指标</w:t>
                  </w:r>
                </w:p>
              </w:tc>
              <w:tc>
                <w:tcPr>
                  <w:tcW w:w="1026"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3</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项目未发生重大变动</w:t>
                  </w:r>
                </w:p>
              </w:tc>
              <w:tc>
                <w:tcPr>
                  <w:tcW w:w="1026"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4</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建设过程中造成重大环境污染未治理完成，或者造成重大生态破坏未恢复的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本项目未涉及</w:t>
                  </w:r>
                </w:p>
              </w:tc>
              <w:tc>
                <w:tcPr>
                  <w:tcW w:w="1026"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5</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纳入排污许可管理的建设项目，无证排污或者不按证排污的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本项目已办理排污许可登记</w:t>
                  </w:r>
                </w:p>
              </w:tc>
              <w:tc>
                <w:tcPr>
                  <w:tcW w:w="1026"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9" w:hRule="atLeast"/>
                <w:jc w:val="center"/>
              </w:trPr>
              <w:tc>
                <w:tcPr>
                  <w:tcW w:w="487" w:type="dxa"/>
                  <w:vAlign w:val="center"/>
                </w:tcPr>
                <w:p>
                  <w:pPr>
                    <w:pStyle w:val="29"/>
                    <w:snapToGrid w:val="0"/>
                    <w:ind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rPr>
                    <w:t>6</w:t>
                  </w:r>
                </w:p>
              </w:tc>
              <w:tc>
                <w:tcPr>
                  <w:tcW w:w="5148"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分期建设、分期投入生产或者使用依法应当分期验收的建设项目，其分期建设、分期投入生产或者使用的环境保护设施防治环境污染和生态破坏的能力不能满足其相应主体工程需要的</w:t>
                  </w:r>
                </w:p>
              </w:tc>
              <w:tc>
                <w:tcPr>
                  <w:tcW w:w="2663"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本项目不涉及分期</w:t>
                  </w:r>
                </w:p>
              </w:tc>
              <w:tc>
                <w:tcPr>
                  <w:tcW w:w="1026" w:type="dxa"/>
                  <w:vAlign w:val="center"/>
                </w:tcPr>
                <w:p>
                  <w:pPr>
                    <w:pStyle w:val="29"/>
                    <w:snapToGrid w:val="0"/>
                    <w:ind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87"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rPr>
                    <w:t>7</w:t>
                  </w:r>
                </w:p>
              </w:tc>
              <w:tc>
                <w:tcPr>
                  <w:tcW w:w="5148"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建设单位因该建设项目违反国家和地方环境保护法律法规受到处罚，被责令改正，尚未改正完成的</w:t>
                  </w:r>
                </w:p>
              </w:tc>
              <w:tc>
                <w:tcPr>
                  <w:tcW w:w="2663" w:type="dxa"/>
                  <w:vAlign w:val="center"/>
                </w:tcPr>
                <w:p>
                  <w:pPr>
                    <w:pStyle w:val="29"/>
                    <w:snapToGrid w:val="0"/>
                    <w:ind w:firstLine="0" w:firstLineChars="0"/>
                    <w:jc w:val="both"/>
                    <w:rPr>
                      <w:rFonts w:hint="eastAsia" w:ascii="宋体" w:hAnsi="宋体" w:eastAsia="宋体" w:cs="宋体"/>
                      <w:kern w:val="2"/>
                      <w:sz w:val="24"/>
                      <w:szCs w:val="24"/>
                      <w:lang w:eastAsia="zh-CN"/>
                    </w:rPr>
                  </w:pPr>
                  <w:r>
                    <w:rPr>
                      <w:rFonts w:hint="eastAsia" w:ascii="宋体" w:hAnsi="宋体" w:eastAsia="宋体" w:cs="宋体"/>
                      <w:sz w:val="24"/>
                      <w:szCs w:val="24"/>
                    </w:rPr>
                    <w:t>本项目不涉及此情形</w:t>
                  </w:r>
                </w:p>
              </w:tc>
              <w:tc>
                <w:tcPr>
                  <w:tcW w:w="1026"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487"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rPr>
                    <w:t>8</w:t>
                  </w:r>
                </w:p>
              </w:tc>
              <w:tc>
                <w:tcPr>
                  <w:tcW w:w="5148"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验收报告的基础资料数据明显不实，内容存在重大缺项、遗漏，或者验收结论不明确、不合理的</w:t>
                  </w:r>
                </w:p>
              </w:tc>
              <w:tc>
                <w:tcPr>
                  <w:tcW w:w="2663"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本验收报告数据来自建设单位相关技术资料，来源可靠；报告内容完整，验收结论明确合理</w:t>
                  </w:r>
                </w:p>
              </w:tc>
              <w:tc>
                <w:tcPr>
                  <w:tcW w:w="1026"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rPr>
                    <w:t>不属于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487"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rPr>
                    <w:t>9</w:t>
                  </w:r>
                </w:p>
              </w:tc>
              <w:tc>
                <w:tcPr>
                  <w:tcW w:w="5148"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其他环境保护法律法规规章等规定不得通过环境保护验收的</w:t>
                  </w:r>
                </w:p>
              </w:tc>
              <w:tc>
                <w:tcPr>
                  <w:tcW w:w="2663"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本项目未出现其他环境保护法律法规规章等规定不得通过环境保护验收的</w:t>
                  </w:r>
                </w:p>
              </w:tc>
              <w:tc>
                <w:tcPr>
                  <w:tcW w:w="1026" w:type="dxa"/>
                  <w:vAlign w:val="center"/>
                </w:tcPr>
                <w:p>
                  <w:pPr>
                    <w:pStyle w:val="29"/>
                    <w:snapToGrid w:val="0"/>
                    <w:ind w:firstLine="0" w:firstLineChars="0"/>
                    <w:jc w:val="center"/>
                    <w:rPr>
                      <w:rFonts w:hint="eastAsia" w:ascii="宋体" w:hAnsi="宋体" w:eastAsia="宋体" w:cs="宋体"/>
                      <w:kern w:val="2"/>
                      <w:sz w:val="24"/>
                      <w:szCs w:val="24"/>
                      <w:lang w:eastAsia="zh-CN"/>
                    </w:rPr>
                  </w:pPr>
                  <w:r>
                    <w:rPr>
                      <w:rFonts w:hint="eastAsia" w:ascii="宋体" w:hAnsi="宋体" w:eastAsia="宋体" w:cs="宋体"/>
                      <w:sz w:val="24"/>
                      <w:szCs w:val="24"/>
                      <w:lang w:eastAsia="zh-CN"/>
                    </w:rPr>
                    <w:t>不属于</w:t>
                  </w:r>
                </w:p>
              </w:tc>
            </w:tr>
          </w:tbl>
          <w:p>
            <w:pPr>
              <w:pStyle w:val="2"/>
              <w:spacing w:before="0"/>
              <w:ind w:firstLine="480" w:firstLineChars="200"/>
              <w:jc w:val="center"/>
              <w:rPr>
                <w:rFonts w:hint="eastAsia" w:ascii="宋体" w:hAnsi="宋体" w:eastAsia="宋体" w:cs="宋体"/>
                <w:sz w:val="24"/>
                <w:szCs w:val="24"/>
                <w:lang w:eastAsia="zh-CN"/>
              </w:rPr>
            </w:pPr>
          </w:p>
          <w:p>
            <w:pPr>
              <w:pStyle w:val="2"/>
              <w:spacing w:before="0" w:line="400" w:lineRule="exact"/>
              <w:ind w:left="0"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综上，</w:t>
            </w:r>
            <w:r>
              <w:rPr>
                <w:rFonts w:hint="eastAsia" w:ascii="宋体" w:hAnsi="宋体" w:eastAsia="宋体" w:cs="宋体"/>
                <w:b w:val="0"/>
                <w:bCs w:val="0"/>
                <w:sz w:val="24"/>
                <w:szCs w:val="24"/>
              </w:rPr>
              <w:t>吉安华润清洁能源有限公司吉安市吉福路天然气加气站工程项目</w:t>
            </w:r>
            <w:r>
              <w:rPr>
                <w:rFonts w:hint="eastAsia" w:ascii="宋体" w:hAnsi="宋体" w:eastAsia="宋体" w:cs="宋体"/>
                <w:b w:val="0"/>
                <w:bCs w:val="0"/>
                <w:sz w:val="24"/>
                <w:szCs w:val="24"/>
                <w:u w:val="none"/>
                <w:lang w:val="en-US" w:eastAsia="zh-CN"/>
              </w:rPr>
              <w:t>建设项目</w:t>
            </w:r>
            <w:r>
              <w:rPr>
                <w:rFonts w:hint="eastAsia" w:ascii="宋体" w:hAnsi="宋体" w:eastAsia="宋体" w:cs="宋体"/>
                <w:sz w:val="24"/>
                <w:szCs w:val="24"/>
                <w:lang w:eastAsia="zh-CN"/>
              </w:rPr>
              <w:t>在实施过程中按照环评及其批复要求落实了相关环保措施，污染物排放达到了相关排放标准，符合建设项目竣工环境保护验收条件。因此，本项目可通过建设项目竣工环境保护设施验收。</w:t>
            </w:r>
          </w:p>
          <w:p>
            <w:pPr>
              <w:pStyle w:val="2"/>
              <w:spacing w:before="0" w:line="400" w:lineRule="exact"/>
              <w:ind w:left="0"/>
              <w:rPr>
                <w:rFonts w:hint="eastAsia" w:ascii="宋体" w:hAnsi="宋体" w:eastAsia="宋体" w:cs="宋体"/>
                <w:sz w:val="24"/>
                <w:szCs w:val="24"/>
                <w:lang w:eastAsia="zh-CN"/>
              </w:rPr>
            </w:pPr>
            <w:r>
              <w:rPr>
                <w:rFonts w:hint="eastAsia" w:ascii="宋体" w:hAnsi="宋体" w:eastAsia="宋体" w:cs="宋体"/>
                <w:b/>
                <w:bCs/>
                <w:sz w:val="24"/>
                <w:szCs w:val="24"/>
                <w:lang w:eastAsia="zh-CN"/>
              </w:rPr>
              <w:t>建议：</w:t>
            </w:r>
          </w:p>
          <w:p>
            <w:pPr>
              <w:keepNext w:val="0"/>
              <w:keepLines w:val="0"/>
              <w:pageBreakBefore w:val="0"/>
              <w:widowControl/>
              <w:kinsoku/>
              <w:wordWrap/>
              <w:overflowPunct/>
              <w:topLinePunct w:val="0"/>
              <w:bidi w:val="0"/>
              <w:spacing w:line="360" w:lineRule="auto"/>
              <w:textAlignment w:val="auto"/>
              <w:rPr>
                <w:rFonts w:ascii="宋体" w:hAnsi="宋体" w:eastAsia="宋体"/>
                <w:sz w:val="24"/>
                <w:szCs w:val="24"/>
              </w:rPr>
            </w:pPr>
            <w:r>
              <w:rPr>
                <w:rFonts w:hint="eastAsia" w:ascii="宋体" w:hAnsi="宋体" w:eastAsia="宋体"/>
                <w:sz w:val="24"/>
                <w:szCs w:val="24"/>
              </w:rPr>
              <w:t>1、</w:t>
            </w:r>
            <w:r>
              <w:rPr>
                <w:rFonts w:hint="eastAsia" w:ascii="宋体" w:hAnsi="宋体" w:eastAsia="宋体"/>
                <w:sz w:val="24"/>
                <w:szCs w:val="24"/>
                <w:lang w:eastAsia="zh-CN"/>
              </w:rPr>
              <w:t>加强生产污水治理措施的运行管理，确保生活污水经处理后长期稳定达标排放</w:t>
            </w:r>
            <w:r>
              <w:rPr>
                <w:rFonts w:hint="eastAsia" w:cs="宋体" w:asciiTheme="minorEastAsia" w:hAnsiTheme="minorEastAsia" w:eastAsiaTheme="minorEastAsia"/>
                <w:kern w:val="0"/>
                <w:sz w:val="24"/>
                <w:szCs w:val="24"/>
              </w:rPr>
              <w:t>。</w:t>
            </w:r>
          </w:p>
          <w:p>
            <w:pPr>
              <w:keepNext w:val="0"/>
              <w:keepLines w:val="0"/>
              <w:pageBreakBefore w:val="0"/>
              <w:widowControl/>
              <w:kinsoku/>
              <w:wordWrap/>
              <w:overflowPunct/>
              <w:topLinePunct w:val="0"/>
              <w:bidi w:val="0"/>
              <w:spacing w:line="360" w:lineRule="auto"/>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、加强</w:t>
            </w:r>
            <w:r>
              <w:rPr>
                <w:rFonts w:hint="eastAsia" w:asciiTheme="minorEastAsia" w:hAnsiTheme="minorEastAsia" w:eastAsiaTheme="minorEastAsia" w:cstheme="minorEastAsia"/>
                <w:sz w:val="24"/>
                <w:szCs w:val="24"/>
                <w:lang w:eastAsia="zh-CN"/>
              </w:rPr>
              <w:t>废气</w:t>
            </w:r>
            <w:r>
              <w:rPr>
                <w:rFonts w:hint="eastAsia" w:ascii="宋体" w:hAnsi="宋体" w:eastAsia="宋体"/>
                <w:sz w:val="24"/>
                <w:szCs w:val="24"/>
                <w:lang w:eastAsia="zh-CN"/>
              </w:rPr>
              <w:t>治理措施的运行管理，加强车间通风、机械排放措施，减轻无组织废气对周边环境的影响</w:t>
            </w:r>
            <w:r>
              <w:rPr>
                <w:rFonts w:hint="eastAsia" w:cs="宋体" w:asciiTheme="minorEastAsia" w:hAnsiTheme="minorEastAsia" w:eastAsiaTheme="minorEastAsia"/>
                <w:kern w:val="0"/>
                <w:sz w:val="24"/>
                <w:szCs w:val="24"/>
              </w:rPr>
              <w:t>。</w:t>
            </w:r>
          </w:p>
          <w:p>
            <w:pPr>
              <w:keepNext w:val="0"/>
              <w:keepLines w:val="0"/>
              <w:pageBreakBefore w:val="0"/>
              <w:widowControl/>
              <w:kinsoku/>
              <w:wordWrap/>
              <w:overflowPunct/>
              <w:topLinePunct w:val="0"/>
              <w:bidi w:val="0"/>
              <w:spacing w:line="360" w:lineRule="auto"/>
              <w:textAlignment w:val="auto"/>
              <w:rPr>
                <w:rFonts w:hint="eastAsia" w:ascii="Times New Roman" w:hAnsi="Times New Roman" w:eastAsia="宋体"/>
                <w:sz w:val="24"/>
                <w:szCs w:val="24"/>
                <w:lang w:val="en-US" w:eastAsia="zh-CN"/>
              </w:rPr>
            </w:pPr>
            <w:r>
              <w:rPr>
                <w:rFonts w:hint="eastAsia" w:cs="宋体" w:asciiTheme="minorEastAsia" w:hAnsiTheme="minorEastAsia" w:eastAsiaTheme="minorEastAsia"/>
                <w:kern w:val="0"/>
                <w:sz w:val="24"/>
                <w:szCs w:val="24"/>
                <w:lang w:val="en-US" w:eastAsia="zh-CN"/>
              </w:rPr>
              <w:t>3</w:t>
            </w:r>
            <w:r>
              <w:rPr>
                <w:rFonts w:hint="eastAsia" w:cs="宋体" w:asciiTheme="minorEastAsia" w:hAnsiTheme="minorEastAsia" w:eastAsiaTheme="minorEastAsia"/>
                <w:kern w:val="0"/>
                <w:sz w:val="24"/>
                <w:szCs w:val="24"/>
              </w:rPr>
              <w:t>、</w:t>
            </w:r>
            <w:r>
              <w:rPr>
                <w:rFonts w:hint="eastAsia" w:cs="宋体" w:asciiTheme="minorEastAsia" w:hAnsiTheme="minorEastAsia" w:eastAsiaTheme="minorEastAsia"/>
                <w:kern w:val="0"/>
                <w:sz w:val="24"/>
                <w:szCs w:val="24"/>
                <w:lang w:eastAsia="zh-CN"/>
              </w:rPr>
              <w:t>严格执行各项环境管理制度，规范环保设施运行操作，完善运行期的废水、废气、固体废物等日常巡查和必要的监测工作，建立健全生产装置和环保设施日常运行维护、管理和台账记录，确保各项污染物长期稳定达标排放，杜绝跑、冒、漏、滴以及事故性排放</w:t>
            </w:r>
            <w:r>
              <w:rPr>
                <w:rFonts w:hint="eastAsia" w:cs="宋体" w:asciiTheme="minorEastAsia" w:hAnsiTheme="minorEastAsia" w:eastAsiaTheme="minorEastAsia"/>
                <w:kern w:val="0"/>
                <w:sz w:val="24"/>
                <w:szCs w:val="24"/>
              </w:rPr>
              <w:t>。</w:t>
            </w:r>
          </w:p>
        </w:tc>
      </w:tr>
    </w:tbl>
    <w:p>
      <w:pPr>
        <w:rPr>
          <w:rFonts w:asciiTheme="minorEastAsia" w:hAnsiTheme="minorEastAsia"/>
          <w:b/>
          <w:sz w:val="28"/>
          <w:szCs w:val="28"/>
        </w:rPr>
        <w:sectPr>
          <w:footerReference r:id="rId9" w:type="default"/>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szCs w:val="24"/>
        </w:rPr>
        <w:br w:type="page"/>
      </w:r>
    </w:p>
    <w:p>
      <w:pPr>
        <w:rPr>
          <w:b/>
        </w:rPr>
      </w:pPr>
      <w:r>
        <w:rPr>
          <w:rFonts w:hint="eastAsia"/>
          <w:b/>
        </w:rPr>
        <w:t>附件一：项目相关附图</w:t>
      </w:r>
    </w:p>
    <w:p>
      <w:pPr>
        <w:jc w:val="center"/>
        <w:rPr>
          <w:b/>
        </w:rPr>
      </w:pPr>
      <w:r>
        <w:drawing>
          <wp:inline distT="0" distB="0" distL="114300" distR="114300">
            <wp:extent cx="9774555" cy="4596130"/>
            <wp:effectExtent l="0" t="0" r="17145" b="13970"/>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35"/>
                    <a:stretch>
                      <a:fillRect/>
                    </a:stretch>
                  </pic:blipFill>
                  <pic:spPr>
                    <a:xfrm>
                      <a:off x="0" y="0"/>
                      <a:ext cx="9774555" cy="4596130"/>
                    </a:xfrm>
                    <a:prstGeom prst="rect">
                      <a:avLst/>
                    </a:prstGeom>
                    <a:noFill/>
                    <a:ln>
                      <a:noFill/>
                    </a:ln>
                  </pic:spPr>
                </pic:pic>
              </a:graphicData>
            </a:graphic>
          </wp:inline>
        </w:drawing>
      </w:r>
      <w:r>
        <w:rPr>
          <w:rFonts w:hint="eastAsia"/>
          <w:b/>
        </w:rPr>
        <w:t>附图1：项目地理位置图</w:t>
      </w:r>
    </w:p>
    <w:p>
      <w:pPr>
        <w:rPr>
          <w:b/>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b/>
        </w:rPr>
      </w:pPr>
      <w:r>
        <w:drawing>
          <wp:inline distT="0" distB="0" distL="114300" distR="114300">
            <wp:extent cx="9774555" cy="4953635"/>
            <wp:effectExtent l="0" t="0" r="17145" b="1841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36"/>
                    <a:stretch>
                      <a:fillRect/>
                    </a:stretch>
                  </pic:blipFill>
                  <pic:spPr>
                    <a:xfrm>
                      <a:off x="0" y="0"/>
                      <a:ext cx="9774555" cy="4953635"/>
                    </a:xfrm>
                    <a:prstGeom prst="rect">
                      <a:avLst/>
                    </a:prstGeom>
                    <a:noFill/>
                    <a:ln>
                      <a:noFill/>
                    </a:ln>
                  </pic:spPr>
                </pic:pic>
              </a:graphicData>
            </a:graphic>
          </wp:inline>
        </w:drawing>
      </w:r>
    </w:p>
    <w:p>
      <w:pPr>
        <w:jc w:val="center"/>
        <w:rPr>
          <w:b/>
        </w:rPr>
      </w:pPr>
      <w:r>
        <w:rPr>
          <w:rFonts w:hint="eastAsia"/>
          <w:b/>
        </w:rPr>
        <w:t>附图2：项目周边敏感点分布图</w:t>
      </w:r>
    </w:p>
    <w:p>
      <w:pPr>
        <w:rPr>
          <w:b/>
        </w:rPr>
        <w:sectPr>
          <w:footerReference r:id="rId10" w:type="default"/>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center"/>
        <w:rPr>
          <w:b/>
        </w:rPr>
      </w:pPr>
    </w:p>
    <w:p>
      <w:pPr>
        <w:jc w:val="center"/>
        <w:rPr>
          <w:b/>
        </w:rPr>
      </w:pPr>
      <w:r>
        <w:drawing>
          <wp:inline distT="0" distB="0" distL="114300" distR="114300">
            <wp:extent cx="8353425" cy="4945380"/>
            <wp:effectExtent l="0" t="0" r="9525" b="7620"/>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37"/>
                    <a:stretch>
                      <a:fillRect/>
                    </a:stretch>
                  </pic:blipFill>
                  <pic:spPr>
                    <a:xfrm>
                      <a:off x="0" y="0"/>
                      <a:ext cx="8353425" cy="4945380"/>
                    </a:xfrm>
                    <a:prstGeom prst="rect">
                      <a:avLst/>
                    </a:prstGeom>
                    <a:noFill/>
                    <a:ln>
                      <a:noFill/>
                    </a:ln>
                  </pic:spPr>
                </pic:pic>
              </a:graphicData>
            </a:graphic>
          </wp:inline>
        </w:drawing>
      </w:r>
      <w:r>
        <w:rPr>
          <w:sz w:val="21"/>
        </w:rPr>
        <w:pict>
          <v:rect id="_x0000_s2150" o:spid="_x0000_s2150" o:spt="1" style="position:absolute;left:0pt;margin-left:530.6pt;margin-top:310.3pt;height:60.4pt;width:138.75pt;z-index:252077056;mso-width-relative:page;mso-height-relative:page;" fillcolor="#FFFFFF" filled="t" stroked="t" coordsize="21600,21600">
            <v:path/>
            <v:fill on="t" color2="#FFFFFF" focussize="0,0"/>
            <v:stroke color="#FFFFFF"/>
            <v:imagedata o:title=""/>
            <o:lock v:ext="edit" aspectratio="f"/>
            <v:textbox>
              <w:txbxContent>
                <w:p/>
              </w:txbxContent>
            </v:textbox>
          </v:rect>
        </w:pict>
      </w:r>
    </w:p>
    <w:p>
      <w:pPr>
        <w:ind w:firstLine="420" w:firstLineChars="200"/>
      </w:pPr>
    </w:p>
    <w:p>
      <w:pPr>
        <w:ind w:firstLine="422" w:firstLineChars="200"/>
        <w:jc w:val="center"/>
        <w:rPr>
          <w:b/>
        </w:rPr>
      </w:pPr>
      <w:r>
        <w:rPr>
          <w:rFonts w:hint="eastAsia"/>
          <w:b/>
        </w:rPr>
        <w:t>附图3：项目总平面布置图</w:t>
      </w:r>
    </w:p>
    <w:p>
      <w:pPr>
        <w:rPr>
          <w:b/>
        </w:rPr>
      </w:pPr>
    </w:p>
    <w:p>
      <w:pPr>
        <w:rPr>
          <w:b/>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ind w:firstLine="422" w:firstLineChars="200"/>
        <w:jc w:val="center"/>
        <w:rPr>
          <w:b/>
        </w:rPr>
      </w:pPr>
    </w:p>
    <w:p>
      <w:pPr>
        <w:rPr>
          <w:b/>
        </w:rPr>
      </w:pPr>
    </w:p>
    <w:p>
      <w:pPr>
        <w:pStyle w:val="7"/>
        <w:kinsoku w:val="0"/>
        <w:overflowPunct w:val="0"/>
        <w:spacing w:before="0" w:line="360" w:lineRule="auto"/>
        <w:ind w:left="0" w:firstLine="400" w:firstLineChars="200"/>
        <w:jc w:val="both"/>
        <w:rPr>
          <w:rFonts w:asciiTheme="minorEastAsia" w:hAnsiTheme="minorEastAsia" w:eastAsiaTheme="minorEastAsia"/>
          <w:b w:val="0"/>
          <w:szCs w:val="21"/>
        </w:rPr>
      </w:pPr>
      <w:r>
        <w:rPr>
          <w:rFonts w:hint="eastAsia" w:asciiTheme="minorEastAsia" w:hAnsiTheme="minorEastAsia" w:eastAsiaTheme="minorEastAsia"/>
          <w:w w:val="95"/>
          <w:szCs w:val="21"/>
        </w:rPr>
        <w:t>附件二：建设项目环境保护</w:t>
      </w:r>
      <w:r>
        <w:rPr>
          <w:rFonts w:asciiTheme="minorEastAsia" w:hAnsiTheme="minorEastAsia" w:eastAsiaTheme="minorEastAsia"/>
          <w:w w:val="95"/>
          <w:szCs w:val="21"/>
        </w:rPr>
        <w:t>“</w:t>
      </w:r>
      <w:r>
        <w:rPr>
          <w:rFonts w:hint="eastAsia" w:asciiTheme="minorEastAsia" w:hAnsiTheme="minorEastAsia" w:eastAsiaTheme="minorEastAsia"/>
          <w:w w:val="95"/>
          <w:szCs w:val="21"/>
        </w:rPr>
        <w:t>三同时</w:t>
      </w:r>
      <w:r>
        <w:rPr>
          <w:rFonts w:asciiTheme="minorEastAsia" w:hAnsiTheme="minorEastAsia" w:eastAsiaTheme="minorEastAsia"/>
          <w:w w:val="95"/>
          <w:szCs w:val="21"/>
        </w:rPr>
        <w:t>”</w:t>
      </w:r>
      <w:r>
        <w:rPr>
          <w:rFonts w:hint="eastAsia" w:asciiTheme="minorEastAsia" w:hAnsiTheme="minorEastAsia" w:eastAsiaTheme="minorEastAsia"/>
          <w:w w:val="95"/>
          <w:szCs w:val="21"/>
        </w:rPr>
        <w:t>竣工验收登记表</w:t>
      </w:r>
    </w:p>
    <w:p>
      <w:pPr>
        <w:pStyle w:val="2"/>
        <w:kinsoku w:val="0"/>
        <w:overflowPunct w:val="0"/>
        <w:spacing w:line="360" w:lineRule="auto"/>
        <w:ind w:firstLine="365" w:firstLineChars="200"/>
        <w:jc w:val="center"/>
        <w:rPr>
          <w:rFonts w:hint="eastAsia" w:ascii="宋体" w:hAnsi="宋体" w:eastAsia="宋体" w:cs="宋体"/>
          <w:sz w:val="18"/>
          <w:szCs w:val="18"/>
        </w:rPr>
      </w:pPr>
      <w:r>
        <w:rPr>
          <w:rFonts w:hint="eastAsia" w:ascii="宋体" w:hAnsi="宋体" w:eastAsia="宋体" w:cs="宋体"/>
          <w:b/>
          <w:spacing w:val="1"/>
          <w:sz w:val="18"/>
          <w:szCs w:val="18"/>
        </w:rPr>
        <w:t>建设项目工程竣工环境保护“三同时”验收登记表</w:t>
      </w:r>
    </w:p>
    <w:p>
      <w:pPr>
        <w:pStyle w:val="2"/>
        <w:tabs>
          <w:tab w:val="left" w:pos="4937"/>
          <w:tab w:val="left" w:pos="13450"/>
        </w:tabs>
        <w:kinsoku w:val="0"/>
        <w:overflowPunct w:val="0"/>
        <w:spacing w:line="360" w:lineRule="auto"/>
        <w:rPr>
          <w:rFonts w:hint="eastAsia" w:ascii="宋体" w:hAnsi="宋体" w:eastAsia="宋体" w:cs="宋体"/>
          <w:sz w:val="18"/>
          <w:szCs w:val="18"/>
        </w:rPr>
      </w:pPr>
      <w:r>
        <w:rPr>
          <w:rFonts w:hint="eastAsia" w:ascii="宋体" w:hAnsi="宋体" w:eastAsia="宋体" w:cs="宋体"/>
          <w:b/>
          <w:w w:val="95"/>
          <w:sz w:val="18"/>
          <w:szCs w:val="18"/>
        </w:rPr>
        <w:t>填表单位（盖章）：</w:t>
      </w:r>
      <w:r>
        <w:rPr>
          <w:rFonts w:hint="eastAsia" w:ascii="宋体" w:hAnsi="宋体" w:eastAsia="宋体" w:cs="宋体"/>
          <w:b w:val="0"/>
          <w:bCs w:val="0"/>
          <w:sz w:val="18"/>
          <w:szCs w:val="18"/>
        </w:rPr>
        <w:t>吉安华润清洁能源有限公司</w:t>
      </w:r>
      <w:r>
        <w:rPr>
          <w:rFonts w:hint="eastAsia" w:ascii="宋体" w:hAnsi="宋体" w:eastAsia="宋体" w:cs="宋体"/>
          <w:b/>
          <w:sz w:val="18"/>
          <w:szCs w:val="18"/>
        </w:rPr>
        <w:t xml:space="preserve"> </w:t>
      </w:r>
      <w:r>
        <w:rPr>
          <w:rFonts w:hint="eastAsia" w:ascii="宋体" w:hAnsi="宋体" w:eastAsia="宋体" w:cs="宋体"/>
          <w:sz w:val="18"/>
          <w:szCs w:val="18"/>
        </w:rPr>
        <w:t xml:space="preserve">                                  </w:t>
      </w:r>
      <w:r>
        <w:rPr>
          <w:rFonts w:hint="eastAsia" w:ascii="宋体" w:hAnsi="宋体" w:eastAsia="宋体" w:cs="宋体"/>
          <w:b/>
          <w:w w:val="95"/>
          <w:sz w:val="18"/>
          <w:szCs w:val="18"/>
        </w:rPr>
        <w:t>填表人（签字）：</w:t>
      </w:r>
      <w:r>
        <w:rPr>
          <w:rFonts w:hint="eastAsia" w:ascii="宋体" w:hAnsi="宋体" w:eastAsia="宋体" w:cs="宋体"/>
          <w:b/>
          <w:w w:val="95"/>
          <w:sz w:val="18"/>
          <w:szCs w:val="18"/>
        </w:rPr>
        <w:tab/>
      </w:r>
      <w:r>
        <w:rPr>
          <w:rFonts w:hint="eastAsia" w:ascii="宋体" w:hAnsi="宋体" w:eastAsia="宋体" w:cs="宋体"/>
          <w:b/>
          <w:spacing w:val="1"/>
          <w:sz w:val="18"/>
          <w:szCs w:val="18"/>
        </w:rPr>
        <w:t>项目经办人（签字）：</w:t>
      </w:r>
    </w:p>
    <w:tbl>
      <w:tblPr>
        <w:tblStyle w:val="20"/>
        <w:tblW w:w="21675" w:type="dxa"/>
        <w:jc w:val="center"/>
        <w:tblLayout w:type="fixed"/>
        <w:tblCellMar>
          <w:top w:w="0" w:type="dxa"/>
          <w:left w:w="108" w:type="dxa"/>
          <w:bottom w:w="0" w:type="dxa"/>
          <w:right w:w="108" w:type="dxa"/>
        </w:tblCellMar>
      </w:tblPr>
      <w:tblGrid>
        <w:gridCol w:w="583"/>
        <w:gridCol w:w="229"/>
        <w:gridCol w:w="1499"/>
        <w:gridCol w:w="950"/>
        <w:gridCol w:w="1129"/>
        <w:gridCol w:w="1884"/>
        <w:gridCol w:w="1498"/>
        <w:gridCol w:w="1354"/>
        <w:gridCol w:w="702"/>
        <w:gridCol w:w="802"/>
        <w:gridCol w:w="1554"/>
        <w:gridCol w:w="1623"/>
        <w:gridCol w:w="2353"/>
        <w:gridCol w:w="1224"/>
        <w:gridCol w:w="1275"/>
        <w:gridCol w:w="609"/>
        <w:gridCol w:w="1458"/>
        <w:gridCol w:w="949"/>
      </w:tblGrid>
      <w:tr>
        <w:tblPrEx>
          <w:tblCellMar>
            <w:top w:w="0" w:type="dxa"/>
            <w:left w:w="108" w:type="dxa"/>
            <w:bottom w:w="0" w:type="dxa"/>
            <w:right w:w="108" w:type="dxa"/>
          </w:tblCellMar>
        </w:tblPrEx>
        <w:trPr>
          <w:trHeight w:val="682" w:hRule="exact"/>
          <w:jc w:val="center"/>
        </w:trPr>
        <w:tc>
          <w:tcPr>
            <w:tcW w:w="583" w:type="dxa"/>
            <w:vMerge w:val="restart"/>
            <w:tcBorders>
              <w:top w:val="single" w:color="000000" w:sz="4" w:space="0"/>
              <w:left w:val="single" w:color="000000" w:sz="4" w:space="0"/>
              <w:bottom w:val="single" w:color="000000" w:sz="4" w:space="0"/>
              <w:right w:val="single" w:color="000000" w:sz="4" w:space="0"/>
            </w:tcBorders>
            <w:textDirection w:val="tbRl"/>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建设项目</w:t>
            </w: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项目名称</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r>
              <w:rPr>
                <w:rFonts w:hint="eastAsia" w:ascii="宋体" w:hAnsi="宋体" w:eastAsia="宋体" w:cs="宋体"/>
                <w:b w:val="0"/>
                <w:bCs w:val="0"/>
                <w:sz w:val="18"/>
                <w:szCs w:val="18"/>
              </w:rPr>
              <w:t>吉安华润清洁能源有限公司吉安市吉福路天然气加气站工程项目</w:t>
            </w: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项目代码</w:t>
            </w:r>
          </w:p>
        </w:tc>
        <w:tc>
          <w:tcPr>
            <w:tcW w:w="235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建设地点</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p>
        </w:tc>
      </w:tr>
      <w:tr>
        <w:tblPrEx>
          <w:tblCellMar>
            <w:top w:w="0" w:type="dxa"/>
            <w:left w:w="108" w:type="dxa"/>
            <w:bottom w:w="0" w:type="dxa"/>
            <w:right w:w="108" w:type="dxa"/>
          </w:tblCellMar>
        </w:tblPrEx>
        <w:trPr>
          <w:trHeight w:val="656"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行业类别（分类管理名录）</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建设性质</w:t>
            </w:r>
          </w:p>
        </w:tc>
        <w:tc>
          <w:tcPr>
            <w:tcW w:w="7868" w:type="dxa"/>
            <w:gridSpan w:val="6"/>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新建</w:t>
            </w:r>
          </w:p>
        </w:tc>
      </w:tr>
      <w:tr>
        <w:tblPrEx>
          <w:tblCellMar>
            <w:top w:w="0" w:type="dxa"/>
            <w:left w:w="108" w:type="dxa"/>
            <w:bottom w:w="0" w:type="dxa"/>
            <w:right w:w="108" w:type="dxa"/>
          </w:tblCellMar>
        </w:tblPrEx>
        <w:trPr>
          <w:trHeight w:val="837"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设计生产能力</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实际生产能力</w:t>
            </w:r>
          </w:p>
        </w:tc>
        <w:tc>
          <w:tcPr>
            <w:tcW w:w="235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环评单位</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p>
        </w:tc>
      </w:tr>
      <w:tr>
        <w:tblPrEx>
          <w:tblCellMar>
            <w:top w:w="0" w:type="dxa"/>
            <w:left w:w="108" w:type="dxa"/>
            <w:bottom w:w="0" w:type="dxa"/>
            <w:right w:w="108" w:type="dxa"/>
          </w:tblCellMar>
        </w:tblPrEx>
        <w:trPr>
          <w:trHeight w:val="746"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环评文件审批机关</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eastAsia="zh-CN"/>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审批文号</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环评文件类型</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报告表</w:t>
            </w:r>
          </w:p>
        </w:tc>
      </w:tr>
      <w:tr>
        <w:tblPrEx>
          <w:tblCellMar>
            <w:top w:w="0" w:type="dxa"/>
            <w:left w:w="108" w:type="dxa"/>
            <w:bottom w:w="0" w:type="dxa"/>
            <w:right w:w="108" w:type="dxa"/>
          </w:tblCellMar>
        </w:tblPrEx>
        <w:trPr>
          <w:trHeight w:val="328"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开工日期</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竣工日期</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排污许可证申领时间</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eastAsia="zh-CN"/>
              </w:rPr>
            </w:pPr>
          </w:p>
        </w:tc>
      </w:tr>
      <w:tr>
        <w:tblPrEx>
          <w:tblCellMar>
            <w:top w:w="0" w:type="dxa"/>
            <w:left w:w="108" w:type="dxa"/>
            <w:bottom w:w="0" w:type="dxa"/>
            <w:right w:w="108" w:type="dxa"/>
          </w:tblCellMar>
        </w:tblPrEx>
        <w:trPr>
          <w:trHeight w:val="328"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环保设施设计单位</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color w:val="000000"/>
                <w:sz w:val="18"/>
                <w:szCs w:val="18"/>
              </w:rPr>
              <w:t>/</w:t>
            </w: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环保设施施工单位</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val="en-US" w:eastAsia="zh-CN"/>
              </w:rPr>
            </w:pPr>
            <w:r>
              <w:rPr>
                <w:rFonts w:hint="eastAsia" w:ascii="宋体" w:hAnsi="宋体" w:eastAsia="宋体" w:cs="宋体"/>
                <w:bCs/>
                <w:sz w:val="18"/>
                <w:szCs w:val="18"/>
                <w:lang w:val="en-US" w:eastAsia="zh-CN"/>
              </w:rPr>
              <w:t>/</w:t>
            </w: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本工程排污许可证编号</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46"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验收单位</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江西</w:t>
            </w:r>
            <w:r>
              <w:rPr>
                <w:rFonts w:hint="eastAsia" w:ascii="宋体" w:hAnsi="宋体" w:eastAsia="宋体" w:cs="宋体"/>
                <w:bCs/>
                <w:sz w:val="18"/>
                <w:szCs w:val="18"/>
                <w:lang w:eastAsia="zh-CN"/>
              </w:rPr>
              <w:t>中明检测</w:t>
            </w:r>
            <w:r>
              <w:rPr>
                <w:rFonts w:hint="eastAsia" w:ascii="宋体" w:hAnsi="宋体" w:eastAsia="宋体" w:cs="宋体"/>
                <w:bCs/>
                <w:sz w:val="18"/>
                <w:szCs w:val="18"/>
              </w:rPr>
              <w:t>有限公司</w:t>
            </w: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环保设施监测单位</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验收监测时工况</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r>
      <w:tr>
        <w:tblPrEx>
          <w:tblCellMar>
            <w:top w:w="0" w:type="dxa"/>
            <w:left w:w="108" w:type="dxa"/>
            <w:bottom w:w="0" w:type="dxa"/>
            <w:right w:w="108" w:type="dxa"/>
          </w:tblCellMar>
        </w:tblPrEx>
        <w:trPr>
          <w:trHeight w:val="329"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投资总概算（万元）</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环保投资总概算（万元）</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Cs/>
                <w:sz w:val="18"/>
                <w:szCs w:val="18"/>
                <w:lang w:val="en-US" w:eastAsia="zh-CN"/>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所占比例（%）</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Cs/>
                <w:sz w:val="18"/>
                <w:szCs w:val="18"/>
                <w:lang w:val="en-US" w:eastAsia="zh-CN"/>
              </w:rPr>
            </w:pPr>
          </w:p>
        </w:tc>
      </w:tr>
      <w:tr>
        <w:tblPrEx>
          <w:tblCellMar>
            <w:top w:w="0" w:type="dxa"/>
            <w:left w:w="108" w:type="dxa"/>
            <w:bottom w:w="0" w:type="dxa"/>
            <w:right w:w="108" w:type="dxa"/>
          </w:tblCellMar>
        </w:tblPrEx>
        <w:trPr>
          <w:trHeight w:val="328"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实际总投资</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实际环保投资（万元）</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val="en-US" w:eastAsia="zh-CN"/>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所占比例（%）</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Cs/>
                <w:sz w:val="18"/>
                <w:szCs w:val="18"/>
                <w:lang w:val="en-US" w:eastAsia="zh-CN"/>
              </w:rPr>
            </w:pPr>
          </w:p>
        </w:tc>
      </w:tr>
      <w:tr>
        <w:tblPrEx>
          <w:tblCellMar>
            <w:top w:w="0" w:type="dxa"/>
            <w:left w:w="108" w:type="dxa"/>
            <w:bottom w:w="0" w:type="dxa"/>
            <w:right w:w="108" w:type="dxa"/>
          </w:tblCellMar>
        </w:tblPrEx>
        <w:trPr>
          <w:trHeight w:val="395"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废水治理（万元）</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
                <w:sz w:val="18"/>
                <w:szCs w:val="18"/>
                <w:lang w:val="en-US" w:eastAsia="zh-CN"/>
              </w:rPr>
            </w:pPr>
          </w:p>
        </w:tc>
        <w:tc>
          <w:tcPr>
            <w:tcW w:w="188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废气治理（万元）</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
                <w:sz w:val="18"/>
                <w:szCs w:val="18"/>
                <w:lang w:val="en-US" w:eastAsia="zh-CN"/>
              </w:rPr>
            </w:pPr>
          </w:p>
        </w:tc>
        <w:tc>
          <w:tcPr>
            <w:tcW w:w="2056"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噪声治理（万元）</w:t>
            </w:r>
          </w:p>
        </w:tc>
        <w:tc>
          <w:tcPr>
            <w:tcW w:w="802"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default" w:ascii="宋体" w:hAnsi="宋体" w:eastAsia="宋体" w:cs="宋体"/>
                <w:b/>
                <w:sz w:val="18"/>
                <w:szCs w:val="18"/>
                <w:lang w:val="en-US" w:eastAsia="zh-CN"/>
              </w:rPr>
            </w:pP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固体废物治理（万元）</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val="en-US" w:eastAsia="zh-CN"/>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绿化及生态（万元）</w:t>
            </w:r>
          </w:p>
        </w:tc>
        <w:tc>
          <w:tcPr>
            <w:tcW w:w="60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lang w:eastAsia="zh-CN"/>
              </w:rPr>
            </w:pPr>
          </w:p>
        </w:tc>
        <w:tc>
          <w:tcPr>
            <w:tcW w:w="145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其他（万元）</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lang w:eastAsia="zh-CN"/>
              </w:rPr>
            </w:pPr>
          </w:p>
        </w:tc>
      </w:tr>
      <w:tr>
        <w:tblPrEx>
          <w:tblCellMar>
            <w:top w:w="0" w:type="dxa"/>
            <w:left w:w="108" w:type="dxa"/>
            <w:bottom w:w="0" w:type="dxa"/>
            <w:right w:w="108" w:type="dxa"/>
          </w:tblCellMar>
        </w:tblPrEx>
        <w:trPr>
          <w:trHeight w:val="328" w:hRule="exact"/>
          <w:jc w:val="center"/>
        </w:trPr>
        <w:tc>
          <w:tcPr>
            <w:tcW w:w="58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678"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新增废水处理设施能力</w:t>
            </w:r>
          </w:p>
        </w:tc>
        <w:tc>
          <w:tcPr>
            <w:tcW w:w="7369" w:type="dxa"/>
            <w:gridSpan w:val="6"/>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3177"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新增废气处理设施能力</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年平均工作时</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lang w:val="en-US" w:eastAsia="zh-CN"/>
              </w:rPr>
            </w:pPr>
          </w:p>
        </w:tc>
      </w:tr>
      <w:tr>
        <w:tblPrEx>
          <w:tblCellMar>
            <w:top w:w="0" w:type="dxa"/>
            <w:left w:w="108" w:type="dxa"/>
            <w:bottom w:w="0" w:type="dxa"/>
            <w:right w:w="108" w:type="dxa"/>
          </w:tblCellMar>
        </w:tblPrEx>
        <w:trPr>
          <w:trHeight w:val="329" w:hRule="exact"/>
          <w:jc w:val="center"/>
        </w:trPr>
        <w:tc>
          <w:tcPr>
            <w:tcW w:w="3261" w:type="dxa"/>
            <w:gridSpan w:val="4"/>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运营单位</w:t>
            </w:r>
          </w:p>
        </w:tc>
        <w:tc>
          <w:tcPr>
            <w:tcW w:w="3013" w:type="dxa"/>
            <w:gridSpan w:val="2"/>
            <w:tcBorders>
              <w:top w:val="single" w:color="000000" w:sz="4" w:space="0"/>
              <w:left w:val="single" w:color="000000" w:sz="4" w:space="0"/>
              <w:bottom w:val="single" w:color="000000" w:sz="4" w:space="0"/>
              <w:right w:val="single" w:color="000000" w:sz="6" w:space="0"/>
            </w:tcBorders>
            <w:vAlign w:val="center"/>
          </w:tcPr>
          <w:p>
            <w:pPr>
              <w:pStyle w:val="43"/>
              <w:kinsoku w:val="0"/>
              <w:overflowPunct w:val="0"/>
              <w:spacing w:line="360" w:lineRule="auto"/>
              <w:jc w:val="center"/>
              <w:rPr>
                <w:rFonts w:hint="eastAsia" w:ascii="宋体" w:hAnsi="宋体" w:eastAsia="宋体" w:cs="宋体"/>
                <w:b/>
                <w:sz w:val="18"/>
                <w:szCs w:val="18"/>
              </w:rPr>
            </w:pPr>
          </w:p>
        </w:tc>
        <w:tc>
          <w:tcPr>
            <w:tcW w:w="4356" w:type="dxa"/>
            <w:gridSpan w:val="4"/>
            <w:tcBorders>
              <w:top w:val="single" w:color="000000" w:sz="4" w:space="0"/>
              <w:left w:val="single" w:color="000000" w:sz="6"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运营单位社会统一信用代码（或组织机构代码）</w:t>
            </w:r>
          </w:p>
        </w:tc>
        <w:tc>
          <w:tcPr>
            <w:tcW w:w="5530"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p>
        </w:tc>
        <w:tc>
          <w:tcPr>
            <w:tcW w:w="249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验收时间</w:t>
            </w:r>
          </w:p>
        </w:tc>
        <w:tc>
          <w:tcPr>
            <w:tcW w:w="3016" w:type="dxa"/>
            <w:gridSpan w:val="3"/>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20</w:t>
            </w:r>
            <w:r>
              <w:rPr>
                <w:rFonts w:hint="eastAsia" w:ascii="宋体" w:hAnsi="宋体" w:eastAsia="宋体" w:cs="宋体"/>
                <w:bCs/>
                <w:sz w:val="18"/>
                <w:szCs w:val="18"/>
                <w:lang w:val="en-US" w:eastAsia="zh-CN"/>
              </w:rPr>
              <w:t>20</w:t>
            </w:r>
            <w:r>
              <w:rPr>
                <w:rFonts w:hint="eastAsia" w:ascii="宋体" w:hAnsi="宋体" w:eastAsia="宋体" w:cs="宋体"/>
                <w:bCs/>
                <w:sz w:val="18"/>
                <w:szCs w:val="18"/>
              </w:rPr>
              <w:t>年</w:t>
            </w:r>
            <w:r>
              <w:rPr>
                <w:rFonts w:hint="eastAsia" w:ascii="宋体" w:hAnsi="宋体" w:cs="宋体"/>
                <w:bCs/>
                <w:sz w:val="18"/>
                <w:szCs w:val="18"/>
                <w:lang w:val="en-US" w:eastAsia="zh-CN"/>
              </w:rPr>
              <w:t>7</w:t>
            </w:r>
            <w:r>
              <w:rPr>
                <w:rFonts w:hint="eastAsia" w:ascii="宋体" w:hAnsi="宋体" w:eastAsia="宋体" w:cs="宋体"/>
                <w:bCs/>
                <w:sz w:val="18"/>
                <w:szCs w:val="18"/>
              </w:rPr>
              <w:t>月</w:t>
            </w:r>
          </w:p>
        </w:tc>
      </w:tr>
      <w:tr>
        <w:tblPrEx>
          <w:tblCellMar>
            <w:top w:w="0" w:type="dxa"/>
            <w:left w:w="108" w:type="dxa"/>
            <w:bottom w:w="0" w:type="dxa"/>
            <w:right w:w="108" w:type="dxa"/>
          </w:tblCellMar>
        </w:tblPrEx>
        <w:trPr>
          <w:trHeight w:val="1118" w:hRule="exact"/>
          <w:jc w:val="center"/>
        </w:trPr>
        <w:tc>
          <w:tcPr>
            <w:tcW w:w="812" w:type="dxa"/>
            <w:gridSpan w:val="2"/>
            <w:vMerge w:val="restart"/>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污 染 物 排 放 达 标 与 总 量 控 制</w:t>
            </w:r>
          </w:p>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 工 业 建 设 项 目 详 填 ）</w:t>
            </w: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p>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污染物</w:t>
            </w:r>
          </w:p>
        </w:tc>
        <w:tc>
          <w:tcPr>
            <w:tcW w:w="1129"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原有排 放量(1)</w:t>
            </w:r>
          </w:p>
        </w:tc>
        <w:tc>
          <w:tcPr>
            <w:tcW w:w="188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本期工程实际排放浓度(2)</w:t>
            </w:r>
          </w:p>
        </w:tc>
        <w:tc>
          <w:tcPr>
            <w:tcW w:w="149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本期工程允许 排放浓度(3)</w:t>
            </w:r>
          </w:p>
        </w:tc>
        <w:tc>
          <w:tcPr>
            <w:tcW w:w="1354" w:type="dxa"/>
            <w:tcBorders>
              <w:top w:val="single" w:color="000000" w:sz="4" w:space="0"/>
              <w:left w:val="single" w:color="000000" w:sz="4" w:space="0"/>
              <w:bottom w:val="single" w:color="000000" w:sz="4" w:space="0"/>
              <w:right w:val="single" w:color="000000" w:sz="6"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本期工程产 生量(4)</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本期工程自身 削减量(5)</w:t>
            </w:r>
          </w:p>
        </w:tc>
        <w:tc>
          <w:tcPr>
            <w:tcW w:w="155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本期工程实际 排放量(6)</w:t>
            </w:r>
          </w:p>
        </w:tc>
        <w:tc>
          <w:tcPr>
            <w:tcW w:w="162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本期工程核定 排放总量(7)</w:t>
            </w:r>
          </w:p>
        </w:tc>
        <w:tc>
          <w:tcPr>
            <w:tcW w:w="235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本期工程“以新带老” 削减量(8)</w:t>
            </w:r>
          </w:p>
        </w:tc>
        <w:tc>
          <w:tcPr>
            <w:tcW w:w="122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全厂实际排放总量(9)</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全厂核定排放总 量(10)</w:t>
            </w:r>
          </w:p>
        </w:tc>
        <w:tc>
          <w:tcPr>
            <w:tcW w:w="145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区域平衡替代 削减量(11)</w:t>
            </w:r>
          </w:p>
        </w:tc>
        <w:tc>
          <w:tcPr>
            <w:tcW w:w="949"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排放增</w:t>
            </w:r>
          </w:p>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减量</w:t>
            </w:r>
          </w:p>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(12)</w:t>
            </w:r>
          </w:p>
        </w:tc>
      </w:tr>
      <w:tr>
        <w:tblPrEx>
          <w:tblCellMar>
            <w:top w:w="0" w:type="dxa"/>
            <w:left w:w="108" w:type="dxa"/>
            <w:bottom w:w="0" w:type="dxa"/>
            <w:right w:w="108" w:type="dxa"/>
          </w:tblCellMar>
        </w:tblPrEx>
        <w:trPr>
          <w:trHeight w:val="252"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废水</w:t>
            </w:r>
          </w:p>
        </w:tc>
        <w:tc>
          <w:tcPr>
            <w:tcW w:w="1129"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pStyle w:val="43"/>
              <w:kinsoku w:val="0"/>
              <w:overflowPunct w:val="0"/>
              <w:spacing w:line="360" w:lineRule="auto"/>
              <w:jc w:val="center"/>
              <w:rPr>
                <w:rFonts w:hint="eastAsia" w:ascii="宋体" w:hAnsi="宋体" w:eastAsia="宋体" w:cs="宋体"/>
                <w:sz w:val="18"/>
                <w:szCs w:val="18"/>
              </w:rPr>
            </w:pPr>
            <w:r>
              <w:rPr>
                <w:rFonts w:hint="eastAsia" w:ascii="宋体" w:hAnsi="宋体" w:eastAsia="宋体" w:cs="宋体"/>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p>
        </w:tc>
        <w:tc>
          <w:tcPr>
            <w:tcW w:w="162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28"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化学需氧量</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无</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28"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pH值</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无</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29"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悬浮物</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无</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251"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废气</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28"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颗粒物</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无</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252"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2449" w:type="dxa"/>
            <w:gridSpan w:val="2"/>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工业固体废物</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234"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1499" w:type="dxa"/>
            <w:vMerge w:val="restart"/>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与项目有关的</w:t>
            </w:r>
          </w:p>
          <w:p>
            <w:pPr>
              <w:pStyle w:val="43"/>
              <w:kinsoku w:val="0"/>
              <w:overflowPunct w:val="0"/>
              <w:spacing w:line="360" w:lineRule="auto"/>
              <w:jc w:val="center"/>
              <w:rPr>
                <w:rFonts w:hint="eastAsia" w:ascii="宋体" w:hAnsi="宋体" w:eastAsia="宋体" w:cs="宋体"/>
                <w:b/>
                <w:sz w:val="18"/>
                <w:szCs w:val="18"/>
              </w:rPr>
            </w:pPr>
            <w:r>
              <w:rPr>
                <w:rFonts w:hint="eastAsia" w:ascii="宋体" w:hAnsi="宋体" w:eastAsia="宋体" w:cs="宋体"/>
                <w:b/>
                <w:sz w:val="18"/>
                <w:szCs w:val="18"/>
              </w:rPr>
              <w:t>其他特征污染 物</w:t>
            </w:r>
          </w:p>
        </w:tc>
        <w:tc>
          <w:tcPr>
            <w:tcW w:w="950"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328"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1499"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950" w:type="dxa"/>
            <w:tcBorders>
              <w:top w:val="single" w:color="000000" w:sz="4" w:space="0"/>
              <w:left w:val="single" w:color="000000" w:sz="4" w:space="0"/>
              <w:bottom w:val="single" w:color="000000" w:sz="4" w:space="0"/>
              <w:right w:val="single" w:color="000000" w:sz="4" w:space="0"/>
            </w:tcBorders>
            <w:vAlign w:val="center"/>
          </w:tcPr>
          <w:p>
            <w:pPr>
              <w:pStyle w:val="43"/>
              <w:kinsoku w:val="0"/>
              <w:overflowPunct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r>
        <w:tblPrEx>
          <w:tblCellMar>
            <w:top w:w="0" w:type="dxa"/>
            <w:left w:w="108" w:type="dxa"/>
            <w:bottom w:w="0" w:type="dxa"/>
            <w:right w:w="108" w:type="dxa"/>
          </w:tblCellMar>
        </w:tblPrEx>
        <w:trPr>
          <w:trHeight w:val="746" w:hRule="exact"/>
          <w:jc w:val="center"/>
        </w:trPr>
        <w:tc>
          <w:tcPr>
            <w:tcW w:w="812" w:type="dxa"/>
            <w:gridSpan w:val="2"/>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1499"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eastAsia" w:ascii="宋体" w:hAnsi="宋体" w:eastAsia="宋体" w:cs="宋体"/>
                <w:b/>
                <w:sz w:val="18"/>
                <w:szCs w:val="18"/>
              </w:rPr>
            </w:pPr>
          </w:p>
        </w:tc>
        <w:tc>
          <w:tcPr>
            <w:tcW w:w="950"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12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Cs/>
                <w:sz w:val="18"/>
                <w:szCs w:val="18"/>
              </w:rPr>
            </w:pPr>
            <w:r>
              <w:rPr>
                <w:rFonts w:hint="eastAsia" w:ascii="宋体" w:hAnsi="宋体" w:eastAsia="宋体" w:cs="宋体"/>
                <w:bCs/>
                <w:sz w:val="18"/>
                <w:szCs w:val="18"/>
              </w:rPr>
              <w:t>/</w:t>
            </w:r>
          </w:p>
        </w:tc>
        <w:tc>
          <w:tcPr>
            <w:tcW w:w="188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9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354" w:type="dxa"/>
            <w:tcBorders>
              <w:top w:val="single" w:color="000000" w:sz="4" w:space="0"/>
              <w:left w:val="single" w:color="000000" w:sz="4" w:space="0"/>
              <w:bottom w:val="single" w:color="000000" w:sz="4" w:space="0"/>
              <w:right w:val="single" w:color="000000" w:sz="6"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04" w:type="dxa"/>
            <w:gridSpan w:val="2"/>
            <w:tcBorders>
              <w:top w:val="single" w:color="000000" w:sz="4" w:space="0"/>
              <w:left w:val="single" w:color="000000" w:sz="6"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55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62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2353"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224"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884" w:type="dxa"/>
            <w:gridSpan w:val="2"/>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1458"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c>
          <w:tcPr>
            <w:tcW w:w="949" w:type="dxa"/>
            <w:tcBorders>
              <w:top w:val="single" w:color="000000" w:sz="4" w:space="0"/>
              <w:left w:val="single" w:color="000000" w:sz="4" w:space="0"/>
              <w:bottom w:val="single" w:color="000000" w:sz="4" w:space="0"/>
              <w:right w:val="single" w:color="000000" w:sz="4" w:space="0"/>
            </w:tcBorders>
            <w:vAlign w:val="center"/>
          </w:tcPr>
          <w:p>
            <w:pPr>
              <w:autoSpaceDE w:val="0"/>
              <w:autoSpaceDN w:val="0"/>
              <w:adjustRightInd w:val="0"/>
              <w:spacing w:line="360" w:lineRule="auto"/>
              <w:jc w:val="center"/>
              <w:rPr>
                <w:rFonts w:hint="eastAsia" w:ascii="宋体" w:hAnsi="宋体" w:eastAsia="宋体" w:cs="宋体"/>
                <w:b/>
                <w:sz w:val="18"/>
                <w:szCs w:val="18"/>
              </w:rPr>
            </w:pPr>
            <w:r>
              <w:rPr>
                <w:rFonts w:hint="eastAsia" w:ascii="宋体" w:hAnsi="宋体" w:eastAsia="宋体" w:cs="宋体"/>
                <w:bCs/>
                <w:sz w:val="18"/>
                <w:szCs w:val="18"/>
              </w:rPr>
              <w:t>/</w:t>
            </w:r>
          </w:p>
        </w:tc>
      </w:tr>
    </w:tbl>
    <w:p>
      <w:pPr>
        <w:pStyle w:val="2"/>
        <w:kinsoku w:val="0"/>
        <w:overflowPunct w:val="0"/>
        <w:ind w:firstLine="327" w:firstLineChars="200"/>
        <w:rPr>
          <w:rFonts w:hint="eastAsia" w:ascii="宋体" w:hAnsi="宋体" w:eastAsia="宋体" w:cs="宋体"/>
          <w:spacing w:val="-4"/>
          <w:w w:val="95"/>
          <w:sz w:val="18"/>
          <w:szCs w:val="18"/>
        </w:rPr>
      </w:pPr>
      <w:r>
        <w:rPr>
          <w:rFonts w:hint="eastAsia" w:ascii="宋体" w:hAnsi="宋体" w:eastAsia="宋体" w:cs="宋体"/>
          <w:b/>
          <w:spacing w:val="-4"/>
          <w:w w:val="95"/>
          <w:sz w:val="18"/>
          <w:szCs w:val="18"/>
        </w:rPr>
        <w:t>注</w:t>
      </w:r>
      <w:r>
        <w:rPr>
          <w:rFonts w:hint="eastAsia" w:ascii="宋体" w:hAnsi="宋体" w:eastAsia="宋体" w:cs="宋体"/>
          <w:spacing w:val="-4"/>
          <w:w w:val="95"/>
          <w:sz w:val="18"/>
          <w:szCs w:val="18"/>
        </w:rPr>
        <w:t>：1、排放增减量：（+）表示增加，（-）表示减少。</w:t>
      </w:r>
    </w:p>
    <w:p>
      <w:pPr>
        <w:pStyle w:val="2"/>
        <w:numPr>
          <w:ilvl w:val="0"/>
          <w:numId w:val="4"/>
        </w:numPr>
        <w:kinsoku w:val="0"/>
        <w:overflowPunct w:val="0"/>
        <w:autoSpaceDE w:val="0"/>
        <w:autoSpaceDN w:val="0"/>
        <w:adjustRightInd w:val="0"/>
        <w:spacing w:after="0"/>
        <w:ind w:firstLine="326" w:firstLineChars="200"/>
        <w:rPr>
          <w:rFonts w:hint="eastAsia" w:ascii="宋体" w:hAnsi="宋体" w:eastAsia="宋体" w:cs="宋体"/>
          <w:spacing w:val="-3"/>
          <w:w w:val="95"/>
          <w:sz w:val="18"/>
          <w:szCs w:val="18"/>
        </w:rPr>
      </w:pPr>
      <w:r>
        <w:rPr>
          <w:rFonts w:hint="eastAsia" w:ascii="宋体" w:hAnsi="宋体" w:eastAsia="宋体" w:cs="宋体"/>
          <w:spacing w:val="-4"/>
          <w:w w:val="95"/>
          <w:sz w:val="18"/>
          <w:szCs w:val="18"/>
        </w:rPr>
        <w:t>(12)=(6)-(8)-(11)，（9）=(4)-(5)-(8)-</w:t>
      </w:r>
      <w:r>
        <w:rPr>
          <w:rFonts w:hint="eastAsia" w:ascii="宋体" w:hAnsi="宋体" w:eastAsia="宋体" w:cs="宋体"/>
          <w:spacing w:val="-3"/>
          <w:w w:val="95"/>
          <w:sz w:val="18"/>
          <w:szCs w:val="18"/>
        </w:rPr>
        <w:t>(11)+（1）。</w:t>
      </w:r>
    </w:p>
    <w:p>
      <w:pPr>
        <w:pStyle w:val="2"/>
        <w:numPr>
          <w:ilvl w:val="0"/>
          <w:numId w:val="4"/>
        </w:numPr>
        <w:kinsoku w:val="0"/>
        <w:overflowPunct w:val="0"/>
        <w:autoSpaceDE w:val="0"/>
        <w:autoSpaceDN w:val="0"/>
        <w:adjustRightInd w:val="0"/>
        <w:spacing w:after="0"/>
        <w:ind w:firstLine="330" w:firstLineChars="200"/>
        <w:rPr>
          <w:rFonts w:hint="eastAsia" w:ascii="宋体" w:hAnsi="宋体" w:eastAsia="宋体" w:cs="宋体"/>
          <w:sz w:val="18"/>
          <w:szCs w:val="18"/>
        </w:rPr>
      </w:pPr>
      <w:r>
        <w:rPr>
          <w:rFonts w:hint="eastAsia" w:ascii="宋体" w:hAnsi="宋体" w:eastAsia="宋体" w:cs="宋体"/>
          <w:spacing w:val="-3"/>
          <w:w w:val="95"/>
          <w:sz w:val="18"/>
          <w:szCs w:val="18"/>
        </w:rPr>
        <w:t>计量单位：废水排放量——万吨/年；废气排放量——万标立方米/年；工业固体废物排放量——万吨/年；水污染物排放浓度——毫克/升</w:t>
      </w:r>
    </w:p>
    <w:p>
      <w:pPr>
        <w:widowControl/>
        <w:rPr>
          <w:rFonts w:hint="eastAsia" w:ascii="宋体" w:hAnsi="宋体" w:eastAsia="宋体" w:cs="宋体"/>
          <w:sz w:val="18"/>
          <w:szCs w:val="18"/>
        </w:rPr>
      </w:pPr>
    </w:p>
    <w:p>
      <w:pPr>
        <w:widowControl/>
        <w:rPr>
          <w:rFonts w:hint="eastAsia" w:ascii="宋体" w:hAnsi="宋体" w:eastAsia="宋体" w:cs="宋体"/>
          <w:sz w:val="18"/>
          <w:szCs w:val="18"/>
        </w:rPr>
      </w:pPr>
    </w:p>
    <w:p>
      <w:pPr>
        <w:widowControl/>
        <w:rPr>
          <w:szCs w:val="24"/>
        </w:rPr>
      </w:pPr>
    </w:p>
    <w:p>
      <w:pPr>
        <w:widowControl/>
        <w:rPr>
          <w:szCs w:val="24"/>
        </w:rPr>
      </w:pPr>
    </w:p>
    <w:p>
      <w:pPr>
        <w:widowControl/>
        <w:rPr>
          <w:szCs w:val="24"/>
        </w:rPr>
        <w:sectPr>
          <w:pgSz w:w="23757" w:h="16783" w:orient="landscape"/>
          <w:pgMar w:top="1440" w:right="1800" w:bottom="1440" w:left="1800" w:header="794" w:footer="1134" w:gutter="0"/>
          <w:pgBorders>
            <w:top w:val="none" w:sz="0" w:space="0"/>
            <w:left w:val="none" w:sz="0" w:space="0"/>
            <w:bottom w:val="none" w:sz="0" w:space="0"/>
            <w:right w:val="none" w:sz="0" w:space="0"/>
          </w:pgBorders>
          <w:pgNumType w:fmt="decimal"/>
          <w:cols w:space="720" w:num="1"/>
        </w:sectPr>
      </w:pPr>
    </w:p>
    <w:p>
      <w:pPr>
        <w:rPr>
          <w:b/>
          <w:sz w:val="24"/>
          <w:szCs w:val="24"/>
        </w:rPr>
      </w:pPr>
      <w:r>
        <w:rPr>
          <w:rFonts w:hint="eastAsia"/>
          <w:b/>
          <w:sz w:val="24"/>
          <w:szCs w:val="24"/>
        </w:rPr>
        <w:t>附件三：环评批复</w:t>
      </w:r>
    </w:p>
    <w:p>
      <w:pPr>
        <w:rPr>
          <w:b/>
        </w:rPr>
      </w:pPr>
      <w:r>
        <w:drawing>
          <wp:inline distT="0" distB="0" distL="114300" distR="114300">
            <wp:extent cx="5272405" cy="7119620"/>
            <wp:effectExtent l="0" t="0" r="4445" b="508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8"/>
                    <a:stretch>
                      <a:fillRect/>
                    </a:stretch>
                  </pic:blipFill>
                  <pic:spPr>
                    <a:xfrm>
                      <a:off x="0" y="0"/>
                      <a:ext cx="5272405" cy="7119620"/>
                    </a:xfrm>
                    <a:prstGeom prst="rect">
                      <a:avLst/>
                    </a:prstGeom>
                    <a:noFill/>
                    <a:ln>
                      <a:noFill/>
                    </a:ln>
                  </pic:spPr>
                </pic:pic>
              </a:graphicData>
            </a:graphic>
          </wp:inline>
        </w:drawing>
      </w:r>
    </w:p>
    <w:p>
      <w:pPr>
        <w:rPr>
          <w:b/>
        </w:rPr>
      </w:pPr>
    </w:p>
    <w:p>
      <w:pPr>
        <w:rPr>
          <w:b/>
        </w:rPr>
      </w:pPr>
    </w:p>
    <w:p>
      <w:pPr>
        <w:rPr>
          <w:b/>
        </w:rPr>
      </w:pPr>
    </w:p>
    <w:p>
      <w:pPr>
        <w:rPr>
          <w:b/>
        </w:rPr>
      </w:pPr>
    </w:p>
    <w:p>
      <w:pPr>
        <w:rPr>
          <w:b/>
        </w:rPr>
      </w:pPr>
    </w:p>
    <w:p>
      <w:pPr>
        <w:rPr>
          <w:b/>
        </w:rPr>
      </w:pPr>
    </w:p>
    <w:p>
      <w:pPr>
        <w:rPr>
          <w:b/>
        </w:rPr>
      </w:pPr>
    </w:p>
    <w:p>
      <w:pPr>
        <w:rPr>
          <w:b/>
        </w:rPr>
      </w:pPr>
      <w:r>
        <w:drawing>
          <wp:inline distT="0" distB="0" distL="114300" distR="114300">
            <wp:extent cx="5269865" cy="7327900"/>
            <wp:effectExtent l="0" t="0" r="6985"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39"/>
                    <a:stretch>
                      <a:fillRect/>
                    </a:stretch>
                  </pic:blipFill>
                  <pic:spPr>
                    <a:xfrm>
                      <a:off x="0" y="0"/>
                      <a:ext cx="5269865" cy="7327900"/>
                    </a:xfrm>
                    <a:prstGeom prst="rect">
                      <a:avLst/>
                    </a:prstGeom>
                    <a:noFill/>
                    <a:ln>
                      <a:noFill/>
                    </a:ln>
                  </pic:spPr>
                </pic:pic>
              </a:graphicData>
            </a:graphic>
          </wp:inline>
        </w:drawing>
      </w:r>
      <w:r>
        <w:drawing>
          <wp:inline distT="0" distB="0" distL="114300" distR="114300">
            <wp:extent cx="5271135" cy="7266940"/>
            <wp:effectExtent l="0" t="0" r="5715" b="1016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40"/>
                    <a:stretch>
                      <a:fillRect/>
                    </a:stretch>
                  </pic:blipFill>
                  <pic:spPr>
                    <a:xfrm>
                      <a:off x="0" y="0"/>
                      <a:ext cx="5271135" cy="7266940"/>
                    </a:xfrm>
                    <a:prstGeom prst="rect">
                      <a:avLst/>
                    </a:prstGeom>
                    <a:noFill/>
                    <a:ln>
                      <a:noFill/>
                    </a:ln>
                  </pic:spPr>
                </pic:pic>
              </a:graphicData>
            </a:graphic>
          </wp:inline>
        </w:drawing>
      </w:r>
    </w:p>
    <w:p>
      <w:pPr>
        <w:rPr>
          <w:b/>
        </w:rPr>
      </w:pPr>
    </w:p>
    <w:p>
      <w:pPr>
        <w:rPr>
          <w:b/>
        </w:rPr>
      </w:pPr>
    </w:p>
    <w:p>
      <w:pPr>
        <w:rPr>
          <w:b/>
        </w:rPr>
      </w:pPr>
    </w:p>
    <w:p>
      <w:pPr>
        <w:pStyle w:val="25"/>
        <w:rPr>
          <w:b/>
        </w:rPr>
      </w:pPr>
    </w:p>
    <w:p>
      <w:pPr>
        <w:pStyle w:val="25"/>
        <w:rPr>
          <w:b/>
        </w:rPr>
      </w:pPr>
    </w:p>
    <w:p>
      <w:pPr>
        <w:pStyle w:val="24"/>
        <w:rPr>
          <w:rFonts w:hint="eastAsia" w:asciiTheme="minorEastAsia" w:hAnsiTheme="minorEastAsia" w:eastAsiaTheme="minorEastAsia" w:cstheme="minorEastAsia"/>
          <w:sz w:val="24"/>
          <w:szCs w:val="24"/>
        </w:rPr>
      </w:pPr>
    </w:p>
    <w:p>
      <w:pPr>
        <w:pStyle w:val="24"/>
        <w:rPr>
          <w:rFonts w:hint="eastAsia" w:asciiTheme="minorEastAsia" w:hAnsiTheme="minorEastAsia" w:eastAsiaTheme="minorEastAsia" w:cstheme="minorEastAsia"/>
          <w:sz w:val="24"/>
          <w:szCs w:val="24"/>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1770" cy="7781290"/>
            <wp:effectExtent l="0" t="0" r="5080" b="1016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41"/>
                    <a:stretch>
                      <a:fillRect/>
                    </a:stretch>
                  </pic:blipFill>
                  <pic:spPr>
                    <a:xfrm>
                      <a:off x="0" y="0"/>
                      <a:ext cx="5271770" cy="7781290"/>
                    </a:xfrm>
                    <a:prstGeom prst="rect">
                      <a:avLst/>
                    </a:prstGeom>
                    <a:noFill/>
                    <a:ln>
                      <a:noFill/>
                    </a:ln>
                  </pic:spPr>
                </pic:pic>
              </a:graphicData>
            </a:graphic>
          </wp:inline>
        </w:drawing>
      </w:r>
      <w:r>
        <w:drawing>
          <wp:inline distT="0" distB="0" distL="114300" distR="114300">
            <wp:extent cx="5272405" cy="7052945"/>
            <wp:effectExtent l="0" t="0" r="4445" b="1460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2"/>
                    <a:stretch>
                      <a:fillRect/>
                    </a:stretch>
                  </pic:blipFill>
                  <pic:spPr>
                    <a:xfrm>
                      <a:off x="0" y="0"/>
                      <a:ext cx="5272405" cy="7052945"/>
                    </a:xfrm>
                    <a:prstGeom prst="rect">
                      <a:avLst/>
                    </a:prstGeom>
                    <a:noFill/>
                    <a:ln>
                      <a:noFill/>
                    </a:ln>
                  </pic:spPr>
                </pic:pic>
              </a:graphicData>
            </a:graphic>
          </wp:inline>
        </w:drawing>
      </w:r>
    </w:p>
    <w:p>
      <w:pPr>
        <w:rPr>
          <w:rFonts w:hint="eastAsia" w:eastAsiaTheme="minorEastAsia"/>
          <w:b/>
          <w:sz w:val="24"/>
          <w:szCs w:val="24"/>
          <w:lang w:eastAsia="zh-CN"/>
        </w:rPr>
      </w:pPr>
      <w:r>
        <w:rPr>
          <w:rFonts w:hint="eastAsia"/>
          <w:b/>
          <w:sz w:val="24"/>
          <w:szCs w:val="24"/>
        </w:rPr>
        <w:t>附件</w:t>
      </w:r>
      <w:r>
        <w:rPr>
          <w:rFonts w:hint="eastAsia"/>
          <w:b/>
          <w:sz w:val="24"/>
          <w:szCs w:val="24"/>
          <w:lang w:eastAsia="zh-CN"/>
        </w:rPr>
        <w:t>四</w:t>
      </w:r>
      <w:r>
        <w:rPr>
          <w:rFonts w:hint="eastAsia"/>
          <w:b/>
          <w:sz w:val="24"/>
          <w:szCs w:val="24"/>
        </w:rPr>
        <w:t>：</w:t>
      </w:r>
      <w:r>
        <w:rPr>
          <w:rFonts w:hint="eastAsia"/>
          <w:b/>
          <w:sz w:val="24"/>
          <w:szCs w:val="24"/>
          <w:lang w:eastAsia="zh-CN"/>
        </w:rPr>
        <w:t>规划许可</w:t>
      </w:r>
      <w:r>
        <w:rPr>
          <w:rFonts w:hint="eastAsia"/>
          <w:b/>
          <w:sz w:val="24"/>
          <w:szCs w:val="24"/>
        </w:rPr>
        <w:t>证明</w:t>
      </w:r>
      <w:r>
        <w:rPr>
          <w:rFonts w:hint="eastAsia"/>
          <w:b/>
          <w:sz w:val="24"/>
          <w:szCs w:val="24"/>
          <w:lang w:eastAsia="zh-CN"/>
        </w:rPr>
        <w:t>文件</w:t>
      </w:r>
    </w:p>
    <w:p>
      <w:pPr>
        <w:rPr>
          <w:b/>
        </w:rPr>
      </w:pPr>
      <w:r>
        <w:drawing>
          <wp:inline distT="0" distB="0" distL="114300" distR="114300">
            <wp:extent cx="5272405" cy="7747000"/>
            <wp:effectExtent l="0" t="0" r="4445" b="635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43"/>
                    <a:stretch>
                      <a:fillRect/>
                    </a:stretch>
                  </pic:blipFill>
                  <pic:spPr>
                    <a:xfrm>
                      <a:off x="0" y="0"/>
                      <a:ext cx="5272405" cy="7747000"/>
                    </a:xfrm>
                    <a:prstGeom prst="rect">
                      <a:avLst/>
                    </a:prstGeom>
                    <a:noFill/>
                    <a:ln>
                      <a:noFill/>
                    </a:ln>
                  </pic:spPr>
                </pic:pic>
              </a:graphicData>
            </a:graphic>
          </wp:inline>
        </w:drawing>
      </w:r>
    </w:p>
    <w:p>
      <w:pPr>
        <w:rPr>
          <w:b/>
        </w:rPr>
      </w:pPr>
    </w:p>
    <w:p>
      <w:pPr>
        <w:rPr>
          <w:b/>
        </w:rPr>
      </w:pPr>
    </w:p>
    <w:p>
      <w:pPr>
        <w:pStyle w:val="24"/>
        <w:rPr>
          <w:rFonts w:hint="eastAsia" w:asciiTheme="minorEastAsia" w:hAnsiTheme="minorEastAsia" w:eastAsiaTheme="minorEastAsia" w:cstheme="minorEastAsia"/>
          <w:sz w:val="24"/>
          <w:szCs w:val="24"/>
        </w:rPr>
      </w:pPr>
    </w:p>
    <w:p>
      <w:pPr>
        <w:pStyle w:val="24"/>
        <w:rPr>
          <w:rFonts w:hint="eastAsia" w:asciiTheme="minorEastAsia" w:hAnsiTheme="minorEastAsia" w:eastAsiaTheme="minorEastAsia" w:cstheme="minorEastAsia"/>
          <w:sz w:val="24"/>
          <w:szCs w:val="24"/>
        </w:rPr>
        <w:sectPr>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eastAsiaTheme="minorEastAsia"/>
          <w:b/>
          <w:sz w:val="24"/>
          <w:szCs w:val="24"/>
          <w:lang w:eastAsia="zh-CN"/>
        </w:rPr>
      </w:pPr>
      <w:r>
        <w:rPr>
          <w:rFonts w:hint="eastAsia"/>
          <w:b/>
          <w:sz w:val="24"/>
          <w:szCs w:val="24"/>
        </w:rPr>
        <w:t>附件</w:t>
      </w:r>
      <w:r>
        <w:rPr>
          <w:rFonts w:hint="eastAsia"/>
          <w:b/>
          <w:sz w:val="24"/>
          <w:szCs w:val="24"/>
          <w:lang w:eastAsia="zh-CN"/>
        </w:rPr>
        <w:t>五</w:t>
      </w:r>
      <w:r>
        <w:rPr>
          <w:rFonts w:hint="eastAsia"/>
          <w:b/>
          <w:sz w:val="24"/>
          <w:szCs w:val="24"/>
        </w:rPr>
        <w:t>：</w:t>
      </w:r>
      <w:r>
        <w:rPr>
          <w:rFonts w:hint="eastAsia"/>
          <w:b/>
          <w:sz w:val="24"/>
          <w:szCs w:val="24"/>
          <w:lang w:eastAsia="zh-CN"/>
        </w:rPr>
        <w:t>设计图文件</w:t>
      </w:r>
    </w:p>
    <w:p>
      <w:pPr>
        <w:rPr>
          <w:b/>
        </w:rPr>
      </w:pPr>
      <w:r>
        <w:drawing>
          <wp:inline distT="0" distB="0" distL="114300" distR="114300">
            <wp:extent cx="5267325" cy="5569585"/>
            <wp:effectExtent l="0" t="0" r="9525" b="1206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44"/>
                    <a:stretch>
                      <a:fillRect/>
                    </a:stretch>
                  </pic:blipFill>
                  <pic:spPr>
                    <a:xfrm>
                      <a:off x="0" y="0"/>
                      <a:ext cx="5267325" cy="5569585"/>
                    </a:xfrm>
                    <a:prstGeom prst="rect">
                      <a:avLst/>
                    </a:prstGeom>
                    <a:noFill/>
                    <a:ln>
                      <a:noFill/>
                    </a:ln>
                  </pic:spPr>
                </pic:pic>
              </a:graphicData>
            </a:graphic>
          </wp:inline>
        </w:drawing>
      </w:r>
    </w:p>
    <w:p>
      <w:pPr>
        <w:rPr>
          <w:rFonts w:hint="eastAsia"/>
          <w:b/>
        </w:rPr>
      </w:pPr>
    </w:p>
    <w:p>
      <w:pPr>
        <w:rPr>
          <w:rFonts w:hint="eastAsia"/>
          <w:b/>
        </w:rPr>
      </w:pPr>
    </w:p>
    <w:p>
      <w:pPr>
        <w:pStyle w:val="24"/>
        <w:rPr>
          <w:rFonts w:hint="eastAsia" w:asciiTheme="minorEastAsia" w:hAnsiTheme="minorEastAsia" w:eastAsiaTheme="minorEastAsia" w:cstheme="minorEastAsia"/>
          <w:sz w:val="24"/>
          <w:szCs w:val="24"/>
        </w:rPr>
      </w:pPr>
    </w:p>
    <w:p>
      <w:pPr>
        <w:pStyle w:val="24"/>
        <w:rPr>
          <w:rFonts w:hint="eastAsia" w:asciiTheme="minorEastAsia" w:hAnsiTheme="minorEastAsia" w:eastAsiaTheme="minorEastAsia" w:cstheme="minorEastAsia"/>
          <w:sz w:val="24"/>
          <w:szCs w:val="24"/>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b/>
          <w:sz w:val="24"/>
          <w:szCs w:val="24"/>
          <w:lang w:eastAsia="zh-CN"/>
        </w:rPr>
      </w:pPr>
      <w:r>
        <w:rPr>
          <w:rFonts w:hint="eastAsia"/>
          <w:b/>
          <w:sz w:val="24"/>
          <w:szCs w:val="24"/>
        </w:rPr>
        <w:t>附件</w:t>
      </w:r>
      <w:r>
        <w:rPr>
          <w:rFonts w:hint="eastAsia"/>
          <w:b/>
          <w:sz w:val="24"/>
          <w:szCs w:val="24"/>
          <w:lang w:eastAsia="zh-CN"/>
        </w:rPr>
        <w:t>六</w:t>
      </w:r>
      <w:r>
        <w:rPr>
          <w:rFonts w:hint="eastAsia"/>
          <w:b/>
          <w:sz w:val="24"/>
          <w:szCs w:val="24"/>
        </w:rPr>
        <w:t>：</w:t>
      </w:r>
      <w:r>
        <w:rPr>
          <w:rFonts w:hint="eastAsia"/>
          <w:b/>
          <w:sz w:val="24"/>
          <w:szCs w:val="24"/>
          <w:lang w:eastAsia="zh-CN"/>
        </w:rPr>
        <w:t>吉安市发展和改革委员会复函文件</w:t>
      </w:r>
    </w:p>
    <w:p>
      <w:pPr>
        <w:pStyle w:val="25"/>
        <w:rPr>
          <w:rFonts w:hint="eastAsia" w:asciiTheme="minorEastAsia" w:hAnsiTheme="minorEastAsia" w:eastAsiaTheme="minorEastAsia" w:cstheme="minorEastAsia"/>
          <w:sz w:val="24"/>
          <w:szCs w:val="24"/>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1135" cy="6457315"/>
            <wp:effectExtent l="0" t="0" r="5715" b="63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45"/>
                    <a:stretch>
                      <a:fillRect/>
                    </a:stretch>
                  </pic:blipFill>
                  <pic:spPr>
                    <a:xfrm>
                      <a:off x="0" y="0"/>
                      <a:ext cx="5271135" cy="6457315"/>
                    </a:xfrm>
                    <a:prstGeom prst="rect">
                      <a:avLst/>
                    </a:prstGeom>
                    <a:noFill/>
                    <a:ln>
                      <a:noFill/>
                    </a:ln>
                  </pic:spPr>
                </pic:pic>
              </a:graphicData>
            </a:graphic>
          </wp:inline>
        </w:drawing>
      </w:r>
    </w:p>
    <w:p>
      <w:pPr>
        <w:rPr>
          <w:rFonts w:hint="eastAsia"/>
          <w:b/>
          <w:sz w:val="24"/>
          <w:szCs w:val="24"/>
          <w:lang w:eastAsia="zh-CN"/>
        </w:rPr>
      </w:pPr>
      <w:r>
        <w:rPr>
          <w:rFonts w:hint="eastAsia"/>
          <w:b/>
          <w:sz w:val="24"/>
          <w:szCs w:val="24"/>
        </w:rPr>
        <w:t>附件</w:t>
      </w:r>
      <w:r>
        <w:rPr>
          <w:rFonts w:hint="eastAsia"/>
          <w:b/>
          <w:sz w:val="24"/>
          <w:szCs w:val="24"/>
          <w:lang w:eastAsia="zh-CN"/>
        </w:rPr>
        <w:t>七</w:t>
      </w:r>
      <w:r>
        <w:rPr>
          <w:rFonts w:hint="eastAsia"/>
          <w:b/>
          <w:sz w:val="24"/>
          <w:szCs w:val="24"/>
        </w:rPr>
        <w:t>：</w:t>
      </w:r>
      <w:r>
        <w:rPr>
          <w:rFonts w:hint="eastAsia"/>
          <w:b/>
          <w:sz w:val="24"/>
          <w:szCs w:val="24"/>
          <w:lang w:eastAsia="zh-CN"/>
        </w:rPr>
        <w:t>危险废物委托处置协议</w:t>
      </w:r>
    </w:p>
    <w:p>
      <w:pPr>
        <w:pStyle w:val="2"/>
      </w:pPr>
      <w:r>
        <w:drawing>
          <wp:inline distT="0" distB="0" distL="114300" distR="114300">
            <wp:extent cx="6067425" cy="808672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6"/>
                    <a:stretch>
                      <a:fillRect/>
                    </a:stretch>
                  </pic:blipFill>
                  <pic:spPr>
                    <a:xfrm>
                      <a:off x="0" y="0"/>
                      <a:ext cx="6067425" cy="8086725"/>
                    </a:xfrm>
                    <a:prstGeom prst="rect">
                      <a:avLst/>
                    </a:prstGeom>
                    <a:noFill/>
                    <a:ln>
                      <a:noFill/>
                    </a:ln>
                  </pic:spPr>
                </pic:pic>
              </a:graphicData>
            </a:graphic>
          </wp:inline>
        </w:drawing>
      </w:r>
      <w:r>
        <w:drawing>
          <wp:inline distT="0" distB="0" distL="114300" distR="114300">
            <wp:extent cx="6057900" cy="79438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7"/>
                    <a:stretch>
                      <a:fillRect/>
                    </a:stretch>
                  </pic:blipFill>
                  <pic:spPr>
                    <a:xfrm>
                      <a:off x="0" y="0"/>
                      <a:ext cx="6057900" cy="7943850"/>
                    </a:xfrm>
                    <a:prstGeom prst="rect">
                      <a:avLst/>
                    </a:prstGeom>
                    <a:noFill/>
                    <a:ln>
                      <a:noFill/>
                    </a:ln>
                  </pic:spPr>
                </pic:pic>
              </a:graphicData>
            </a:graphic>
          </wp:inline>
        </w:drawing>
      </w:r>
      <w:r>
        <w:drawing>
          <wp:inline distT="0" distB="0" distL="114300" distR="114300">
            <wp:extent cx="5734050" cy="81534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8"/>
                    <a:stretch>
                      <a:fillRect/>
                    </a:stretch>
                  </pic:blipFill>
                  <pic:spPr>
                    <a:xfrm>
                      <a:off x="0" y="0"/>
                      <a:ext cx="5734050" cy="8153400"/>
                    </a:xfrm>
                    <a:prstGeom prst="rect">
                      <a:avLst/>
                    </a:prstGeom>
                    <a:noFill/>
                    <a:ln>
                      <a:noFill/>
                    </a:ln>
                  </pic:spPr>
                </pic:pic>
              </a:graphicData>
            </a:graphic>
          </wp:inline>
        </w:drawing>
      </w:r>
    </w:p>
    <w:p>
      <w:pPr>
        <w:pStyle w:val="2"/>
      </w:pPr>
    </w:p>
    <w:p>
      <w:pPr>
        <w:pStyle w:val="2"/>
      </w:pPr>
    </w:p>
    <w:p>
      <w:pPr>
        <w:spacing w:line="360" w:lineRule="auto"/>
        <w:rPr>
          <w:sz w:val="24"/>
          <w:szCs w:val="24"/>
        </w:rPr>
      </w:pPr>
      <w:r>
        <w:rPr>
          <w:rFonts w:hint="eastAsia" w:ascii="宋体" w:hAnsi="宋体"/>
          <w:sz w:val="24"/>
          <w:szCs w:val="24"/>
        </w:rPr>
        <w:t>附件</w:t>
      </w:r>
      <w:r>
        <w:rPr>
          <w:rFonts w:hint="eastAsia" w:ascii="宋体" w:hAnsi="宋体"/>
          <w:sz w:val="24"/>
          <w:szCs w:val="24"/>
          <w:lang w:eastAsia="zh-CN"/>
        </w:rPr>
        <w:t>八</w:t>
      </w:r>
      <w:r>
        <w:rPr>
          <w:rFonts w:hint="eastAsia" w:ascii="宋体" w:hAnsi="宋体"/>
          <w:sz w:val="24"/>
          <w:szCs w:val="24"/>
        </w:rPr>
        <w:t>、验收组意见</w:t>
      </w:r>
    </w:p>
    <w:p>
      <w:pPr>
        <w:pStyle w:val="52"/>
        <w:keepNext w:val="0"/>
        <w:keepLines w:val="0"/>
        <w:pageBreakBefore w:val="0"/>
        <w:widowControl/>
        <w:kinsoku/>
        <w:wordWrap/>
        <w:overflowPunct/>
        <w:topLinePunct w:val="0"/>
        <w:bidi w:val="0"/>
        <w:spacing w:before="0" w:beforeAutospacing="0" w:after="0" w:afterAutospacing="0" w:line="360" w:lineRule="auto"/>
        <w:jc w:val="center"/>
        <w:textAlignment w:val="auto"/>
        <w:outlineLvl w:val="0"/>
        <w:rPr>
          <w:rFonts w:hint="eastAsia" w:ascii="宋体" w:hAnsi="宋体" w:eastAsia="宋体" w:cs="宋体"/>
          <w:b/>
          <w:bCs w:val="0"/>
          <w:sz w:val="28"/>
          <w:szCs w:val="28"/>
        </w:rPr>
      </w:pPr>
      <w:r>
        <w:rPr>
          <w:rFonts w:hint="eastAsia" w:ascii="宋体" w:hAnsi="宋体" w:eastAsia="宋体" w:cs="宋体"/>
          <w:b/>
          <w:bCs w:val="0"/>
          <w:sz w:val="28"/>
          <w:szCs w:val="28"/>
        </w:rPr>
        <w:t>吉安华润清洁能源有限公司吉安市吉福路天然气加气站工程项目</w:t>
      </w:r>
    </w:p>
    <w:p>
      <w:pPr>
        <w:pStyle w:val="52"/>
        <w:keepNext w:val="0"/>
        <w:keepLines w:val="0"/>
        <w:pageBreakBefore w:val="0"/>
        <w:widowControl/>
        <w:kinsoku/>
        <w:wordWrap/>
        <w:overflowPunct/>
        <w:topLinePunct w:val="0"/>
        <w:bidi w:val="0"/>
        <w:spacing w:before="0" w:beforeAutospacing="0" w:after="0" w:afterAutospacing="0" w:line="360" w:lineRule="auto"/>
        <w:jc w:val="center"/>
        <w:textAlignment w:val="auto"/>
        <w:outlineLvl w:val="0"/>
        <w:rPr>
          <w:rFonts w:hint="eastAsia" w:asciiTheme="minorEastAsia" w:hAnsiTheme="minorEastAsia" w:eastAsiaTheme="minorEastAsia" w:cstheme="minorEastAsia"/>
          <w:color w:val="000000"/>
          <w:sz w:val="28"/>
          <w:szCs w:val="28"/>
        </w:rPr>
      </w:pPr>
      <w:r>
        <w:rPr>
          <w:rFonts w:hint="eastAsia" w:asciiTheme="minorEastAsia" w:hAnsiTheme="minorEastAsia" w:eastAsiaTheme="minorEastAsia" w:cstheme="minorEastAsia"/>
          <w:b/>
          <w:sz w:val="28"/>
          <w:szCs w:val="28"/>
        </w:rPr>
        <w:t>竣工环境保护验收</w:t>
      </w:r>
      <w:r>
        <w:rPr>
          <w:rFonts w:hint="eastAsia" w:asciiTheme="minorEastAsia" w:hAnsiTheme="minorEastAsia" w:eastAsiaTheme="minorEastAsia" w:cstheme="minorEastAsia"/>
          <w:b/>
          <w:kern w:val="0"/>
          <w:sz w:val="28"/>
          <w:szCs w:val="28"/>
        </w:rPr>
        <w:t>组意见</w:t>
      </w:r>
    </w:p>
    <w:p>
      <w:pPr>
        <w:pStyle w:val="52"/>
        <w:keepNext w:val="0"/>
        <w:keepLines w:val="0"/>
        <w:pageBreakBefore w:val="0"/>
        <w:widowControl/>
        <w:kinsoku/>
        <w:wordWrap/>
        <w:overflowPunct/>
        <w:topLinePunct w:val="0"/>
        <w:bidi w:val="0"/>
        <w:spacing w:before="0" w:beforeAutospacing="0" w:after="0" w:afterAutospacing="0" w:line="360" w:lineRule="auto"/>
        <w:jc w:val="center"/>
        <w:textAlignment w:val="auto"/>
        <w:outlineLvl w:val="0"/>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lang w:val="en-US" w:eastAsia="zh-CN"/>
        </w:rPr>
        <w:t xml:space="preserve">    </w:t>
      </w:r>
      <w:r>
        <w:rPr>
          <w:rFonts w:hint="eastAsia" w:asciiTheme="minorEastAsia" w:hAnsiTheme="minorEastAsia" w:eastAsiaTheme="minorEastAsia" w:cstheme="minorEastAsia"/>
          <w:color w:val="000000"/>
          <w:sz w:val="24"/>
          <w:szCs w:val="24"/>
        </w:rPr>
        <w:t>20</w:t>
      </w:r>
      <w:r>
        <w:rPr>
          <w:rFonts w:hint="eastAsia" w:asciiTheme="minorEastAsia" w:hAnsiTheme="minorEastAsia" w:eastAsiaTheme="minorEastAsia" w:cstheme="minorEastAsia"/>
          <w:color w:val="000000"/>
          <w:sz w:val="24"/>
          <w:szCs w:val="24"/>
          <w:lang w:val="en-US" w:eastAsia="zh-CN"/>
        </w:rPr>
        <w:t>20</w:t>
      </w:r>
      <w:r>
        <w:rPr>
          <w:rFonts w:hint="eastAsia" w:asciiTheme="minorEastAsia" w:hAnsiTheme="minorEastAsia" w:eastAsiaTheme="minorEastAsia" w:cstheme="minorEastAsia"/>
          <w:color w:val="000000"/>
          <w:sz w:val="24"/>
          <w:szCs w:val="24"/>
        </w:rPr>
        <w:t>年</w:t>
      </w:r>
      <w:r>
        <w:rPr>
          <w:rFonts w:hint="eastAsia" w:asciiTheme="minorEastAsia" w:hAnsiTheme="minorEastAsia" w:eastAsiaTheme="minorEastAsia" w:cstheme="minorEastAsia"/>
          <w:color w:val="000000"/>
          <w:sz w:val="24"/>
          <w:szCs w:val="24"/>
          <w:lang w:val="en-US" w:eastAsia="zh-CN"/>
        </w:rPr>
        <w:t>8</w:t>
      </w:r>
      <w:r>
        <w:rPr>
          <w:rFonts w:hint="eastAsia" w:asciiTheme="minorEastAsia" w:hAnsiTheme="minorEastAsia" w:eastAsiaTheme="minorEastAsia" w:cstheme="minorEastAsia"/>
          <w:color w:val="000000"/>
          <w:sz w:val="24"/>
          <w:szCs w:val="24"/>
        </w:rPr>
        <w:t>月</w:t>
      </w:r>
      <w:r>
        <w:rPr>
          <w:rFonts w:hint="eastAsia" w:asciiTheme="minorEastAsia" w:hAnsiTheme="minorEastAsia" w:eastAsiaTheme="minorEastAsia" w:cstheme="minorEastAsia"/>
          <w:color w:val="000000"/>
          <w:sz w:val="24"/>
          <w:szCs w:val="24"/>
          <w:lang w:val="en-US" w:eastAsia="zh-CN"/>
        </w:rPr>
        <w:t>15</w:t>
      </w:r>
      <w:r>
        <w:rPr>
          <w:rFonts w:hint="eastAsia" w:asciiTheme="minorEastAsia" w:hAnsiTheme="minorEastAsia" w:eastAsiaTheme="minorEastAsia" w:cstheme="minorEastAsia"/>
          <w:color w:val="000000"/>
          <w:sz w:val="24"/>
          <w:szCs w:val="24"/>
        </w:rPr>
        <w:t>日，</w:t>
      </w:r>
      <w:r>
        <w:rPr>
          <w:rFonts w:hint="eastAsia" w:ascii="宋体" w:hAnsi="宋体" w:eastAsia="宋体" w:cs="宋体"/>
          <w:b w:val="0"/>
          <w:bCs/>
          <w:sz w:val="24"/>
          <w:szCs w:val="24"/>
        </w:rPr>
        <w:t>吉安华润清洁能源有限公司吉安市吉福路天然气加气站工程项目</w:t>
      </w:r>
      <w:r>
        <w:rPr>
          <w:rFonts w:hint="eastAsia" w:asciiTheme="minorEastAsia" w:hAnsiTheme="minorEastAsia" w:eastAsiaTheme="minorEastAsia" w:cstheme="minorEastAsia"/>
          <w:color w:val="000000"/>
          <w:sz w:val="24"/>
          <w:szCs w:val="24"/>
        </w:rPr>
        <w:t>竣工环境保护验收监测报告表并对照《建设项目竣工环境保护验收暂行办法》，严格依照国家有关法律法规、建设项目竣工环境保护验收技术规范/指南、本项目环境影响评价报告表和审批部门审批决定等要求对本项目进行验收，提出意见如下：</w:t>
      </w:r>
    </w:p>
    <w:p>
      <w:pPr>
        <w:pStyle w:val="52"/>
        <w:keepNext w:val="0"/>
        <w:keepLines w:val="0"/>
        <w:pageBreakBefore w:val="0"/>
        <w:widowControl/>
        <w:kinsoku/>
        <w:wordWrap/>
        <w:overflowPunct/>
        <w:topLinePunct w:val="0"/>
        <w:bidi w:val="0"/>
        <w:spacing w:before="0" w:beforeAutospacing="0" w:after="0" w:afterAutospacing="0" w:line="360" w:lineRule="auto"/>
        <w:ind w:firstLine="482" w:firstLineChars="200"/>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一、工程建设基本情况</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（一）建设地点、规模、主要建设内容</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宋体" w:hAnsi="宋体" w:eastAsia="宋体" w:cs="宋体"/>
          <w:color w:val="FF0000"/>
          <w:kern w:val="0"/>
          <w:sz w:val="24"/>
          <w:szCs w:val="24"/>
          <w:lang w:eastAsia="zh-CN"/>
        </w:rPr>
      </w:pPr>
      <w:r>
        <w:rPr>
          <w:rFonts w:hint="eastAsia" w:ascii="宋体" w:hAnsi="宋体" w:eastAsia="宋体" w:cs="宋体"/>
          <w:b w:val="0"/>
          <w:bCs w:val="0"/>
          <w:sz w:val="24"/>
          <w:szCs w:val="24"/>
        </w:rPr>
        <w:t>吉安华润清洁能源有限公司吉安市吉福路天然气加气站工程项目</w:t>
      </w:r>
      <w:r>
        <w:rPr>
          <w:rFonts w:hint="eastAsia" w:cs="宋体"/>
          <w:b w:val="0"/>
          <w:bCs w:val="0"/>
          <w:sz w:val="24"/>
          <w:szCs w:val="24"/>
          <w:lang w:eastAsia="zh-CN"/>
        </w:rPr>
        <w:t>为</w:t>
      </w:r>
      <w:r>
        <w:rPr>
          <w:rFonts w:ascii="Times New Roman" w:hAnsi="Times New Roman"/>
          <w:sz w:val="24"/>
        </w:rPr>
        <w:t>新建</w:t>
      </w:r>
      <w:r>
        <w:rPr>
          <w:rFonts w:hint="eastAsia" w:ascii="Times New Roman" w:hAnsi="Times New Roman"/>
          <w:sz w:val="24"/>
          <w:lang w:eastAsia="zh-CN"/>
        </w:rPr>
        <w:t>项目，</w:t>
      </w:r>
      <w:r>
        <w:rPr>
          <w:rFonts w:ascii="Times New Roman" w:hAnsi="Times New Roman"/>
          <w:sz w:val="24"/>
        </w:rPr>
        <w:t>建设项目厂址</w:t>
      </w:r>
      <w:r>
        <w:rPr>
          <w:rFonts w:hint="eastAsia" w:ascii="Times New Roman" w:hAnsi="Times New Roman"/>
          <w:sz w:val="24"/>
          <w:lang w:eastAsia="zh-CN"/>
        </w:rPr>
        <w:t>在</w:t>
      </w:r>
      <w:r>
        <w:rPr>
          <w:rFonts w:hint="eastAsia"/>
          <w:sz w:val="24"/>
        </w:rPr>
        <w:t>吉安市吉福路与规划四路交叉口东南侧华润燃气气化站内</w:t>
      </w:r>
      <w:r>
        <w:rPr>
          <w:rFonts w:hint="eastAsia"/>
          <w:sz w:val="24"/>
          <w:lang w:eastAsia="zh-CN"/>
        </w:rPr>
        <w:t>。</w:t>
      </w:r>
      <w:r>
        <w:rPr>
          <w:rFonts w:hint="eastAsia" w:hAnsi="宋体"/>
          <w:sz w:val="24"/>
        </w:rPr>
        <w:t>本项目为天然气加气站，设置</w:t>
      </w:r>
      <w:r>
        <w:rPr>
          <w:rFonts w:hAnsi="宋体"/>
          <w:sz w:val="24"/>
        </w:rPr>
        <w:t>60m</w:t>
      </w:r>
      <w:r>
        <w:rPr>
          <w:rFonts w:hAnsi="宋体"/>
          <w:sz w:val="24"/>
          <w:vertAlign w:val="superscript"/>
        </w:rPr>
        <w:t>3</w:t>
      </w:r>
      <w:r>
        <w:rPr>
          <w:rFonts w:hAnsi="宋体"/>
          <w:sz w:val="24"/>
        </w:rPr>
        <w:t>LNG</w:t>
      </w:r>
      <w:r>
        <w:rPr>
          <w:rFonts w:hint="eastAsia" w:hAnsi="宋体"/>
          <w:sz w:val="24"/>
        </w:rPr>
        <w:t>储罐</w:t>
      </w:r>
      <w:r>
        <w:rPr>
          <w:rFonts w:hAnsi="宋体"/>
          <w:sz w:val="24"/>
        </w:rPr>
        <w:t>1</w:t>
      </w:r>
      <w:r>
        <w:rPr>
          <w:rFonts w:hint="eastAsia" w:hAnsi="宋体"/>
          <w:sz w:val="24"/>
        </w:rPr>
        <w:t>个，14</w:t>
      </w:r>
      <w:r>
        <w:rPr>
          <w:rFonts w:hAnsi="宋体"/>
          <w:sz w:val="24"/>
        </w:rPr>
        <w:t>m</w:t>
      </w:r>
      <w:r>
        <w:rPr>
          <w:rFonts w:hAnsi="宋体"/>
          <w:sz w:val="24"/>
          <w:vertAlign w:val="superscript"/>
        </w:rPr>
        <w:t>3</w:t>
      </w:r>
      <w:r>
        <w:rPr>
          <w:rFonts w:hAnsi="宋体"/>
          <w:sz w:val="24"/>
        </w:rPr>
        <w:t>CNG</w:t>
      </w:r>
      <w:r>
        <w:rPr>
          <w:rFonts w:hint="eastAsia" w:hAnsi="宋体"/>
          <w:sz w:val="24"/>
        </w:rPr>
        <w:t>储气井</w:t>
      </w:r>
      <w:r>
        <w:rPr>
          <w:rFonts w:hAnsi="宋体"/>
          <w:sz w:val="24"/>
        </w:rPr>
        <w:t>1</w:t>
      </w:r>
      <w:r>
        <w:rPr>
          <w:rFonts w:hint="eastAsia" w:hAnsi="宋体"/>
          <w:sz w:val="24"/>
        </w:rPr>
        <w:t>套，为二级加气站。拟建站总共分成三个区域，即CNG加气工艺区、天然气加气区及站房区，</w:t>
      </w:r>
      <w:r>
        <w:rPr>
          <w:rFonts w:hAnsi="宋体"/>
          <w:sz w:val="24"/>
        </w:rPr>
        <w:t>本站总图设计是根据站区的地理位置、建设规模、交通运输、气象等条件，按照当地规划部门、城建部门对站区平面布置的要求，本着有利生产、方便管理、确保安全、保护环境，结合场地建设的具体情况，并参照国内外同类设计先例的经验来布置的。</w:t>
      </w:r>
      <w:r>
        <w:rPr>
          <w:rFonts w:hint="eastAsia" w:hAnsi="宋体"/>
          <w:sz w:val="24"/>
        </w:rPr>
        <w:t>站房区设置于厂区的西面，内设配电房和消防水池，加气区位于厂区东侧，内设双枪三线制</w:t>
      </w:r>
      <w:r>
        <w:rPr>
          <w:rFonts w:hAnsi="宋体"/>
          <w:sz w:val="24"/>
        </w:rPr>
        <w:t>CNG</w:t>
      </w:r>
      <w:r>
        <w:rPr>
          <w:rFonts w:hint="eastAsia" w:hAnsi="宋体"/>
          <w:sz w:val="24"/>
        </w:rPr>
        <w:t>加气机3台，LNG加气机2台，CNG加气站工艺区位于站房的下方，其中气化站站房、消防水池和公用工程均为华润燃气集团有限公司原有设施，本项目建设公司部分产权也隶属于华润燃气集团有限公司</w:t>
      </w:r>
      <w:r>
        <w:rPr>
          <w:rFonts w:hint="eastAsia" w:ascii="Times New Roman" w:hAnsi="Times New Roman"/>
          <w:color w:val="000000" w:themeColor="text1"/>
          <w:sz w:val="24"/>
        </w:rPr>
        <w:t>。</w:t>
      </w:r>
      <w:r>
        <w:rPr>
          <w:rFonts w:hint="eastAsia" w:hAnsi="宋体"/>
          <w:sz w:val="24"/>
        </w:rPr>
        <w:t>项目占地11455.37</w:t>
      </w:r>
      <w:r>
        <w:rPr>
          <w:rFonts w:hAnsi="宋体"/>
          <w:sz w:val="24"/>
        </w:rPr>
        <w:t>m</w:t>
      </w:r>
      <w:r>
        <w:rPr>
          <w:rFonts w:hAnsi="宋体"/>
          <w:sz w:val="24"/>
          <w:vertAlign w:val="superscript"/>
        </w:rPr>
        <w:t>2</w:t>
      </w:r>
      <w:r>
        <w:rPr>
          <w:rFonts w:hint="eastAsia" w:hAnsi="宋体"/>
          <w:sz w:val="24"/>
        </w:rPr>
        <w:t>，一座天然气加气站，</w:t>
      </w:r>
      <w:r>
        <w:rPr>
          <w:rFonts w:hAnsi="宋体"/>
          <w:sz w:val="24"/>
        </w:rPr>
        <w:t>CNG加气能力：</w:t>
      </w:r>
      <w:r>
        <w:rPr>
          <w:rFonts w:hint="eastAsia" w:hAnsi="宋体"/>
          <w:sz w:val="24"/>
        </w:rPr>
        <w:t>15</w:t>
      </w:r>
      <w:r>
        <w:rPr>
          <w:rFonts w:hAnsi="宋体"/>
          <w:sz w:val="24"/>
        </w:rPr>
        <w:t>000Nm</w:t>
      </w:r>
      <w:r>
        <w:rPr>
          <w:rFonts w:hAnsi="宋体"/>
          <w:sz w:val="24"/>
          <w:vertAlign w:val="superscript"/>
        </w:rPr>
        <w:t>3</w:t>
      </w:r>
      <w:r>
        <w:rPr>
          <w:rFonts w:hAnsi="宋体"/>
          <w:sz w:val="24"/>
        </w:rPr>
        <w:t>/d</w:t>
      </w:r>
      <w:r>
        <w:rPr>
          <w:rFonts w:hint="eastAsia" w:hAnsi="宋体"/>
          <w:sz w:val="24"/>
        </w:rPr>
        <w:t>，</w:t>
      </w:r>
      <w:r>
        <w:rPr>
          <w:rFonts w:hAnsi="宋体"/>
          <w:sz w:val="24"/>
        </w:rPr>
        <w:t>LNG加气站加气规模：1</w:t>
      </w:r>
      <w:r>
        <w:rPr>
          <w:rFonts w:hint="eastAsia" w:hAnsi="宋体"/>
          <w:sz w:val="24"/>
        </w:rPr>
        <w:t>2</w:t>
      </w:r>
      <w:r>
        <w:rPr>
          <w:rFonts w:hAnsi="宋体"/>
          <w:sz w:val="24"/>
        </w:rPr>
        <w:t>000Nm</w:t>
      </w:r>
      <w:r>
        <w:rPr>
          <w:rFonts w:hAnsi="宋体"/>
          <w:sz w:val="24"/>
          <w:vertAlign w:val="superscript"/>
        </w:rPr>
        <w:t>3</w:t>
      </w:r>
      <w:r>
        <w:rPr>
          <w:rFonts w:hAnsi="宋体"/>
          <w:sz w:val="24"/>
        </w:rPr>
        <w:t>/d</w:t>
      </w:r>
      <w:r>
        <w:rPr>
          <w:rFonts w:hint="eastAsia" w:hAnsi="宋体"/>
          <w:sz w:val="24"/>
          <w:lang w:eastAsia="zh-CN"/>
        </w:rPr>
        <w:t>，</w:t>
      </w:r>
      <w:r>
        <w:rPr>
          <w:rFonts w:hAnsi="宋体"/>
          <w:sz w:val="24"/>
        </w:rPr>
        <w:t>本站为LNG和CNG合建站，LNG储罐规模为60m</w:t>
      </w:r>
      <w:r>
        <w:rPr>
          <w:rFonts w:hAnsi="宋体"/>
          <w:sz w:val="24"/>
          <w:vertAlign w:val="superscript"/>
        </w:rPr>
        <w:t>3</w:t>
      </w:r>
      <w:r>
        <w:rPr>
          <w:rFonts w:hAnsi="宋体"/>
          <w:sz w:val="24"/>
        </w:rPr>
        <w:t>，CNG储气井容积为</w:t>
      </w:r>
      <w:r>
        <w:rPr>
          <w:rFonts w:hint="eastAsia" w:hAnsi="宋体"/>
          <w:sz w:val="24"/>
        </w:rPr>
        <w:t>14</w:t>
      </w:r>
      <w:r>
        <w:rPr>
          <w:rFonts w:hAnsi="宋体"/>
          <w:sz w:val="24"/>
        </w:rPr>
        <w:t>m</w:t>
      </w:r>
      <w:r>
        <w:rPr>
          <w:rFonts w:hAnsi="宋体"/>
          <w:sz w:val="24"/>
          <w:vertAlign w:val="superscript"/>
        </w:rPr>
        <w:t>3</w:t>
      </w:r>
      <w:r>
        <w:rPr>
          <w:rFonts w:hint="eastAsia" w:hAnsi="宋体"/>
          <w:sz w:val="24"/>
        </w:rPr>
        <w:t>，</w:t>
      </w:r>
      <w:r>
        <w:rPr>
          <w:rFonts w:hAnsi="宋体"/>
          <w:sz w:val="24"/>
        </w:rPr>
        <w:t>为</w:t>
      </w:r>
      <w:r>
        <w:rPr>
          <w:rFonts w:hint="eastAsia" w:hAnsi="宋体"/>
          <w:sz w:val="24"/>
        </w:rPr>
        <w:t>二</w:t>
      </w:r>
      <w:r>
        <w:rPr>
          <w:rFonts w:hAnsi="宋体"/>
          <w:sz w:val="24"/>
        </w:rPr>
        <w:t>级站</w:t>
      </w:r>
      <w:r>
        <w:rPr>
          <w:rFonts w:hint="eastAsia" w:hAnsi="宋体"/>
          <w:sz w:val="24"/>
        </w:rPr>
        <w:t>，辅助设施包括站房、户外箱变等。本加气站不修建食堂，不涉及清洗汽车服务，不留扩建余地</w:t>
      </w:r>
      <w:r>
        <w:rPr>
          <w:rFonts w:hint="eastAsia" w:ascii="宋体" w:hAnsi="宋体" w:eastAsia="宋体" w:cs="宋体"/>
          <w:sz w:val="24"/>
          <w:szCs w:val="24"/>
        </w:rPr>
        <w:t>。</w:t>
      </w:r>
    </w:p>
    <w:p>
      <w:pPr>
        <w:keepNext w:val="0"/>
        <w:keepLines w:val="0"/>
        <w:pageBreakBefore w:val="0"/>
        <w:widowControl/>
        <w:shd w:val="clear" w:color="auto" w:fill="FFFFFF"/>
        <w:kinsoku/>
        <w:wordWrap/>
        <w:overflowPunct/>
        <w:topLinePunct w:val="0"/>
        <w:bidi w:val="0"/>
        <w:spacing w:after="0"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（二）建设过程及环保审批情况</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宋体" w:hAnsi="宋体" w:eastAsia="宋体" w:cs="宋体"/>
          <w:b w:val="0"/>
          <w:bCs w:val="0"/>
          <w:sz w:val="24"/>
          <w:szCs w:val="24"/>
        </w:rPr>
        <w:t>吉安华润清洁能源有限公司</w:t>
      </w:r>
      <w:r>
        <w:rPr>
          <w:rFonts w:hint="eastAsia" w:asciiTheme="minorEastAsia" w:hAnsiTheme="minorEastAsia" w:eastAsiaTheme="minorEastAsia" w:cstheme="minorEastAsia"/>
          <w:color w:val="000000" w:themeColor="text1"/>
          <w:sz w:val="24"/>
          <w:szCs w:val="24"/>
          <w:lang w:eastAsia="zh-CN"/>
        </w:rPr>
        <w:t>于</w:t>
      </w:r>
      <w:r>
        <w:rPr>
          <w:rFonts w:hint="eastAsia" w:asciiTheme="minorEastAsia" w:hAnsiTheme="minorEastAsia" w:eastAsiaTheme="minorEastAsia" w:cstheme="minorEastAsia"/>
          <w:color w:val="000000" w:themeColor="text1"/>
          <w:sz w:val="24"/>
          <w:szCs w:val="24"/>
          <w:lang w:val="en-US" w:eastAsia="zh-CN"/>
        </w:rPr>
        <w:t>201</w:t>
      </w:r>
      <w:r>
        <w:rPr>
          <w:rFonts w:hint="eastAsia" w:asciiTheme="minorEastAsia" w:hAnsiTheme="minorEastAsia" w:cstheme="minorEastAsia"/>
          <w:color w:val="000000" w:themeColor="text1"/>
          <w:sz w:val="24"/>
          <w:szCs w:val="24"/>
          <w:lang w:val="en-US" w:eastAsia="zh-CN"/>
        </w:rPr>
        <w:t>4</w:t>
      </w:r>
      <w:r>
        <w:rPr>
          <w:rFonts w:hint="eastAsia" w:asciiTheme="minorEastAsia" w:hAnsiTheme="minorEastAsia" w:eastAsiaTheme="minorEastAsia" w:cstheme="minorEastAsia"/>
          <w:color w:val="000000" w:themeColor="text1"/>
          <w:sz w:val="24"/>
          <w:szCs w:val="24"/>
          <w:lang w:val="en-US" w:eastAsia="zh-CN"/>
        </w:rPr>
        <w:t>年</w:t>
      </w:r>
      <w:r>
        <w:rPr>
          <w:rFonts w:hint="eastAsia" w:asciiTheme="minorEastAsia" w:hAnsiTheme="minorEastAsia" w:cstheme="minorEastAsia"/>
          <w:color w:val="000000" w:themeColor="text1"/>
          <w:sz w:val="24"/>
          <w:szCs w:val="24"/>
          <w:lang w:val="en-US" w:eastAsia="zh-CN"/>
        </w:rPr>
        <w:t>3</w:t>
      </w:r>
      <w:r>
        <w:rPr>
          <w:rFonts w:hint="eastAsia" w:asciiTheme="minorEastAsia" w:hAnsiTheme="minorEastAsia" w:eastAsiaTheme="minorEastAsia" w:cstheme="minorEastAsia"/>
          <w:color w:val="000000" w:themeColor="text1"/>
          <w:sz w:val="24"/>
          <w:szCs w:val="24"/>
          <w:lang w:val="en-US" w:eastAsia="zh-CN"/>
        </w:rPr>
        <w:t>月委托</w:t>
      </w:r>
      <w:r>
        <w:rPr>
          <w:rFonts w:hint="eastAsia" w:asciiTheme="minorEastAsia" w:hAnsiTheme="minorEastAsia" w:cstheme="minorEastAsia"/>
          <w:color w:val="000000" w:themeColor="text1"/>
          <w:sz w:val="24"/>
          <w:szCs w:val="24"/>
          <w:lang w:val="en-US" w:eastAsia="zh-CN"/>
        </w:rPr>
        <w:t>环评单位</w:t>
      </w:r>
      <w:r>
        <w:rPr>
          <w:rFonts w:hint="eastAsia" w:asciiTheme="minorEastAsia" w:hAnsiTheme="minorEastAsia" w:eastAsiaTheme="minorEastAsia" w:cstheme="minorEastAsia"/>
          <w:color w:val="000000" w:themeColor="text1"/>
          <w:sz w:val="24"/>
          <w:szCs w:val="24"/>
          <w:lang w:eastAsia="zh-CN"/>
        </w:rPr>
        <w:t>编制了</w:t>
      </w:r>
      <w:r>
        <w:rPr>
          <w:rFonts w:hint="eastAsia" w:asciiTheme="minorEastAsia" w:hAnsiTheme="minorEastAsia" w:eastAsiaTheme="minorEastAsia" w:cstheme="minorEastAsia"/>
          <w:color w:val="000000" w:themeColor="text1"/>
          <w:sz w:val="24"/>
          <w:szCs w:val="24"/>
        </w:rPr>
        <w:t>《</w:t>
      </w:r>
      <w:r>
        <w:rPr>
          <w:rFonts w:hint="eastAsia" w:ascii="宋体" w:hAnsi="宋体" w:eastAsia="宋体" w:cs="宋体"/>
          <w:b w:val="0"/>
          <w:bCs w:val="0"/>
          <w:sz w:val="24"/>
          <w:szCs w:val="24"/>
        </w:rPr>
        <w:t>吉安华润清洁能源有限公司吉安市吉福路天然气加气站工程项目</w:t>
      </w:r>
      <w:r>
        <w:rPr>
          <w:rFonts w:hint="eastAsia" w:asciiTheme="minorEastAsia" w:hAnsiTheme="minorEastAsia" w:eastAsiaTheme="minorEastAsia" w:cstheme="minorEastAsia"/>
          <w:color w:val="000000" w:themeColor="text1"/>
          <w:sz w:val="24"/>
          <w:szCs w:val="24"/>
          <w:lang w:eastAsia="zh-CN"/>
        </w:rPr>
        <w:t>环境影响报告表</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eastAsia="zh-CN"/>
        </w:rPr>
        <w:t>，</w:t>
      </w:r>
      <w:r>
        <w:rPr>
          <w:rFonts w:hint="eastAsia" w:ascii="宋体" w:hAnsi="宋体"/>
          <w:color w:val="000000" w:themeColor="text1"/>
          <w:sz w:val="24"/>
          <w:szCs w:val="24"/>
          <w:lang w:eastAsia="zh-CN"/>
        </w:rPr>
        <w:t>吉安市生态环境</w:t>
      </w:r>
      <w:r>
        <w:rPr>
          <w:rFonts w:hint="eastAsia" w:ascii="宋体" w:hAnsi="宋体"/>
          <w:color w:val="000000" w:themeColor="text1"/>
          <w:sz w:val="24"/>
          <w:szCs w:val="24"/>
        </w:rPr>
        <w:t>局</w:t>
      </w:r>
      <w:r>
        <w:rPr>
          <w:rFonts w:hint="eastAsia" w:ascii="宋体" w:hAnsi="宋体"/>
          <w:color w:val="000000" w:themeColor="text1"/>
          <w:sz w:val="24"/>
          <w:szCs w:val="24"/>
          <w:lang w:eastAsia="zh-CN"/>
        </w:rPr>
        <w:t>（原吉安市环境保护局）</w:t>
      </w:r>
      <w:r>
        <w:rPr>
          <w:rFonts w:hint="eastAsia" w:asciiTheme="minorEastAsia" w:hAnsiTheme="minorEastAsia" w:eastAsiaTheme="minorEastAsia" w:cstheme="minorEastAsia"/>
          <w:color w:val="000000" w:themeColor="text1"/>
          <w:sz w:val="24"/>
          <w:szCs w:val="24"/>
          <w:lang w:eastAsia="zh-CN"/>
        </w:rPr>
        <w:t>于</w:t>
      </w:r>
      <w:r>
        <w:rPr>
          <w:rFonts w:hint="eastAsia" w:asciiTheme="minorEastAsia" w:hAnsiTheme="minorEastAsia" w:eastAsiaTheme="minorEastAsia" w:cstheme="minorEastAsia"/>
          <w:color w:val="000000" w:themeColor="text1"/>
          <w:sz w:val="24"/>
          <w:szCs w:val="24"/>
          <w:lang w:val="en-US" w:eastAsia="zh-CN"/>
        </w:rPr>
        <w:t>201</w:t>
      </w:r>
      <w:r>
        <w:rPr>
          <w:rFonts w:hint="eastAsia" w:asciiTheme="minorEastAsia" w:hAnsiTheme="minorEastAsia" w:cstheme="minorEastAsia"/>
          <w:color w:val="000000" w:themeColor="text1"/>
          <w:sz w:val="24"/>
          <w:szCs w:val="24"/>
          <w:lang w:val="en-US" w:eastAsia="zh-CN"/>
        </w:rPr>
        <w:t>4</w:t>
      </w:r>
      <w:r>
        <w:rPr>
          <w:rFonts w:hint="eastAsia" w:asciiTheme="minorEastAsia" w:hAnsiTheme="minorEastAsia" w:eastAsiaTheme="minorEastAsia" w:cstheme="minorEastAsia"/>
          <w:color w:val="000000" w:themeColor="text1"/>
          <w:sz w:val="24"/>
          <w:szCs w:val="24"/>
          <w:lang w:val="en-US" w:eastAsia="zh-CN"/>
        </w:rPr>
        <w:t>年</w:t>
      </w:r>
      <w:r>
        <w:rPr>
          <w:rFonts w:hint="eastAsia" w:asciiTheme="minorEastAsia" w:hAnsiTheme="minorEastAsia" w:cstheme="minorEastAsia"/>
          <w:color w:val="000000" w:themeColor="text1"/>
          <w:sz w:val="24"/>
          <w:szCs w:val="24"/>
          <w:lang w:val="en-US" w:eastAsia="zh-CN"/>
        </w:rPr>
        <w:t>6</w:t>
      </w:r>
      <w:r>
        <w:rPr>
          <w:rFonts w:hint="eastAsia" w:asciiTheme="minorEastAsia" w:hAnsiTheme="minorEastAsia" w:eastAsiaTheme="minorEastAsia" w:cstheme="minorEastAsia"/>
          <w:color w:val="000000" w:themeColor="text1"/>
          <w:sz w:val="24"/>
          <w:szCs w:val="24"/>
          <w:lang w:val="en-US" w:eastAsia="zh-CN"/>
        </w:rPr>
        <w:t>月2</w:t>
      </w:r>
      <w:r>
        <w:rPr>
          <w:rFonts w:hint="eastAsia" w:asciiTheme="minorEastAsia" w:hAnsiTheme="minorEastAsia" w:cstheme="minorEastAsia"/>
          <w:color w:val="000000" w:themeColor="text1"/>
          <w:sz w:val="24"/>
          <w:szCs w:val="24"/>
          <w:lang w:val="en-US" w:eastAsia="zh-CN"/>
        </w:rPr>
        <w:t>7</w:t>
      </w:r>
      <w:r>
        <w:rPr>
          <w:rFonts w:hint="eastAsia" w:asciiTheme="minorEastAsia" w:hAnsiTheme="minorEastAsia" w:eastAsiaTheme="minorEastAsia" w:cstheme="minorEastAsia"/>
          <w:color w:val="000000" w:themeColor="text1"/>
          <w:sz w:val="24"/>
          <w:szCs w:val="24"/>
          <w:lang w:val="en-US" w:eastAsia="zh-CN"/>
        </w:rPr>
        <w:t>号对</w:t>
      </w:r>
      <w:r>
        <w:rPr>
          <w:rFonts w:hint="eastAsia" w:asciiTheme="minorEastAsia" w:hAnsiTheme="minorEastAsia" w:eastAsiaTheme="minorEastAsia" w:cstheme="minorEastAsia"/>
          <w:color w:val="000000" w:themeColor="text1"/>
          <w:sz w:val="24"/>
          <w:szCs w:val="24"/>
        </w:rPr>
        <w:t>《</w:t>
      </w:r>
      <w:r>
        <w:rPr>
          <w:rFonts w:hint="eastAsia" w:ascii="宋体" w:hAnsi="宋体" w:eastAsia="宋体" w:cs="宋体"/>
          <w:b w:val="0"/>
          <w:bCs w:val="0"/>
          <w:sz w:val="24"/>
          <w:szCs w:val="24"/>
        </w:rPr>
        <w:t>吉安华润清洁能源有限公司吉安市吉福路天然气加气站工程项目</w:t>
      </w:r>
      <w:r>
        <w:rPr>
          <w:rFonts w:hint="eastAsia" w:asciiTheme="minorEastAsia" w:hAnsiTheme="minorEastAsia" w:eastAsiaTheme="minorEastAsia" w:cstheme="minorEastAsia"/>
          <w:color w:val="000000" w:themeColor="text1"/>
          <w:sz w:val="24"/>
          <w:szCs w:val="24"/>
          <w:lang w:eastAsia="zh-CN"/>
        </w:rPr>
        <w:t>环境影响报告表</w:t>
      </w:r>
      <w:r>
        <w:rPr>
          <w:rFonts w:hint="eastAsia" w:asciiTheme="minorEastAsia" w:hAnsiTheme="minorEastAsia" w:eastAsiaTheme="minorEastAsia" w:cstheme="minorEastAsia"/>
          <w:color w:val="000000" w:themeColor="text1"/>
          <w:sz w:val="24"/>
          <w:szCs w:val="24"/>
        </w:rPr>
        <w:t>的批复》</w:t>
      </w:r>
      <w:r>
        <w:rPr>
          <w:rFonts w:hint="eastAsia" w:asciiTheme="minorEastAsia" w:hAnsiTheme="minorEastAsia" w:cstheme="minorEastAsia"/>
          <w:color w:val="000000" w:themeColor="text1"/>
          <w:sz w:val="24"/>
          <w:szCs w:val="24"/>
          <w:lang w:eastAsia="zh-CN"/>
        </w:rPr>
        <w:t>，</w:t>
      </w:r>
      <w:r>
        <w:rPr>
          <w:rFonts w:hint="eastAsia" w:asciiTheme="minorEastAsia" w:hAnsiTheme="minorEastAsia" w:eastAsiaTheme="minorEastAsia" w:cstheme="minorEastAsia"/>
          <w:color w:val="000000" w:themeColor="text1"/>
          <w:sz w:val="24"/>
          <w:szCs w:val="24"/>
        </w:rPr>
        <w:t>项目从立项至调试过程中有无环境投诉、违法或处罚记录等</w:t>
      </w:r>
      <w:r>
        <w:rPr>
          <w:rFonts w:hint="eastAsia" w:asciiTheme="minorEastAsia" w:hAnsiTheme="minorEastAsia" w:eastAsiaTheme="minorEastAsia" w:cstheme="minorEastAsia"/>
          <w:color w:val="000000" w:themeColor="text1"/>
          <w:sz w:val="24"/>
          <w:szCs w:val="24"/>
          <w:lang w:eastAsia="zh-CN"/>
        </w:rPr>
        <w:t>。</w:t>
      </w:r>
    </w:p>
    <w:p>
      <w:pPr>
        <w:keepNext w:val="0"/>
        <w:keepLines w:val="0"/>
        <w:pageBreakBefore w:val="0"/>
        <w:widowControl/>
        <w:tabs>
          <w:tab w:val="left" w:pos="4305"/>
        </w:tabs>
        <w:kinsoku/>
        <w:wordWrap/>
        <w:overflowPunct/>
        <w:topLinePunct w:val="0"/>
        <w:bidi w:val="0"/>
        <w:spacing w:after="0"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（三）投资情况</w:t>
      </w:r>
    </w:p>
    <w:p>
      <w:pPr>
        <w:keepNext w:val="0"/>
        <w:keepLines w:val="0"/>
        <w:pageBreakBefore w:val="0"/>
        <w:widowControl/>
        <w:tabs>
          <w:tab w:val="left" w:pos="4305"/>
        </w:tabs>
        <w:kinsoku/>
        <w:wordWrap/>
        <w:overflowPunct/>
        <w:topLinePunct w:val="0"/>
        <w:bidi w:val="0"/>
        <w:spacing w:after="0" w:line="360" w:lineRule="auto"/>
        <w:ind w:firstLine="597" w:firstLineChars="249"/>
        <w:textAlignment w:val="auto"/>
        <w:rPr>
          <w:rFonts w:hint="eastAsia" w:asciiTheme="minorEastAsia" w:hAnsiTheme="minorEastAsia" w:eastAsiaTheme="minorEastAsia" w:cstheme="minorEastAsia"/>
          <w:color w:val="FF0000"/>
          <w:sz w:val="24"/>
          <w:szCs w:val="24"/>
        </w:rPr>
      </w:pPr>
      <w:r>
        <w:rPr>
          <w:rFonts w:hint="eastAsia" w:asciiTheme="minorEastAsia" w:hAnsiTheme="minorEastAsia" w:eastAsiaTheme="minorEastAsia" w:cstheme="minorEastAsia"/>
          <w:color w:val="000000" w:themeColor="text1"/>
          <w:kern w:val="0"/>
          <w:sz w:val="24"/>
          <w:szCs w:val="24"/>
        </w:rPr>
        <w:t>本项目</w:t>
      </w:r>
      <w:r>
        <w:rPr>
          <w:rFonts w:hint="eastAsia" w:asciiTheme="minorEastAsia" w:hAnsiTheme="minorEastAsia" w:eastAsiaTheme="minorEastAsia" w:cstheme="minorEastAsia"/>
          <w:color w:val="000000" w:themeColor="text1"/>
          <w:kern w:val="0"/>
          <w:sz w:val="24"/>
          <w:szCs w:val="24"/>
          <w:lang w:eastAsia="zh-CN"/>
        </w:rPr>
        <w:t>实际</w:t>
      </w:r>
      <w:r>
        <w:rPr>
          <w:rFonts w:hint="eastAsia" w:asciiTheme="minorEastAsia" w:hAnsiTheme="minorEastAsia" w:eastAsiaTheme="minorEastAsia" w:cstheme="minorEastAsia"/>
          <w:color w:val="000000" w:themeColor="text1"/>
          <w:kern w:val="0"/>
          <w:sz w:val="24"/>
          <w:szCs w:val="24"/>
        </w:rPr>
        <w:t>总投资</w:t>
      </w:r>
      <w:r>
        <w:rPr>
          <w:rFonts w:hint="eastAsia" w:ascii="宋体" w:hAnsi="宋体" w:eastAsia="宋体" w:cs="宋体"/>
          <w:color w:val="000000" w:themeColor="text1"/>
          <w:sz w:val="24"/>
          <w:szCs w:val="24"/>
        </w:rPr>
        <w:t>总投资</w:t>
      </w:r>
      <w:r>
        <w:rPr>
          <w:rFonts w:hint="eastAsia" w:ascii="宋体" w:hAnsi="宋体" w:eastAsia="宋体" w:cs="宋体"/>
          <w:color w:val="000000" w:themeColor="text1"/>
          <w:sz w:val="24"/>
          <w:szCs w:val="24"/>
          <w:lang w:val="en-US" w:eastAsia="zh-CN"/>
        </w:rPr>
        <w:t>5200</w:t>
      </w:r>
      <w:r>
        <w:rPr>
          <w:rFonts w:hint="eastAsia" w:ascii="宋体" w:hAnsi="宋体" w:eastAsia="宋体" w:cs="宋体"/>
          <w:color w:val="000000" w:themeColor="text1"/>
          <w:sz w:val="24"/>
          <w:szCs w:val="24"/>
        </w:rPr>
        <w:t>万元，</w:t>
      </w:r>
      <w:r>
        <w:rPr>
          <w:rFonts w:hint="eastAsia" w:ascii="宋体" w:hAnsi="宋体" w:eastAsia="宋体" w:cs="宋体"/>
          <w:color w:val="000000" w:themeColor="text1"/>
          <w:sz w:val="24"/>
          <w:szCs w:val="24"/>
          <w:lang w:eastAsia="zh-CN"/>
        </w:rPr>
        <w:t>环保投资为</w:t>
      </w:r>
      <w:r>
        <w:rPr>
          <w:rFonts w:hint="eastAsia" w:ascii="宋体" w:hAnsi="宋体" w:eastAsia="宋体" w:cs="宋体"/>
          <w:color w:val="000000" w:themeColor="text1"/>
          <w:sz w:val="24"/>
          <w:szCs w:val="24"/>
          <w:lang w:val="en-US" w:eastAsia="zh-CN"/>
        </w:rPr>
        <w:t>60万元，环保投资占总投资比例为1.1%</w:t>
      </w:r>
      <w:r>
        <w:rPr>
          <w:rFonts w:hint="eastAsia" w:asciiTheme="minorEastAsia" w:hAnsiTheme="minorEastAsia" w:eastAsiaTheme="minorEastAsia" w:cstheme="minorEastAsia"/>
          <w:color w:val="000000" w:themeColor="text1"/>
          <w:kern w:val="0"/>
          <w:sz w:val="24"/>
          <w:szCs w:val="24"/>
          <w:lang w:eastAsia="zh-CN"/>
        </w:rPr>
        <w:t>。</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（四）验收范围</w:t>
      </w:r>
    </w:p>
    <w:p>
      <w:pPr>
        <w:keepNext w:val="0"/>
        <w:keepLines w:val="0"/>
        <w:pageBreakBefore w:val="0"/>
        <w:widowControl/>
        <w:shd w:val="clear" w:color="auto" w:fill="FFFFFF"/>
        <w:kinsoku/>
        <w:wordWrap/>
        <w:overflowPunct/>
        <w:topLinePunct w:val="0"/>
        <w:bidi w:val="0"/>
        <w:spacing w:after="0" w:line="360" w:lineRule="auto"/>
        <w:ind w:firstLine="480" w:firstLineChars="200"/>
        <w:textAlignment w:val="auto"/>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val="0"/>
          <w:bCs w:val="0"/>
          <w:color w:val="000000" w:themeColor="text1"/>
          <w:sz w:val="24"/>
          <w:szCs w:val="24"/>
          <w:lang w:eastAsia="zh-CN"/>
        </w:rPr>
        <w:t>本次验收只针对</w:t>
      </w:r>
      <w:r>
        <w:rPr>
          <w:rFonts w:hint="eastAsia" w:ascii="宋体" w:hAnsi="宋体" w:eastAsia="宋体" w:cs="宋体"/>
          <w:b w:val="0"/>
          <w:bCs w:val="0"/>
          <w:sz w:val="24"/>
          <w:szCs w:val="24"/>
        </w:rPr>
        <w:t>吉安华润清洁能源有限公司吉安市吉福路天然气加气站工程项目</w:t>
      </w:r>
      <w:r>
        <w:rPr>
          <w:rFonts w:hint="eastAsia" w:asciiTheme="minorEastAsia" w:hAnsiTheme="minorEastAsia" w:eastAsiaTheme="minorEastAsia" w:cstheme="minorEastAsia"/>
          <w:color w:val="000000" w:themeColor="text1"/>
          <w:sz w:val="24"/>
          <w:szCs w:val="24"/>
          <w:lang w:eastAsia="zh-CN"/>
        </w:rPr>
        <w:t>环境影响报告表</w:t>
      </w:r>
      <w:r>
        <w:rPr>
          <w:rFonts w:hint="eastAsia" w:asciiTheme="minorEastAsia" w:hAnsiTheme="minorEastAsia" w:eastAsiaTheme="minorEastAsia" w:cstheme="minorEastAsia"/>
          <w:b w:val="0"/>
          <w:bCs w:val="0"/>
          <w:color w:val="000000" w:themeColor="text1"/>
          <w:sz w:val="24"/>
          <w:szCs w:val="24"/>
          <w:lang w:eastAsia="zh-CN"/>
        </w:rPr>
        <w:t>的竣工环境保护验收范围。</w:t>
      </w:r>
    </w:p>
    <w:p>
      <w:pPr>
        <w:pStyle w:val="52"/>
        <w:keepNext w:val="0"/>
        <w:keepLines w:val="0"/>
        <w:pageBreakBefore w:val="0"/>
        <w:widowControl/>
        <w:kinsoku/>
        <w:wordWrap/>
        <w:overflowPunct/>
        <w:topLinePunct w:val="0"/>
        <w:bidi w:val="0"/>
        <w:spacing w:before="0" w:beforeAutospacing="0" w:after="0" w:afterAutospacing="0" w:line="360" w:lineRule="auto"/>
        <w:ind w:firstLine="482" w:firstLineChars="200"/>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二、工程变动情况</w:t>
      </w:r>
    </w:p>
    <w:p>
      <w:pPr>
        <w:keepNext w:val="0"/>
        <w:keepLines w:val="0"/>
        <w:pageBreakBefore w:val="0"/>
        <w:widowControl/>
        <w:kinsoku/>
        <w:wordWrap/>
        <w:overflowPunct/>
        <w:topLinePunct w:val="0"/>
        <w:bidi w:val="0"/>
        <w:spacing w:line="360" w:lineRule="auto"/>
        <w:ind w:firstLine="360" w:firstLineChars="150"/>
        <w:textAlignment w:val="auto"/>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lang w:eastAsia="zh-CN"/>
        </w:rPr>
        <w:t>生活污水</w:t>
      </w:r>
      <w:r>
        <w:rPr>
          <w:rFonts w:hint="eastAsia" w:ascii="宋体" w:hAnsi="宋体" w:eastAsia="宋体" w:cs="宋体"/>
          <w:color w:val="000000" w:themeColor="text1"/>
          <w:sz w:val="24"/>
          <w:szCs w:val="24"/>
        </w:rPr>
        <w:t>未采取环评和批复上“隔油池+化粪池+地埋式一体化处理设施”的措施，实际运用</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化粪池</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，其他的实际建设内容基本与环评及批复一致</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不属于重大变动</w:t>
      </w:r>
      <w:r>
        <w:rPr>
          <w:rFonts w:hint="eastAsia" w:ascii="宋体" w:hAnsi="宋体" w:eastAsia="宋体" w:cs="宋体"/>
          <w:color w:val="000000" w:themeColor="text1"/>
          <w:sz w:val="24"/>
          <w:szCs w:val="24"/>
          <w:lang w:eastAsia="zh-CN"/>
        </w:rPr>
        <w:t>。</w:t>
      </w:r>
    </w:p>
    <w:p>
      <w:pPr>
        <w:keepNext w:val="0"/>
        <w:keepLines w:val="0"/>
        <w:pageBreakBefore w:val="0"/>
        <w:widowControl/>
        <w:kinsoku/>
        <w:wordWrap/>
        <w:overflowPunct/>
        <w:topLinePunct w:val="0"/>
        <w:bidi w:val="0"/>
        <w:spacing w:after="0" w:line="360" w:lineRule="auto"/>
        <w:ind w:firstLine="482" w:firstLineChars="200"/>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三、环境保护设施建设情况</w:t>
      </w:r>
    </w:p>
    <w:p>
      <w:pPr>
        <w:keepNext w:val="0"/>
        <w:keepLines w:val="0"/>
        <w:pageBreakBefore w:val="0"/>
        <w:widowControl/>
        <w:kinsoku/>
        <w:wordWrap/>
        <w:overflowPunct/>
        <w:topLinePunct w:val="0"/>
        <w:bidi w:val="0"/>
        <w:spacing w:after="0" w:line="360" w:lineRule="auto"/>
        <w:ind w:firstLine="480" w:firstLineChars="200"/>
        <w:textAlignment w:val="auto"/>
        <w:outlineLvl w:val="1"/>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（一）废水</w:t>
      </w:r>
    </w:p>
    <w:p>
      <w:pPr>
        <w:keepNext w:val="0"/>
        <w:keepLines w:val="0"/>
        <w:pageBreakBefore w:val="0"/>
        <w:widowControl/>
        <w:tabs>
          <w:tab w:val="center" w:pos="4592"/>
        </w:tabs>
        <w:kinsoku/>
        <w:wordWrap/>
        <w:overflowPunct/>
        <w:topLinePunct w:val="0"/>
        <w:bidi w:val="0"/>
        <w:spacing w:line="360" w:lineRule="auto"/>
        <w:ind w:firstLine="360" w:firstLineChars="15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项目废水</w:t>
      </w:r>
      <w:r>
        <w:rPr>
          <w:rFonts w:hint="eastAsia" w:asciiTheme="minorEastAsia" w:hAnsiTheme="minorEastAsia" w:cstheme="minorEastAsia"/>
          <w:color w:val="000000" w:themeColor="text1"/>
          <w:sz w:val="24"/>
          <w:szCs w:val="24"/>
          <w:lang w:eastAsia="zh-CN"/>
        </w:rPr>
        <w:t>主要有</w:t>
      </w:r>
      <w:r>
        <w:rPr>
          <w:rFonts w:hint="eastAsia" w:asciiTheme="minorEastAsia" w:hAnsiTheme="minorEastAsia" w:eastAsiaTheme="minorEastAsia" w:cstheme="minorEastAsia"/>
          <w:color w:val="000000" w:themeColor="text1"/>
          <w:sz w:val="24"/>
          <w:szCs w:val="24"/>
        </w:rPr>
        <w:t>和生活污水。</w:t>
      </w:r>
      <w:r>
        <w:rPr>
          <w:rFonts w:hint="eastAsia" w:asciiTheme="minorEastAsia" w:hAnsiTheme="minorEastAsia" w:eastAsiaTheme="minorEastAsia" w:cstheme="minorEastAsia"/>
          <w:color w:val="000000" w:themeColor="text1"/>
          <w:sz w:val="24"/>
          <w:szCs w:val="24"/>
        </w:rPr>
        <w:pict>
          <v:rect id="矩形 5" o:spid="_x0000_s2155" o:spt="1" style="position:absolute;left:0pt;margin-left:239.85pt;margin-top:42.1pt;height:19.75pt;width:34.8pt;z-index:253061120;mso-width-relative:page;mso-height-relative:page;" filled="f" stroked="f" coordsize="21600,21600" o:gfxdata="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mb5PU9wAAAAKAQAADwAAAAAAAAABACAAAAAiAAAAZHJzL2Rv&#10;d25yZXYueG1sUEsBAhQAFAAAAAgAh07iQFr2Q4+LAQAA+wIAAA4AAAAAAAAAAQAgAAAAKwEAAGRy&#10;cy9lMm9Eb2MueG1sUEsFBgAAAAAGAAYAWQEAACgFAAAAAA==&#10;">
            <v:path/>
            <v:fill on="f" focussize="0,0"/>
            <v:stroke on="f" weight="0.5pt"/>
            <v:imagedata o:title=""/>
            <o:lock v:ext="edit" aspectratio="f"/>
            <v:textbox>
              <w:txbxContent>
                <w:p/>
              </w:txbxContent>
            </v:textbox>
          </v:rect>
        </w:pict>
      </w:r>
      <w:r>
        <w:rPr>
          <w:rFonts w:hint="eastAsia" w:asciiTheme="minorEastAsia" w:hAnsiTheme="minorEastAsia" w:eastAsiaTheme="minorEastAsia" w:cstheme="minorEastAsia"/>
          <w:color w:val="000000" w:themeColor="text1"/>
          <w:sz w:val="24"/>
          <w:szCs w:val="24"/>
        </w:rPr>
        <w:t>根据现场勘察情况，</w:t>
      </w:r>
      <w:r>
        <w:rPr>
          <w:rFonts w:hint="eastAsia" w:asciiTheme="minorEastAsia" w:hAnsiTheme="minorEastAsia" w:eastAsiaTheme="minorEastAsia" w:cstheme="minorEastAsia"/>
          <w:color w:val="000000" w:themeColor="text1"/>
          <w:sz w:val="24"/>
          <w:szCs w:val="24"/>
          <w:lang w:eastAsia="zh-CN"/>
        </w:rPr>
        <w:t>生活</w:t>
      </w:r>
      <w:r>
        <w:rPr>
          <w:rFonts w:hint="eastAsia" w:asciiTheme="minorEastAsia" w:hAnsiTheme="minorEastAsia" w:eastAsiaTheme="minorEastAsia" w:cstheme="minorEastAsia"/>
          <w:bCs/>
          <w:color w:val="000000" w:themeColor="text1"/>
          <w:sz w:val="24"/>
          <w:szCs w:val="24"/>
        </w:rPr>
        <w:t>污水经</w:t>
      </w:r>
      <w:r>
        <w:rPr>
          <w:rFonts w:hint="eastAsia" w:asciiTheme="minorEastAsia" w:hAnsiTheme="minorEastAsia" w:eastAsiaTheme="minorEastAsia" w:cstheme="minorEastAsia"/>
          <w:bCs/>
          <w:color w:val="000000" w:themeColor="text1"/>
          <w:sz w:val="24"/>
          <w:szCs w:val="24"/>
          <w:lang w:eastAsia="zh-CN"/>
        </w:rPr>
        <w:t>化粪池</w:t>
      </w:r>
      <w:r>
        <w:rPr>
          <w:rFonts w:hint="eastAsia" w:asciiTheme="minorEastAsia" w:hAnsiTheme="minorEastAsia" w:eastAsiaTheme="minorEastAsia" w:cstheme="minorEastAsia"/>
          <w:bCs/>
          <w:color w:val="000000" w:themeColor="text1"/>
          <w:sz w:val="24"/>
          <w:szCs w:val="24"/>
        </w:rPr>
        <w:t>处理后</w:t>
      </w:r>
      <w:r>
        <w:rPr>
          <w:rFonts w:hint="eastAsia" w:asciiTheme="minorEastAsia" w:hAnsiTheme="minorEastAsia" w:cstheme="minorEastAsia"/>
          <w:bCs/>
          <w:color w:val="000000" w:themeColor="text1"/>
          <w:sz w:val="24"/>
          <w:szCs w:val="24"/>
          <w:lang w:eastAsia="zh-CN"/>
        </w:rPr>
        <w:t>排入城镇污水管网</w:t>
      </w:r>
      <w:r>
        <w:rPr>
          <w:rFonts w:hint="eastAsia" w:asciiTheme="minorEastAsia" w:hAnsiTheme="minorEastAsia" w:eastAsiaTheme="minorEastAsia" w:cstheme="minorEastAsia"/>
          <w:color w:val="000000" w:themeColor="text1"/>
          <w:sz w:val="24"/>
          <w:szCs w:val="24"/>
        </w:rPr>
        <w:t>。</w:t>
      </w:r>
    </w:p>
    <w:p>
      <w:pPr>
        <w:keepNext w:val="0"/>
        <w:keepLines w:val="0"/>
        <w:pageBreakBefore w:val="0"/>
        <w:widowControl/>
        <w:kinsoku/>
        <w:wordWrap/>
        <w:overflowPunct/>
        <w:topLinePunct w:val="0"/>
        <w:bidi w:val="0"/>
        <w:spacing w:after="0" w:line="360" w:lineRule="auto"/>
        <w:ind w:firstLine="480" w:firstLineChars="200"/>
        <w:textAlignment w:val="auto"/>
        <w:outlineLvl w:val="1"/>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（二）废气</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项目的废气</w:t>
      </w:r>
      <w:r>
        <w:rPr>
          <w:rFonts w:hint="eastAsia" w:asciiTheme="minorEastAsia" w:hAnsiTheme="minorEastAsia" w:cstheme="minorEastAsia"/>
          <w:color w:val="000000" w:themeColor="text1"/>
          <w:sz w:val="24"/>
          <w:szCs w:val="24"/>
          <w:lang w:eastAsia="zh-CN"/>
        </w:rPr>
        <w:t>有</w:t>
      </w:r>
      <w:r>
        <w:rPr>
          <w:rFonts w:hint="eastAsia" w:asciiTheme="minorEastAsia" w:hAnsiTheme="minorEastAsia" w:eastAsiaTheme="minorEastAsia" w:cstheme="minorEastAsia"/>
          <w:color w:val="000000" w:themeColor="text1"/>
          <w:sz w:val="24"/>
          <w:szCs w:val="24"/>
          <w:lang w:eastAsia="zh-CN"/>
        </w:rPr>
        <w:t>生产工艺</w:t>
      </w:r>
      <w:r>
        <w:rPr>
          <w:rFonts w:hint="eastAsia" w:asciiTheme="minorEastAsia" w:hAnsiTheme="minorEastAsia" w:cstheme="minorEastAsia"/>
          <w:color w:val="000000" w:themeColor="text1"/>
          <w:sz w:val="24"/>
          <w:szCs w:val="24"/>
          <w:lang w:eastAsia="zh-CN"/>
        </w:rPr>
        <w:t>产生的无组织废气（颗粒物、非甲烷总烃</w:t>
      </w:r>
      <w:r>
        <w:rPr>
          <w:rFonts w:hint="eastAsia" w:asciiTheme="minorEastAsia" w:hAnsiTheme="minorEastAsia" w:cstheme="minorEastAsia"/>
          <w:color w:val="000000" w:themeColor="text1"/>
          <w:sz w:val="24"/>
          <w:szCs w:val="24"/>
          <w:lang w:val="en-US" w:eastAsia="zh-CN"/>
        </w:rPr>
        <w:t>）</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eastAsia="zh-CN"/>
        </w:rPr>
        <w:t>通过厂区通风成</w:t>
      </w:r>
      <w:r>
        <w:rPr>
          <w:rFonts w:hint="eastAsia" w:asciiTheme="minorEastAsia" w:hAnsiTheme="minorEastAsia" w:eastAsiaTheme="minorEastAsia" w:cstheme="minorEastAsia"/>
          <w:color w:val="000000" w:themeColor="text1"/>
          <w:sz w:val="24"/>
          <w:szCs w:val="24"/>
        </w:rPr>
        <w:t>无组织排放</w:t>
      </w:r>
      <w:r>
        <w:rPr>
          <w:rFonts w:hint="eastAsia" w:asciiTheme="minorEastAsia" w:hAnsiTheme="minorEastAsia" w:cstheme="minorEastAsia"/>
          <w:color w:val="000000" w:themeColor="text1"/>
          <w:sz w:val="24"/>
          <w:szCs w:val="24"/>
          <w:lang w:eastAsia="zh-CN"/>
        </w:rPr>
        <w:t>出去</w:t>
      </w:r>
      <w:r>
        <w:rPr>
          <w:rFonts w:hint="eastAsia" w:asciiTheme="minorEastAsia" w:hAnsiTheme="minorEastAsia" w:eastAsiaTheme="minorEastAsia" w:cstheme="minorEastAsia"/>
          <w:color w:val="000000" w:themeColor="text1"/>
          <w:sz w:val="24"/>
          <w:szCs w:val="24"/>
        </w:rPr>
        <w:t>。</w:t>
      </w:r>
    </w:p>
    <w:p>
      <w:pPr>
        <w:keepNext w:val="0"/>
        <w:keepLines w:val="0"/>
        <w:pageBreakBefore w:val="0"/>
        <w:widowControl/>
        <w:kinsoku/>
        <w:wordWrap/>
        <w:overflowPunct/>
        <w:topLinePunct w:val="0"/>
        <w:bidi w:val="0"/>
        <w:spacing w:after="0" w:line="360" w:lineRule="auto"/>
        <w:ind w:firstLine="480" w:firstLineChars="200"/>
        <w:textAlignment w:val="auto"/>
        <w:outlineLvl w:val="1"/>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（三）噪声</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项目无高音噪声源，主要噪声源</w:t>
      </w:r>
      <w:r>
        <w:rPr>
          <w:rFonts w:hint="eastAsia" w:asciiTheme="minorEastAsia" w:hAnsiTheme="minorEastAsia" w:eastAsiaTheme="minorEastAsia" w:cstheme="minorEastAsia"/>
          <w:color w:val="000000" w:themeColor="text1"/>
          <w:sz w:val="24"/>
          <w:szCs w:val="24"/>
          <w:lang w:eastAsia="zh-CN"/>
        </w:rPr>
        <w:t>生产</w:t>
      </w:r>
      <w:r>
        <w:rPr>
          <w:rFonts w:hint="eastAsia" w:asciiTheme="minorEastAsia" w:hAnsiTheme="minorEastAsia" w:eastAsiaTheme="minorEastAsia" w:cstheme="minorEastAsia"/>
          <w:color w:val="000000" w:themeColor="text1"/>
          <w:sz w:val="24"/>
          <w:szCs w:val="24"/>
        </w:rPr>
        <w:t>运行时及来往车辆产生的噪声。选用了低噪声</w:t>
      </w:r>
      <w:r>
        <w:rPr>
          <w:rFonts w:hint="eastAsia" w:asciiTheme="minorEastAsia" w:hAnsiTheme="minorEastAsia" w:eastAsiaTheme="minorEastAsia" w:cstheme="minorEastAsia"/>
          <w:color w:val="000000" w:themeColor="text1"/>
          <w:sz w:val="24"/>
          <w:szCs w:val="24"/>
          <w:lang w:eastAsia="zh-CN"/>
        </w:rPr>
        <w:t>设备</w:t>
      </w:r>
      <w:r>
        <w:rPr>
          <w:rFonts w:hint="eastAsia" w:asciiTheme="minorEastAsia" w:hAnsiTheme="minorEastAsia" w:eastAsiaTheme="minorEastAsia" w:cstheme="minorEastAsia"/>
          <w:color w:val="000000" w:themeColor="text1"/>
          <w:sz w:val="24"/>
          <w:szCs w:val="24"/>
        </w:rPr>
        <w:t>，并设置了减振垫，出入区域内来往的机动车减速、禁止鸣笛，减少站内噪声对周边环境的影响。</w:t>
      </w:r>
    </w:p>
    <w:p>
      <w:pPr>
        <w:keepNext w:val="0"/>
        <w:keepLines w:val="0"/>
        <w:pageBreakBefore w:val="0"/>
        <w:widowControl/>
        <w:kinsoku/>
        <w:wordWrap/>
        <w:overflowPunct/>
        <w:topLinePunct w:val="0"/>
        <w:bidi w:val="0"/>
        <w:spacing w:after="0" w:line="360" w:lineRule="auto"/>
        <w:ind w:firstLine="480" w:firstLineChars="200"/>
        <w:textAlignment w:val="auto"/>
        <w:outlineLvl w:val="1"/>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（四）固体废物</w:t>
      </w:r>
    </w:p>
    <w:p>
      <w:pPr>
        <w:keepNext w:val="0"/>
        <w:keepLines w:val="0"/>
        <w:pageBreakBefore w:val="0"/>
        <w:widowControl/>
        <w:kinsoku/>
        <w:wordWrap/>
        <w:overflowPunct/>
        <w:topLinePunct w:val="0"/>
        <w:bidi w:val="0"/>
        <w:spacing w:line="360" w:lineRule="auto"/>
        <w:ind w:firstLine="352" w:firstLineChars="147"/>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项目产生的固体废物主要为生活垃圾、</w:t>
      </w:r>
      <w:r>
        <w:rPr>
          <w:rFonts w:hint="eastAsia" w:asciiTheme="minorEastAsia" w:hAnsiTheme="minorEastAsia" w:cstheme="minorEastAsia"/>
          <w:color w:val="000000" w:themeColor="text1"/>
          <w:sz w:val="24"/>
          <w:szCs w:val="24"/>
          <w:lang w:eastAsia="zh-CN"/>
        </w:rPr>
        <w:t>危险废物</w:t>
      </w:r>
      <w:r>
        <w:rPr>
          <w:rFonts w:hint="eastAsia" w:asciiTheme="minorEastAsia" w:hAnsiTheme="minorEastAsia" w:eastAsiaTheme="minorEastAsia" w:cstheme="minorEastAsia"/>
          <w:color w:val="000000" w:themeColor="text1"/>
          <w:sz w:val="24"/>
          <w:szCs w:val="24"/>
        </w:rPr>
        <w:t>。根据现场调查，生活垃圾交由环卫部门处理，</w:t>
      </w:r>
      <w:r>
        <w:rPr>
          <w:rFonts w:hint="eastAsia" w:asciiTheme="minorEastAsia" w:hAnsiTheme="minorEastAsia" w:cstheme="minorEastAsia"/>
          <w:color w:val="000000" w:themeColor="text1"/>
          <w:sz w:val="24"/>
          <w:szCs w:val="24"/>
          <w:lang w:eastAsia="zh-CN"/>
        </w:rPr>
        <w:t>危险废物签有协议</w:t>
      </w:r>
      <w:r>
        <w:rPr>
          <w:rFonts w:hint="eastAsia" w:asciiTheme="minorEastAsia" w:hAnsiTheme="minorEastAsia" w:eastAsiaTheme="minorEastAsia" w:cstheme="minorEastAsia"/>
          <w:color w:val="000000" w:themeColor="text1"/>
          <w:sz w:val="24"/>
          <w:szCs w:val="24"/>
        </w:rPr>
        <w:t>。</w:t>
      </w:r>
    </w:p>
    <w:p>
      <w:pPr>
        <w:pStyle w:val="52"/>
        <w:keepNext w:val="0"/>
        <w:keepLines w:val="0"/>
        <w:pageBreakBefore w:val="0"/>
        <w:widowControl/>
        <w:kinsoku/>
        <w:wordWrap/>
        <w:overflowPunct/>
        <w:topLinePunct w:val="0"/>
        <w:bidi w:val="0"/>
        <w:spacing w:before="0" w:beforeAutospacing="0" w:after="0" w:afterAutospacing="0" w:line="360" w:lineRule="auto"/>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四、环境保护设施调试效果</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（一）环保设施处理效率</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1.废水治理设施</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项目废水</w:t>
      </w:r>
      <w:r>
        <w:rPr>
          <w:rFonts w:hint="eastAsia" w:asciiTheme="minorEastAsia" w:hAnsiTheme="minorEastAsia" w:cstheme="minorEastAsia"/>
          <w:color w:val="000000" w:themeColor="text1"/>
          <w:sz w:val="24"/>
          <w:szCs w:val="24"/>
          <w:lang w:eastAsia="zh-CN"/>
        </w:rPr>
        <w:t>主要有</w:t>
      </w:r>
      <w:r>
        <w:rPr>
          <w:rFonts w:hint="eastAsia" w:asciiTheme="minorEastAsia" w:hAnsiTheme="minorEastAsia" w:eastAsiaTheme="minorEastAsia" w:cstheme="minorEastAsia"/>
          <w:color w:val="000000" w:themeColor="text1"/>
          <w:sz w:val="24"/>
          <w:szCs w:val="24"/>
        </w:rPr>
        <w:t>和生活污水。</w:t>
      </w:r>
      <w:r>
        <w:rPr>
          <w:rFonts w:hint="eastAsia" w:asciiTheme="minorEastAsia" w:hAnsiTheme="minorEastAsia" w:eastAsiaTheme="minorEastAsia" w:cstheme="minorEastAsia"/>
          <w:color w:val="000000" w:themeColor="text1"/>
          <w:sz w:val="24"/>
          <w:szCs w:val="24"/>
        </w:rPr>
        <w:pict>
          <v:rect id="矩形 6" o:spid="_x0000_s2156" o:spt="1" style="position:absolute;left:0pt;margin-left:239.85pt;margin-top:42.1pt;height:19.75pt;width:34.8pt;z-index:253199360;mso-width-relative:page;mso-height-relative:page;" filled="f" stroked="f" coordsize="21600,21600" o:gfxdata="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mb5PU9wAAAAKAQAADwAAAAAAAAABACAAAAAiAAAAZHJzL2Rv&#10;d25yZXYueG1sUEsBAhQAFAAAAAgAh07iQFXpZ6yLAQAA+wIAAA4AAAAAAAAAAQAgAAAAKwEAAGRy&#10;cy9lMm9Eb2MueG1sUEsFBgAAAAAGAAYAWQEAACgFAAAAAA==&#10;">
            <v:path/>
            <v:fill on="f" focussize="0,0"/>
            <v:stroke on="f" weight="0.5pt"/>
            <v:imagedata o:title=""/>
            <o:lock v:ext="edit" aspectratio="f"/>
            <v:textbox>
              <w:txbxContent>
                <w:p/>
              </w:txbxContent>
            </v:textbox>
          </v:rect>
        </w:pict>
      </w:r>
      <w:r>
        <w:rPr>
          <w:rFonts w:hint="eastAsia" w:asciiTheme="minorEastAsia" w:hAnsiTheme="minorEastAsia" w:eastAsiaTheme="minorEastAsia" w:cstheme="minorEastAsia"/>
          <w:color w:val="000000" w:themeColor="text1"/>
          <w:sz w:val="24"/>
          <w:szCs w:val="24"/>
        </w:rPr>
        <w:t>根据现场勘察情况，</w:t>
      </w:r>
      <w:r>
        <w:rPr>
          <w:rFonts w:hint="eastAsia" w:asciiTheme="minorEastAsia" w:hAnsiTheme="minorEastAsia" w:eastAsiaTheme="minorEastAsia" w:cstheme="minorEastAsia"/>
          <w:color w:val="000000" w:themeColor="text1"/>
          <w:sz w:val="24"/>
          <w:szCs w:val="24"/>
          <w:lang w:eastAsia="zh-CN"/>
        </w:rPr>
        <w:t>生活</w:t>
      </w:r>
      <w:r>
        <w:rPr>
          <w:rFonts w:hint="eastAsia" w:asciiTheme="minorEastAsia" w:hAnsiTheme="minorEastAsia" w:eastAsiaTheme="minorEastAsia" w:cstheme="minorEastAsia"/>
          <w:bCs/>
          <w:color w:val="000000" w:themeColor="text1"/>
          <w:sz w:val="24"/>
          <w:szCs w:val="24"/>
        </w:rPr>
        <w:t>污水经</w:t>
      </w:r>
      <w:r>
        <w:rPr>
          <w:rFonts w:hint="eastAsia" w:asciiTheme="minorEastAsia" w:hAnsiTheme="minorEastAsia" w:eastAsiaTheme="minorEastAsia" w:cstheme="minorEastAsia"/>
          <w:bCs/>
          <w:color w:val="000000" w:themeColor="text1"/>
          <w:sz w:val="24"/>
          <w:szCs w:val="24"/>
          <w:lang w:eastAsia="zh-CN"/>
        </w:rPr>
        <w:t>化粪池</w:t>
      </w:r>
      <w:r>
        <w:rPr>
          <w:rFonts w:hint="eastAsia" w:asciiTheme="minorEastAsia" w:hAnsiTheme="minorEastAsia" w:eastAsiaTheme="minorEastAsia" w:cstheme="minorEastAsia"/>
          <w:bCs/>
          <w:color w:val="000000" w:themeColor="text1"/>
          <w:sz w:val="24"/>
          <w:szCs w:val="24"/>
        </w:rPr>
        <w:t>处理后</w:t>
      </w:r>
      <w:r>
        <w:rPr>
          <w:rFonts w:hint="eastAsia" w:asciiTheme="minorEastAsia" w:hAnsiTheme="minorEastAsia" w:cstheme="minorEastAsia"/>
          <w:bCs/>
          <w:color w:val="000000" w:themeColor="text1"/>
          <w:sz w:val="24"/>
          <w:szCs w:val="24"/>
          <w:lang w:eastAsia="zh-CN"/>
        </w:rPr>
        <w:t>排入城镇污水管网</w:t>
      </w:r>
      <w:r>
        <w:rPr>
          <w:rFonts w:hint="eastAsia" w:asciiTheme="minorEastAsia" w:hAnsiTheme="minorEastAsia" w:eastAsiaTheme="minorEastAsia" w:cstheme="minorEastAsia"/>
          <w:color w:val="000000" w:themeColor="text1"/>
          <w:sz w:val="24"/>
          <w:szCs w:val="24"/>
          <w:lang w:eastAsia="zh-CN"/>
        </w:rPr>
        <w:t>，监测结果</w:t>
      </w:r>
      <w:r>
        <w:rPr>
          <w:rFonts w:hint="eastAsia" w:asciiTheme="minorEastAsia" w:hAnsiTheme="minorEastAsia" w:eastAsiaTheme="minorEastAsia" w:cstheme="minorEastAsia"/>
          <w:color w:val="000000" w:themeColor="text1"/>
          <w:sz w:val="24"/>
          <w:szCs w:val="24"/>
        </w:rPr>
        <w:t>满足环境影响报告表及其审批部门审批决定或设计指标。</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2.废气治理设施</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项目的废气</w:t>
      </w:r>
      <w:r>
        <w:rPr>
          <w:rFonts w:hint="eastAsia" w:asciiTheme="minorEastAsia" w:hAnsiTheme="minorEastAsia" w:cstheme="minorEastAsia"/>
          <w:color w:val="000000" w:themeColor="text1"/>
          <w:sz w:val="24"/>
          <w:szCs w:val="24"/>
          <w:lang w:eastAsia="zh-CN"/>
        </w:rPr>
        <w:t>有</w:t>
      </w:r>
      <w:r>
        <w:rPr>
          <w:rFonts w:hint="eastAsia" w:asciiTheme="minorEastAsia" w:hAnsiTheme="minorEastAsia" w:eastAsiaTheme="minorEastAsia" w:cstheme="minorEastAsia"/>
          <w:color w:val="000000" w:themeColor="text1"/>
          <w:sz w:val="24"/>
          <w:szCs w:val="24"/>
          <w:lang w:eastAsia="zh-CN"/>
        </w:rPr>
        <w:t>生产工艺</w:t>
      </w:r>
      <w:r>
        <w:rPr>
          <w:rFonts w:hint="eastAsia" w:asciiTheme="minorEastAsia" w:hAnsiTheme="minorEastAsia" w:cstheme="minorEastAsia"/>
          <w:color w:val="000000" w:themeColor="text1"/>
          <w:sz w:val="24"/>
          <w:szCs w:val="24"/>
          <w:lang w:eastAsia="zh-CN"/>
        </w:rPr>
        <w:t>产生的无组织废气（颗粒物、非甲烷总烃</w:t>
      </w:r>
      <w:r>
        <w:rPr>
          <w:rFonts w:hint="eastAsia" w:asciiTheme="minorEastAsia" w:hAnsiTheme="minorEastAsia" w:cstheme="minorEastAsia"/>
          <w:color w:val="000000" w:themeColor="text1"/>
          <w:sz w:val="24"/>
          <w:szCs w:val="24"/>
          <w:lang w:val="en-US" w:eastAsia="zh-CN"/>
        </w:rPr>
        <w:t>）</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eastAsia="zh-CN"/>
        </w:rPr>
        <w:t>通过厂区通风成</w:t>
      </w:r>
      <w:r>
        <w:rPr>
          <w:rFonts w:hint="eastAsia" w:asciiTheme="minorEastAsia" w:hAnsiTheme="minorEastAsia" w:eastAsiaTheme="minorEastAsia" w:cstheme="minorEastAsia"/>
          <w:color w:val="000000" w:themeColor="text1"/>
          <w:sz w:val="24"/>
          <w:szCs w:val="24"/>
        </w:rPr>
        <w:t>无组织排放</w:t>
      </w:r>
      <w:r>
        <w:rPr>
          <w:rFonts w:hint="eastAsia" w:asciiTheme="minorEastAsia" w:hAnsiTheme="minorEastAsia" w:cstheme="minorEastAsia"/>
          <w:color w:val="000000" w:themeColor="text1"/>
          <w:sz w:val="24"/>
          <w:szCs w:val="24"/>
          <w:lang w:eastAsia="zh-CN"/>
        </w:rPr>
        <w:t>出去</w:t>
      </w:r>
      <w:r>
        <w:rPr>
          <w:rFonts w:hint="eastAsia" w:asciiTheme="minorEastAsia" w:hAnsiTheme="minorEastAsia" w:eastAsiaTheme="minorEastAsia" w:cstheme="minorEastAsia"/>
          <w:color w:val="000000" w:themeColor="text1"/>
          <w:sz w:val="24"/>
          <w:szCs w:val="24"/>
          <w:lang w:eastAsia="zh-CN"/>
        </w:rPr>
        <w:t>，监测结果</w:t>
      </w:r>
      <w:r>
        <w:rPr>
          <w:rFonts w:hint="eastAsia" w:asciiTheme="minorEastAsia" w:hAnsiTheme="minorEastAsia" w:eastAsiaTheme="minorEastAsia" w:cstheme="minorEastAsia"/>
          <w:color w:val="000000" w:themeColor="text1"/>
          <w:sz w:val="24"/>
          <w:szCs w:val="24"/>
        </w:rPr>
        <w:t>满足环境影响报告表及其审批部门审批决定或设计指标。</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3.厂界噪声治理设施</w:t>
      </w:r>
    </w:p>
    <w:p>
      <w:pPr>
        <w:pStyle w:val="52"/>
        <w:keepNext w:val="0"/>
        <w:keepLines w:val="0"/>
        <w:pageBreakBefore w:val="0"/>
        <w:widowControl/>
        <w:kinsoku/>
        <w:wordWrap/>
        <w:overflowPunct/>
        <w:topLinePunct w:val="0"/>
        <w:bidi w:val="0"/>
        <w:spacing w:before="0" w:beforeAutospacing="0" w:after="0" w:afterAutospacing="0" w:line="360" w:lineRule="auto"/>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 xml:space="preserve">    项目无高音噪声源，主要噪声源</w:t>
      </w:r>
      <w:r>
        <w:rPr>
          <w:rFonts w:hint="eastAsia" w:asciiTheme="minorEastAsia" w:hAnsiTheme="minorEastAsia" w:eastAsiaTheme="minorEastAsia" w:cstheme="minorEastAsia"/>
          <w:color w:val="000000" w:themeColor="text1"/>
          <w:sz w:val="24"/>
          <w:szCs w:val="24"/>
          <w:lang w:eastAsia="zh-CN"/>
        </w:rPr>
        <w:t>生产</w:t>
      </w:r>
      <w:r>
        <w:rPr>
          <w:rFonts w:hint="eastAsia" w:asciiTheme="minorEastAsia" w:hAnsiTheme="minorEastAsia" w:eastAsiaTheme="minorEastAsia" w:cstheme="minorEastAsia"/>
          <w:color w:val="000000" w:themeColor="text1"/>
          <w:sz w:val="24"/>
          <w:szCs w:val="24"/>
        </w:rPr>
        <w:t>运行时及来往车辆产生的噪声。选用了低噪声</w:t>
      </w:r>
      <w:r>
        <w:rPr>
          <w:rFonts w:hint="eastAsia" w:asciiTheme="minorEastAsia" w:hAnsiTheme="minorEastAsia" w:eastAsiaTheme="minorEastAsia" w:cstheme="minorEastAsia"/>
          <w:color w:val="000000" w:themeColor="text1"/>
          <w:sz w:val="24"/>
          <w:szCs w:val="24"/>
          <w:lang w:eastAsia="zh-CN"/>
        </w:rPr>
        <w:t>设备</w:t>
      </w:r>
      <w:r>
        <w:rPr>
          <w:rFonts w:hint="eastAsia" w:asciiTheme="minorEastAsia" w:hAnsiTheme="minorEastAsia" w:eastAsiaTheme="minorEastAsia" w:cstheme="minorEastAsia"/>
          <w:color w:val="000000" w:themeColor="text1"/>
          <w:sz w:val="24"/>
          <w:szCs w:val="24"/>
        </w:rPr>
        <w:t>，并设置了减振垫，出入区域内来往的机动车减速、禁止鸣笛，减少站内噪声对周边环境的影响</w:t>
      </w:r>
      <w:r>
        <w:rPr>
          <w:rFonts w:hint="eastAsia" w:asciiTheme="minorEastAsia" w:hAnsiTheme="minorEastAsia" w:eastAsiaTheme="minorEastAsia" w:cstheme="minorEastAsia"/>
          <w:color w:val="000000" w:themeColor="text1"/>
          <w:sz w:val="24"/>
          <w:szCs w:val="24"/>
          <w:lang w:eastAsia="zh-CN"/>
        </w:rPr>
        <w:t>，监测结果</w:t>
      </w:r>
      <w:r>
        <w:rPr>
          <w:rFonts w:hint="eastAsia" w:asciiTheme="minorEastAsia" w:hAnsiTheme="minorEastAsia" w:eastAsiaTheme="minorEastAsia" w:cstheme="minorEastAsia"/>
          <w:color w:val="000000" w:themeColor="text1"/>
          <w:sz w:val="24"/>
          <w:szCs w:val="24"/>
        </w:rPr>
        <w:t>满足环境影响报告表及其审批部门审批决定或设计指标。</w:t>
      </w:r>
    </w:p>
    <w:p>
      <w:pPr>
        <w:pStyle w:val="52"/>
        <w:keepNext w:val="0"/>
        <w:keepLines w:val="0"/>
        <w:pageBreakBefore w:val="0"/>
        <w:widowControl/>
        <w:kinsoku/>
        <w:wordWrap/>
        <w:overflowPunct/>
        <w:topLinePunct w:val="0"/>
        <w:bidi w:val="0"/>
        <w:spacing w:before="0" w:beforeAutospacing="0" w:after="0" w:afterAutospacing="0" w:line="360" w:lineRule="auto"/>
        <w:ind w:firstLine="42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4.固体废物治理设施</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lang w:eastAsia="zh-CN"/>
        </w:rPr>
        <w:t>项</w:t>
      </w:r>
      <w:r>
        <w:rPr>
          <w:rFonts w:hint="eastAsia" w:asciiTheme="minorEastAsia" w:hAnsiTheme="minorEastAsia" w:eastAsiaTheme="minorEastAsia" w:cstheme="minorEastAsia"/>
          <w:color w:val="000000" w:themeColor="text1"/>
          <w:sz w:val="24"/>
          <w:szCs w:val="24"/>
        </w:rPr>
        <w:t>目产生的固体废物主要为生活垃圾、</w:t>
      </w:r>
      <w:r>
        <w:rPr>
          <w:rFonts w:hint="eastAsia" w:asciiTheme="minorEastAsia" w:hAnsiTheme="minorEastAsia" w:eastAsiaTheme="minorEastAsia" w:cstheme="minorEastAsia"/>
          <w:color w:val="000000" w:themeColor="text1"/>
          <w:sz w:val="24"/>
          <w:szCs w:val="24"/>
          <w:lang w:eastAsia="zh-CN"/>
        </w:rPr>
        <w:t>危险废物</w:t>
      </w:r>
      <w:r>
        <w:rPr>
          <w:rFonts w:hint="eastAsia" w:asciiTheme="minorEastAsia" w:hAnsiTheme="minorEastAsia" w:eastAsiaTheme="minorEastAsia" w:cstheme="minorEastAsia"/>
          <w:color w:val="000000" w:themeColor="text1"/>
          <w:sz w:val="24"/>
          <w:szCs w:val="24"/>
        </w:rPr>
        <w:t>。根据现场调查，生活垃圾交由环卫部门处理，</w:t>
      </w:r>
      <w:r>
        <w:rPr>
          <w:rFonts w:hint="eastAsia" w:asciiTheme="minorEastAsia" w:hAnsiTheme="minorEastAsia" w:cstheme="minorEastAsia"/>
          <w:color w:val="000000" w:themeColor="text1"/>
          <w:sz w:val="24"/>
          <w:szCs w:val="24"/>
          <w:lang w:eastAsia="zh-CN"/>
        </w:rPr>
        <w:t>危险废物签有协议，</w:t>
      </w:r>
      <w:r>
        <w:rPr>
          <w:rFonts w:hint="eastAsia" w:asciiTheme="minorEastAsia" w:hAnsiTheme="minorEastAsia" w:eastAsiaTheme="minorEastAsia" w:cstheme="minorEastAsia"/>
          <w:color w:val="000000" w:themeColor="text1"/>
          <w:sz w:val="24"/>
          <w:szCs w:val="24"/>
          <w:lang w:eastAsia="zh-CN"/>
        </w:rPr>
        <w:t>满足</w:t>
      </w:r>
      <w:r>
        <w:rPr>
          <w:rFonts w:hint="eastAsia" w:asciiTheme="minorEastAsia" w:hAnsiTheme="minorEastAsia" w:eastAsiaTheme="minorEastAsia" w:cstheme="minorEastAsia"/>
          <w:color w:val="000000" w:themeColor="text1"/>
          <w:sz w:val="24"/>
          <w:szCs w:val="24"/>
        </w:rPr>
        <w:t>固体废物治理设施的处理效果。</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（二）污染物排放情况</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1.废水</w:t>
      </w:r>
    </w:p>
    <w:p>
      <w:pPr>
        <w:keepNext w:val="0"/>
        <w:keepLines w:val="0"/>
        <w:pageBreakBefore w:val="0"/>
        <w:widowControl/>
        <w:kinsoku/>
        <w:wordWrap/>
        <w:overflowPunct/>
        <w:topLinePunct w:val="0"/>
        <w:bidi w:val="0"/>
        <w:spacing w:after="0" w:line="360" w:lineRule="auto"/>
        <w:ind w:firstLine="480" w:firstLineChars="200"/>
        <w:textAlignment w:val="auto"/>
        <w:rPr>
          <w:rFonts w:hint="eastAsia" w:ascii="宋体" w:hAnsi="宋体" w:eastAsia="宋体" w:cs="宋体"/>
          <w:color w:val="000000" w:themeColor="text1"/>
          <w:sz w:val="24"/>
          <w:szCs w:val="24"/>
        </w:rPr>
      </w:pPr>
      <w:r>
        <w:rPr>
          <w:rFonts w:hint="eastAsia" w:asciiTheme="minorEastAsia" w:hAnsiTheme="minorEastAsia" w:eastAsiaTheme="minorEastAsia" w:cstheme="minorEastAsia"/>
          <w:color w:val="000000" w:themeColor="text1"/>
          <w:sz w:val="24"/>
          <w:szCs w:val="24"/>
        </w:rPr>
        <w:t>监测结果表明</w:t>
      </w:r>
      <w:r>
        <w:rPr>
          <w:rFonts w:hint="eastAsia" w:asciiTheme="minorEastAsia" w:hAnsiTheme="minorEastAsia" w:cstheme="minorEastAsia"/>
          <w:color w:val="000000" w:themeColor="text1"/>
          <w:sz w:val="24"/>
          <w:szCs w:val="24"/>
          <w:lang w:eastAsia="zh-CN"/>
        </w:rPr>
        <w:t>：</w:t>
      </w:r>
      <w:r>
        <w:rPr>
          <w:rFonts w:ascii="宋体" w:hAnsi="宋体" w:eastAsia="宋体" w:cs="Times New Roman"/>
          <w:color w:val="000000" w:themeColor="text1"/>
          <w:sz w:val="24"/>
          <w:szCs w:val="24"/>
        </w:rPr>
        <w:t>该项目</w:t>
      </w:r>
      <w:r>
        <w:rPr>
          <w:rFonts w:hint="eastAsia" w:ascii="宋体" w:hAnsi="宋体" w:eastAsia="宋体" w:cs="Times New Roman"/>
          <w:color w:val="000000" w:themeColor="text1"/>
          <w:sz w:val="24"/>
          <w:szCs w:val="24"/>
          <w:lang w:eastAsia="zh-CN"/>
        </w:rPr>
        <w:t>废水各个监测因子符合</w:t>
      </w:r>
      <w:r>
        <w:rPr>
          <w:rFonts w:hint="eastAsia" w:ascii="宋体" w:hAnsi="宋体" w:eastAsia="宋体" w:cs="宋体"/>
          <w:color w:val="000000" w:themeColor="text1"/>
          <w:sz w:val="24"/>
          <w:szCs w:val="24"/>
        </w:rPr>
        <w:t>《污水排入城镇下水道水质标准》（GB/T31962-2015）</w:t>
      </w:r>
      <w:r>
        <w:rPr>
          <w:rFonts w:hint="eastAsia" w:ascii="Times New Roman" w:hAnsi="Times New Roman"/>
          <w:color w:val="000000" w:themeColor="text1"/>
          <w:sz w:val="24"/>
          <w:szCs w:val="24"/>
          <w:lang w:eastAsia="zh-CN"/>
        </w:rPr>
        <w:t>中</w:t>
      </w:r>
      <w:r>
        <w:rPr>
          <w:rFonts w:hint="eastAsia" w:ascii="宋体" w:hAnsi="宋体" w:eastAsia="宋体" w:cs="宋体"/>
          <w:color w:val="000000" w:themeColor="text1"/>
          <w:sz w:val="24"/>
          <w:szCs w:val="24"/>
        </w:rPr>
        <w:t>B等级标准</w:t>
      </w:r>
      <w:r>
        <w:rPr>
          <w:rFonts w:hint="eastAsia" w:ascii="Times New Roman" w:hAnsi="Times New Roman"/>
          <w:color w:val="000000" w:themeColor="text1"/>
          <w:sz w:val="24"/>
          <w:szCs w:val="24"/>
          <w:lang w:eastAsia="zh-CN"/>
        </w:rPr>
        <w:t>限</w:t>
      </w:r>
      <w:r>
        <w:rPr>
          <w:rFonts w:ascii="Times New Roman" w:hAnsi="Times New Roman"/>
          <w:color w:val="000000" w:themeColor="text1"/>
          <w:sz w:val="24"/>
          <w:szCs w:val="24"/>
        </w:rPr>
        <w:t>值</w:t>
      </w:r>
      <w:r>
        <w:rPr>
          <w:rFonts w:hint="eastAsia" w:ascii="宋体" w:hAnsi="宋体" w:eastAsia="宋体"/>
          <w:color w:val="000000" w:themeColor="text1"/>
          <w:sz w:val="24"/>
          <w:szCs w:val="24"/>
        </w:rPr>
        <w:t>排放浓度限值要求，</w:t>
      </w:r>
      <w:r>
        <w:rPr>
          <w:rFonts w:hint="eastAsia" w:ascii="宋体" w:hAnsi="宋体" w:eastAsia="宋体"/>
          <w:color w:val="000000" w:themeColor="text1"/>
          <w:sz w:val="24"/>
          <w:szCs w:val="24"/>
          <w:lang w:eastAsia="zh-CN"/>
        </w:rPr>
        <w:t>为</w:t>
      </w:r>
      <w:r>
        <w:rPr>
          <w:rFonts w:hint="eastAsia" w:ascii="宋体" w:hAnsi="宋体" w:eastAsia="宋体" w:cs="Times New Roman"/>
          <w:color w:val="000000" w:themeColor="text1"/>
          <w:sz w:val="24"/>
          <w:szCs w:val="24"/>
        </w:rPr>
        <w:t>达标排放</w:t>
      </w:r>
      <w:r>
        <w:rPr>
          <w:rFonts w:hint="eastAsia" w:ascii="宋体" w:hAnsi="宋体" w:eastAsia="宋体" w:cs="宋体"/>
          <w:color w:val="000000" w:themeColor="text1"/>
          <w:sz w:val="24"/>
          <w:szCs w:val="24"/>
        </w:rPr>
        <w:t>。</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2.废气</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监测结果表明，</w:t>
      </w:r>
      <w:r>
        <w:rPr>
          <w:rFonts w:ascii="宋体" w:hAnsi="宋体" w:eastAsia="宋体" w:cs="Times New Roman"/>
          <w:color w:val="000000" w:themeColor="text1"/>
          <w:sz w:val="24"/>
          <w:szCs w:val="24"/>
        </w:rPr>
        <w:t>该项目</w:t>
      </w:r>
      <w:r>
        <w:rPr>
          <w:rFonts w:hint="eastAsia" w:ascii="宋体" w:hAnsi="宋体" w:eastAsia="宋体" w:cs="Times New Roman"/>
          <w:color w:val="000000" w:themeColor="text1"/>
          <w:sz w:val="24"/>
          <w:szCs w:val="24"/>
        </w:rPr>
        <w:t>无组织</w:t>
      </w:r>
      <w:r>
        <w:rPr>
          <w:rFonts w:ascii="宋体" w:hAnsi="宋体" w:eastAsia="宋体" w:cs="Times New Roman"/>
          <w:color w:val="000000" w:themeColor="text1"/>
          <w:sz w:val="24"/>
          <w:szCs w:val="24"/>
        </w:rPr>
        <w:t>废气</w:t>
      </w:r>
      <w:r>
        <w:rPr>
          <w:rFonts w:hint="eastAsia" w:ascii="宋体" w:hAnsi="宋体" w:eastAsia="宋体" w:cs="Times New Roman"/>
          <w:color w:val="000000" w:themeColor="text1"/>
          <w:sz w:val="24"/>
          <w:szCs w:val="24"/>
          <w:lang w:val="en-US" w:eastAsia="zh-CN"/>
        </w:rPr>
        <w:t>中</w:t>
      </w:r>
      <w:r>
        <w:rPr>
          <w:rFonts w:hint="eastAsia" w:ascii="宋体" w:hAnsi="宋体" w:eastAsia="宋体" w:cs="Times New Roman"/>
          <w:color w:val="000000" w:themeColor="text1"/>
          <w:sz w:val="24"/>
          <w:szCs w:val="24"/>
          <w:lang w:eastAsia="zh-CN"/>
        </w:rPr>
        <w:t>颗粒物、非甲烷总烃的厂</w:t>
      </w:r>
      <w:r>
        <w:rPr>
          <w:rFonts w:hint="eastAsia" w:ascii="宋体" w:hAnsi="宋体" w:eastAsia="宋体" w:cs="Times New Roman"/>
          <w:color w:val="000000" w:themeColor="text1"/>
          <w:sz w:val="24"/>
          <w:szCs w:val="24"/>
        </w:rPr>
        <w:t>界外最高浓度值</w:t>
      </w:r>
      <w:r>
        <w:rPr>
          <w:rFonts w:hint="eastAsia" w:ascii="宋体" w:hAnsi="宋体" w:eastAsia="宋体" w:cs="Times New Roman"/>
          <w:color w:val="000000" w:themeColor="text1"/>
          <w:sz w:val="24"/>
          <w:szCs w:val="24"/>
          <w:lang w:eastAsia="zh-CN"/>
        </w:rPr>
        <w:t>均</w:t>
      </w:r>
      <w:r>
        <w:rPr>
          <w:rFonts w:hint="eastAsia" w:ascii="宋体" w:hAnsi="宋体" w:eastAsia="宋体" w:cs="Times New Roman"/>
          <w:color w:val="000000" w:themeColor="text1"/>
          <w:sz w:val="24"/>
          <w:szCs w:val="24"/>
        </w:rPr>
        <w:t>符合</w:t>
      </w:r>
      <w:r>
        <w:rPr>
          <w:rFonts w:hint="eastAsia" w:ascii="宋体" w:hAnsi="宋体" w:eastAsia="宋体"/>
          <w:color w:val="000000" w:themeColor="text1"/>
          <w:sz w:val="24"/>
          <w:szCs w:val="24"/>
        </w:rPr>
        <w:t>《大气污染物综合排放标准》（</w:t>
      </w:r>
      <w:r>
        <w:rPr>
          <w:rFonts w:ascii="宋体" w:hAnsi="宋体" w:eastAsia="宋体" w:cs="Times New Roman"/>
          <w:color w:val="000000" w:themeColor="text1"/>
          <w:sz w:val="24"/>
          <w:szCs w:val="24"/>
        </w:rPr>
        <w:t>GB16297-1996</w:t>
      </w:r>
      <w:r>
        <w:rPr>
          <w:rFonts w:hint="eastAsia" w:ascii="宋体" w:hAnsi="宋体" w:eastAsia="宋体"/>
          <w:color w:val="000000" w:themeColor="text1"/>
          <w:sz w:val="24"/>
          <w:szCs w:val="24"/>
        </w:rPr>
        <w:t>）表</w:t>
      </w:r>
      <w:r>
        <w:rPr>
          <w:rFonts w:ascii="宋体" w:hAnsi="宋体" w:eastAsia="宋体" w:cs="Times New Roman"/>
          <w:color w:val="000000" w:themeColor="text1"/>
          <w:sz w:val="24"/>
          <w:szCs w:val="24"/>
        </w:rPr>
        <w:t>2</w:t>
      </w:r>
      <w:r>
        <w:rPr>
          <w:rFonts w:hint="eastAsia" w:ascii="宋体" w:hAnsi="宋体" w:eastAsia="宋体"/>
          <w:color w:val="000000" w:themeColor="text1"/>
          <w:sz w:val="24"/>
          <w:szCs w:val="24"/>
        </w:rPr>
        <w:t>中无组织排放浓度限值要求，</w:t>
      </w:r>
      <w:r>
        <w:rPr>
          <w:rFonts w:hint="eastAsia" w:ascii="宋体" w:hAnsi="宋体" w:eastAsia="宋体"/>
          <w:color w:val="000000" w:themeColor="text1"/>
          <w:sz w:val="24"/>
          <w:szCs w:val="24"/>
          <w:lang w:eastAsia="zh-CN"/>
        </w:rPr>
        <w:t>为</w:t>
      </w:r>
      <w:r>
        <w:rPr>
          <w:rFonts w:hint="eastAsia" w:ascii="宋体" w:hAnsi="宋体" w:eastAsia="宋体" w:cs="Times New Roman"/>
          <w:color w:val="000000" w:themeColor="text1"/>
          <w:sz w:val="24"/>
          <w:szCs w:val="24"/>
        </w:rPr>
        <w:t>达标排放</w:t>
      </w:r>
      <w:r>
        <w:rPr>
          <w:rFonts w:ascii="Times New Roman" w:hAnsi="Times New Roman"/>
          <w:color w:val="000000" w:themeColor="text1"/>
          <w:sz w:val="24"/>
          <w:szCs w:val="24"/>
        </w:rPr>
        <w:t>。</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3.厂界噪声</w:t>
      </w:r>
    </w:p>
    <w:p>
      <w:pPr>
        <w:keepNext w:val="0"/>
        <w:keepLines w:val="0"/>
        <w:pageBreakBefore w:val="0"/>
        <w:widowControl/>
        <w:kinsoku/>
        <w:wordWrap/>
        <w:overflowPunct/>
        <w:topLinePunct w:val="0"/>
        <w:bidi w:val="0"/>
        <w:spacing w:line="360" w:lineRule="auto"/>
        <w:ind w:firstLine="360" w:firstLineChars="15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监测结果表明</w:t>
      </w:r>
      <w:r>
        <w:rPr>
          <w:rFonts w:hint="eastAsia" w:asciiTheme="minorEastAsia" w:hAnsiTheme="minorEastAsia" w:eastAsiaTheme="minorEastAsia" w:cstheme="minorEastAsia"/>
          <w:color w:val="000000" w:themeColor="text1"/>
          <w:sz w:val="24"/>
          <w:szCs w:val="24"/>
          <w:lang w:eastAsia="zh-CN"/>
        </w:rPr>
        <w:t>，</w:t>
      </w:r>
      <w:r>
        <w:rPr>
          <w:rFonts w:ascii="宋体" w:hAnsi="宋体" w:cs="Times New Roman"/>
          <w:color w:val="000000" w:themeColor="text1"/>
          <w:sz w:val="24"/>
          <w:szCs w:val="24"/>
        </w:rPr>
        <w:t>该项目厂界昼间噪声</w:t>
      </w:r>
      <w:r>
        <w:rPr>
          <w:rFonts w:hint="eastAsia" w:ascii="宋体" w:hAnsi="宋体" w:cs="Times New Roman"/>
          <w:color w:val="000000" w:themeColor="text1"/>
          <w:sz w:val="24"/>
          <w:szCs w:val="24"/>
        </w:rPr>
        <w:t>、</w:t>
      </w:r>
      <w:r>
        <w:rPr>
          <w:rFonts w:ascii="宋体" w:hAnsi="宋体" w:cs="Times New Roman"/>
          <w:color w:val="000000" w:themeColor="text1"/>
          <w:sz w:val="24"/>
          <w:szCs w:val="24"/>
        </w:rPr>
        <w:t>厂界</w:t>
      </w:r>
      <w:r>
        <w:rPr>
          <w:rFonts w:hint="eastAsia" w:ascii="宋体" w:hAnsi="宋体" w:cs="Times New Roman"/>
          <w:color w:val="000000" w:themeColor="text1"/>
          <w:sz w:val="24"/>
          <w:szCs w:val="24"/>
        </w:rPr>
        <w:t>夜</w:t>
      </w:r>
      <w:r>
        <w:rPr>
          <w:rFonts w:ascii="宋体" w:hAnsi="宋体" w:cs="Times New Roman"/>
          <w:color w:val="000000" w:themeColor="text1"/>
          <w:sz w:val="24"/>
          <w:szCs w:val="24"/>
        </w:rPr>
        <w:t>间噪声</w:t>
      </w:r>
      <w:r>
        <w:rPr>
          <w:rFonts w:hint="eastAsia" w:ascii="宋体" w:hAnsi="宋体" w:cs="Times New Roman"/>
          <w:bCs/>
          <w:color w:val="000000" w:themeColor="text1"/>
          <w:sz w:val="24"/>
          <w:szCs w:val="24"/>
        </w:rPr>
        <w:t>满足</w:t>
      </w:r>
      <w:r>
        <w:rPr>
          <w:rFonts w:hint="eastAsia" w:ascii="宋体" w:hAnsi="宋体"/>
          <w:color w:val="000000" w:themeColor="text1"/>
          <w:sz w:val="24"/>
          <w:szCs w:val="24"/>
        </w:rPr>
        <w:t>业企业厂界环境噪声排放噪声标准</w:t>
      </w:r>
      <w:r>
        <w:rPr>
          <w:rFonts w:ascii="宋体" w:hAnsi="宋体" w:cs="Times New Roman"/>
          <w:color w:val="000000" w:themeColor="text1"/>
          <w:sz w:val="24"/>
          <w:szCs w:val="24"/>
        </w:rPr>
        <w:t>》（GB12348-</w:t>
      </w:r>
      <w:r>
        <w:rPr>
          <w:rFonts w:hint="eastAsia" w:ascii="宋体" w:hAnsi="宋体" w:cs="Times New Roman"/>
          <w:color w:val="000000" w:themeColor="text1"/>
          <w:sz w:val="24"/>
          <w:szCs w:val="24"/>
        </w:rPr>
        <w:t>2008</w:t>
      </w:r>
      <w:r>
        <w:rPr>
          <w:rFonts w:ascii="宋体" w:hAnsi="宋体" w:cs="Times New Roman"/>
          <w:color w:val="000000" w:themeColor="text1"/>
          <w:sz w:val="24"/>
          <w:szCs w:val="24"/>
        </w:rPr>
        <w:t>）</w:t>
      </w:r>
      <w:r>
        <w:rPr>
          <w:rFonts w:hint="eastAsia" w:ascii="宋体" w:hAnsi="宋体" w:eastAsia="宋体" w:cs="宋体"/>
          <w:color w:val="000000" w:themeColor="text1"/>
          <w:sz w:val="24"/>
          <w:szCs w:val="24"/>
          <w:lang w:val="en-US" w:eastAsia="zh-CN"/>
        </w:rPr>
        <w:t>3</w:t>
      </w:r>
      <w:r>
        <w:rPr>
          <w:rFonts w:ascii="宋体" w:hAnsi="宋体" w:cs="Times New Roman"/>
          <w:color w:val="000000" w:themeColor="text1"/>
          <w:sz w:val="24"/>
          <w:szCs w:val="24"/>
        </w:rPr>
        <w:t>类标准限值</w:t>
      </w:r>
      <w:r>
        <w:rPr>
          <w:rFonts w:hint="eastAsia" w:ascii="宋体" w:hAnsi="宋体" w:cs="Times New Roman"/>
          <w:color w:val="000000" w:themeColor="text1"/>
          <w:sz w:val="24"/>
          <w:szCs w:val="24"/>
        </w:rPr>
        <w:t>要求，为达标排放</w:t>
      </w:r>
      <w:r>
        <w:rPr>
          <w:rFonts w:hint="eastAsia" w:asciiTheme="minorEastAsia" w:hAnsiTheme="minorEastAsia" w:eastAsiaTheme="minorEastAsia" w:cstheme="minorEastAsia"/>
          <w:color w:val="000000" w:themeColor="text1"/>
          <w:sz w:val="24"/>
          <w:szCs w:val="24"/>
        </w:rPr>
        <w:t>。</w:t>
      </w:r>
    </w:p>
    <w:p>
      <w:pPr>
        <w:pStyle w:val="52"/>
        <w:keepNext w:val="0"/>
        <w:keepLines w:val="0"/>
        <w:pageBreakBefore w:val="0"/>
        <w:widowControl/>
        <w:kinsoku/>
        <w:wordWrap/>
        <w:overflowPunct/>
        <w:topLinePunct w:val="0"/>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rPr>
        <w:t>4.固体废物</w:t>
      </w:r>
    </w:p>
    <w:p>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FF0000"/>
          <w:sz w:val="24"/>
          <w:szCs w:val="24"/>
          <w:lang w:eastAsia="zh-CN"/>
        </w:rPr>
      </w:pPr>
      <w:r>
        <w:rPr>
          <w:rFonts w:hint="eastAsia" w:asciiTheme="minorEastAsia" w:hAnsiTheme="minorEastAsia" w:eastAsiaTheme="minorEastAsia" w:cstheme="minorEastAsia"/>
          <w:color w:val="000000" w:themeColor="text1"/>
          <w:sz w:val="24"/>
          <w:szCs w:val="24"/>
          <w:lang w:eastAsia="zh-CN"/>
        </w:rPr>
        <w:t>项</w:t>
      </w:r>
      <w:r>
        <w:rPr>
          <w:rFonts w:hint="eastAsia" w:asciiTheme="minorEastAsia" w:hAnsiTheme="minorEastAsia" w:eastAsiaTheme="minorEastAsia" w:cstheme="minorEastAsia"/>
          <w:color w:val="000000" w:themeColor="text1"/>
          <w:sz w:val="24"/>
          <w:szCs w:val="24"/>
        </w:rPr>
        <w:t>目产生的固体废物主要为生活垃圾、</w:t>
      </w:r>
      <w:r>
        <w:rPr>
          <w:rFonts w:hint="eastAsia" w:asciiTheme="minorEastAsia" w:hAnsiTheme="minorEastAsia" w:eastAsiaTheme="minorEastAsia" w:cstheme="minorEastAsia"/>
          <w:color w:val="000000" w:themeColor="text1"/>
          <w:sz w:val="24"/>
          <w:szCs w:val="24"/>
          <w:lang w:eastAsia="zh-CN"/>
        </w:rPr>
        <w:t>危险废物</w:t>
      </w:r>
      <w:r>
        <w:rPr>
          <w:rFonts w:hint="eastAsia" w:asciiTheme="minorEastAsia" w:hAnsiTheme="minorEastAsia" w:eastAsiaTheme="minorEastAsia" w:cstheme="minorEastAsia"/>
          <w:color w:val="000000" w:themeColor="text1"/>
          <w:sz w:val="24"/>
          <w:szCs w:val="24"/>
        </w:rPr>
        <w:t>。根据现场调查，生活垃圾交由环卫部门处理，</w:t>
      </w:r>
      <w:r>
        <w:rPr>
          <w:rFonts w:hint="eastAsia" w:asciiTheme="minorEastAsia" w:hAnsiTheme="minorEastAsia" w:cstheme="minorEastAsia"/>
          <w:color w:val="000000" w:themeColor="text1"/>
          <w:sz w:val="24"/>
          <w:szCs w:val="24"/>
          <w:lang w:eastAsia="zh-CN"/>
        </w:rPr>
        <w:t>危险废物签有协议，</w:t>
      </w:r>
      <w:r>
        <w:rPr>
          <w:rFonts w:hint="eastAsia" w:asciiTheme="minorEastAsia" w:hAnsiTheme="minorEastAsia" w:eastAsiaTheme="minorEastAsia" w:cstheme="minorEastAsia"/>
          <w:color w:val="000000" w:themeColor="text1"/>
          <w:sz w:val="24"/>
          <w:szCs w:val="24"/>
          <w:lang w:eastAsia="zh-CN"/>
        </w:rPr>
        <w:t>满足</w:t>
      </w:r>
      <w:r>
        <w:rPr>
          <w:rFonts w:hint="eastAsia" w:asciiTheme="minorEastAsia" w:hAnsiTheme="minorEastAsia" w:eastAsiaTheme="minorEastAsia" w:cstheme="minorEastAsia"/>
          <w:color w:val="000000" w:themeColor="text1"/>
          <w:sz w:val="24"/>
          <w:szCs w:val="24"/>
        </w:rPr>
        <w:t>固体废物治理设施的处理效果</w:t>
      </w:r>
      <w:r>
        <w:rPr>
          <w:rFonts w:hint="eastAsia" w:asciiTheme="minorEastAsia" w:hAnsiTheme="minorEastAsia" w:eastAsiaTheme="minorEastAsia" w:cstheme="minorEastAsia"/>
          <w:color w:val="000000" w:themeColor="text1"/>
          <w:sz w:val="24"/>
          <w:szCs w:val="24"/>
          <w:lang w:eastAsia="zh-CN"/>
        </w:rPr>
        <w:t>。</w:t>
      </w:r>
    </w:p>
    <w:p>
      <w:pPr>
        <w:pStyle w:val="52"/>
        <w:keepNext w:val="0"/>
        <w:keepLines w:val="0"/>
        <w:pageBreakBefore w:val="0"/>
        <w:widowControl/>
        <w:kinsoku/>
        <w:wordWrap/>
        <w:overflowPunct/>
        <w:topLinePunct w:val="0"/>
        <w:autoSpaceDE/>
        <w:autoSpaceDN/>
        <w:bidi w:val="0"/>
        <w:spacing w:before="0" w:beforeAutospacing="0" w:after="0" w:afterAutospacing="0" w:line="360" w:lineRule="auto"/>
        <w:ind w:firstLine="480" w:firstLineChars="200"/>
        <w:jc w:val="both"/>
        <w:textAlignment w:val="auto"/>
        <w:outlineLvl w:val="0"/>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lang w:val="en-US" w:eastAsia="zh-CN"/>
        </w:rPr>
        <w:t>5</w:t>
      </w:r>
      <w:r>
        <w:rPr>
          <w:rFonts w:hint="eastAsia" w:asciiTheme="minorEastAsia" w:hAnsiTheme="minorEastAsia" w:eastAsiaTheme="minorEastAsia" w:cstheme="minorEastAsia"/>
          <w:color w:val="000000" w:themeColor="text1"/>
          <w:sz w:val="24"/>
          <w:szCs w:val="24"/>
        </w:rPr>
        <w:t>.污染物排放总量</w:t>
      </w:r>
    </w:p>
    <w:p>
      <w:pPr>
        <w:keepNext w:val="0"/>
        <w:keepLines w:val="0"/>
        <w:pageBreakBefore w:val="0"/>
        <w:widowControl/>
        <w:kinsoku/>
        <w:wordWrap/>
        <w:overflowPunct/>
        <w:topLinePunct w:val="0"/>
        <w:bidi w:val="0"/>
        <w:spacing w:after="0"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lang w:eastAsia="zh-CN"/>
        </w:rPr>
        <w:t>本项目无总量控制要求。</w:t>
      </w:r>
    </w:p>
    <w:p>
      <w:pPr>
        <w:pStyle w:val="52"/>
        <w:keepNext w:val="0"/>
        <w:keepLines w:val="0"/>
        <w:pageBreakBefore w:val="0"/>
        <w:widowControl/>
        <w:kinsoku/>
        <w:wordWrap/>
        <w:overflowPunct/>
        <w:topLinePunct w:val="0"/>
        <w:bidi w:val="0"/>
        <w:spacing w:before="0" w:beforeAutospacing="0" w:after="0" w:afterAutospacing="0" w:line="360" w:lineRule="auto"/>
        <w:ind w:firstLine="482" w:firstLineChars="200"/>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五、工程建设对环境的影响</w:t>
      </w:r>
    </w:p>
    <w:p>
      <w:pPr>
        <w:keepNext w:val="0"/>
        <w:keepLines w:val="0"/>
        <w:pageBreakBefore w:val="0"/>
        <w:widowControl/>
        <w:tabs>
          <w:tab w:val="center" w:pos="4592"/>
        </w:tabs>
        <w:kinsoku/>
        <w:wordWrap/>
        <w:overflowPunct/>
        <w:topLinePunct w:val="0"/>
        <w:bidi w:val="0"/>
        <w:spacing w:line="360" w:lineRule="auto"/>
        <w:ind w:firstLine="360" w:firstLineChars="15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b w:val="0"/>
          <w:bCs w:val="0"/>
          <w:color w:val="000000" w:themeColor="text1"/>
          <w:kern w:val="0"/>
          <w:sz w:val="24"/>
          <w:szCs w:val="24"/>
          <w:lang w:val="en-US" w:eastAsia="zh-CN"/>
        </w:rPr>
        <w:t>本</w:t>
      </w:r>
      <w:r>
        <w:rPr>
          <w:rFonts w:hint="eastAsia" w:asciiTheme="minorEastAsia" w:hAnsiTheme="minorEastAsia" w:eastAsiaTheme="minorEastAsia" w:cstheme="minorEastAsia"/>
          <w:color w:val="000000" w:themeColor="text1"/>
          <w:sz w:val="24"/>
          <w:szCs w:val="24"/>
        </w:rPr>
        <w:t>项目废水</w:t>
      </w:r>
      <w:r>
        <w:rPr>
          <w:rFonts w:hint="eastAsia" w:asciiTheme="minorEastAsia" w:hAnsiTheme="minorEastAsia" w:cstheme="minorEastAsia"/>
          <w:color w:val="000000" w:themeColor="text1"/>
          <w:sz w:val="24"/>
          <w:szCs w:val="24"/>
          <w:lang w:eastAsia="zh-CN"/>
        </w:rPr>
        <w:t>主要有</w:t>
      </w:r>
      <w:r>
        <w:rPr>
          <w:rFonts w:hint="eastAsia" w:asciiTheme="minorEastAsia" w:hAnsiTheme="minorEastAsia" w:eastAsiaTheme="minorEastAsia" w:cstheme="minorEastAsia"/>
          <w:color w:val="000000" w:themeColor="text1"/>
          <w:sz w:val="24"/>
          <w:szCs w:val="24"/>
        </w:rPr>
        <w:t>和生活污水。根据现场勘察情况，</w:t>
      </w:r>
      <w:r>
        <w:rPr>
          <w:rFonts w:hint="eastAsia" w:asciiTheme="minorEastAsia" w:hAnsiTheme="minorEastAsia" w:eastAsiaTheme="minorEastAsia" w:cstheme="minorEastAsia"/>
          <w:color w:val="000000" w:themeColor="text1"/>
          <w:sz w:val="24"/>
          <w:szCs w:val="24"/>
          <w:lang w:eastAsia="zh-CN"/>
        </w:rPr>
        <w:t>生活</w:t>
      </w:r>
      <w:r>
        <w:rPr>
          <w:rFonts w:hint="eastAsia" w:asciiTheme="minorEastAsia" w:hAnsiTheme="minorEastAsia" w:eastAsiaTheme="minorEastAsia" w:cstheme="minorEastAsia"/>
          <w:bCs/>
          <w:color w:val="000000" w:themeColor="text1"/>
          <w:sz w:val="24"/>
          <w:szCs w:val="24"/>
        </w:rPr>
        <w:t>污水经</w:t>
      </w:r>
      <w:r>
        <w:rPr>
          <w:rFonts w:hint="eastAsia" w:asciiTheme="minorEastAsia" w:hAnsiTheme="minorEastAsia" w:eastAsiaTheme="minorEastAsia" w:cstheme="minorEastAsia"/>
          <w:bCs/>
          <w:color w:val="000000" w:themeColor="text1"/>
          <w:sz w:val="24"/>
          <w:szCs w:val="24"/>
          <w:lang w:eastAsia="zh-CN"/>
        </w:rPr>
        <w:t>化粪池</w:t>
      </w:r>
      <w:r>
        <w:rPr>
          <w:rFonts w:hint="eastAsia" w:asciiTheme="minorEastAsia" w:hAnsiTheme="minorEastAsia" w:eastAsiaTheme="minorEastAsia" w:cstheme="minorEastAsia"/>
          <w:bCs/>
          <w:color w:val="000000" w:themeColor="text1"/>
          <w:sz w:val="24"/>
          <w:szCs w:val="24"/>
        </w:rPr>
        <w:t>处理后</w:t>
      </w:r>
      <w:r>
        <w:rPr>
          <w:rFonts w:hint="eastAsia" w:asciiTheme="minorEastAsia" w:hAnsiTheme="minorEastAsia" w:cstheme="minorEastAsia"/>
          <w:bCs/>
          <w:color w:val="000000" w:themeColor="text1"/>
          <w:sz w:val="24"/>
          <w:szCs w:val="24"/>
          <w:lang w:eastAsia="zh-CN"/>
        </w:rPr>
        <w:t>排入城镇污水管网</w:t>
      </w:r>
      <w:r>
        <w:rPr>
          <w:rFonts w:hint="eastAsia" w:asciiTheme="minorEastAsia" w:hAnsiTheme="minorEastAsia" w:eastAsiaTheme="minorEastAsia" w:cstheme="minorEastAsia"/>
          <w:color w:val="000000" w:themeColor="text1"/>
          <w:sz w:val="24"/>
          <w:szCs w:val="24"/>
        </w:rPr>
        <w:t>。项目的废气</w:t>
      </w:r>
      <w:r>
        <w:rPr>
          <w:rFonts w:hint="eastAsia" w:asciiTheme="minorEastAsia" w:hAnsiTheme="minorEastAsia" w:cstheme="minorEastAsia"/>
          <w:color w:val="000000" w:themeColor="text1"/>
          <w:sz w:val="24"/>
          <w:szCs w:val="24"/>
          <w:lang w:eastAsia="zh-CN"/>
        </w:rPr>
        <w:t>有</w:t>
      </w:r>
      <w:r>
        <w:rPr>
          <w:rFonts w:hint="eastAsia" w:asciiTheme="minorEastAsia" w:hAnsiTheme="minorEastAsia" w:eastAsiaTheme="minorEastAsia" w:cstheme="minorEastAsia"/>
          <w:color w:val="000000" w:themeColor="text1"/>
          <w:sz w:val="24"/>
          <w:szCs w:val="24"/>
          <w:lang w:eastAsia="zh-CN"/>
        </w:rPr>
        <w:t>生产工艺</w:t>
      </w:r>
      <w:r>
        <w:rPr>
          <w:rFonts w:hint="eastAsia" w:asciiTheme="minorEastAsia" w:hAnsiTheme="minorEastAsia" w:cstheme="minorEastAsia"/>
          <w:color w:val="000000" w:themeColor="text1"/>
          <w:sz w:val="24"/>
          <w:szCs w:val="24"/>
          <w:lang w:eastAsia="zh-CN"/>
        </w:rPr>
        <w:t>产生的无组织废气（颗粒物、非甲烷总烃</w:t>
      </w:r>
      <w:r>
        <w:rPr>
          <w:rFonts w:hint="eastAsia" w:asciiTheme="minorEastAsia" w:hAnsiTheme="minorEastAsia" w:cstheme="minorEastAsia"/>
          <w:color w:val="000000" w:themeColor="text1"/>
          <w:sz w:val="24"/>
          <w:szCs w:val="24"/>
          <w:lang w:val="en-US" w:eastAsia="zh-CN"/>
        </w:rPr>
        <w:t>）</w:t>
      </w:r>
      <w:r>
        <w:rPr>
          <w:rFonts w:hint="eastAsia" w:asciiTheme="minorEastAsia" w:hAnsiTheme="minorEastAsia" w:eastAsiaTheme="minorEastAsia" w:cstheme="minorEastAsia"/>
          <w:color w:val="000000" w:themeColor="text1"/>
          <w:sz w:val="24"/>
          <w:szCs w:val="24"/>
        </w:rPr>
        <w:t>，</w:t>
      </w:r>
      <w:r>
        <w:rPr>
          <w:rFonts w:hint="eastAsia" w:asciiTheme="minorEastAsia" w:hAnsiTheme="minorEastAsia" w:cstheme="minorEastAsia"/>
          <w:color w:val="000000" w:themeColor="text1"/>
          <w:sz w:val="24"/>
          <w:szCs w:val="24"/>
          <w:lang w:eastAsia="zh-CN"/>
        </w:rPr>
        <w:t>通过厂区通风成</w:t>
      </w:r>
      <w:r>
        <w:rPr>
          <w:rFonts w:hint="eastAsia" w:asciiTheme="minorEastAsia" w:hAnsiTheme="minorEastAsia" w:eastAsiaTheme="minorEastAsia" w:cstheme="minorEastAsia"/>
          <w:color w:val="000000" w:themeColor="text1"/>
          <w:sz w:val="24"/>
          <w:szCs w:val="24"/>
        </w:rPr>
        <w:t>无组织排放</w:t>
      </w:r>
      <w:r>
        <w:rPr>
          <w:rFonts w:hint="eastAsia" w:asciiTheme="minorEastAsia" w:hAnsiTheme="minorEastAsia" w:cstheme="minorEastAsia"/>
          <w:color w:val="000000" w:themeColor="text1"/>
          <w:sz w:val="24"/>
          <w:szCs w:val="24"/>
          <w:lang w:eastAsia="zh-CN"/>
        </w:rPr>
        <w:t>出去</w:t>
      </w:r>
      <w:r>
        <w:rPr>
          <w:rFonts w:hint="eastAsia" w:asciiTheme="minorEastAsia" w:hAnsiTheme="minorEastAsia" w:eastAsiaTheme="minorEastAsia" w:cstheme="minorEastAsia"/>
          <w:color w:val="000000" w:themeColor="text1"/>
          <w:sz w:val="24"/>
          <w:szCs w:val="24"/>
        </w:rPr>
        <w:t>。项目无高音噪声源，主要噪声源</w:t>
      </w:r>
      <w:r>
        <w:rPr>
          <w:rFonts w:hint="eastAsia" w:asciiTheme="minorEastAsia" w:hAnsiTheme="minorEastAsia" w:eastAsiaTheme="minorEastAsia" w:cstheme="minorEastAsia"/>
          <w:color w:val="000000" w:themeColor="text1"/>
          <w:sz w:val="24"/>
          <w:szCs w:val="24"/>
          <w:lang w:eastAsia="zh-CN"/>
        </w:rPr>
        <w:t>生产</w:t>
      </w:r>
      <w:r>
        <w:rPr>
          <w:rFonts w:hint="eastAsia" w:asciiTheme="minorEastAsia" w:hAnsiTheme="minorEastAsia" w:eastAsiaTheme="minorEastAsia" w:cstheme="minorEastAsia"/>
          <w:color w:val="000000" w:themeColor="text1"/>
          <w:sz w:val="24"/>
          <w:szCs w:val="24"/>
        </w:rPr>
        <w:t>运行时及来往车辆产生的噪声。选用了低噪声</w:t>
      </w:r>
      <w:r>
        <w:rPr>
          <w:rFonts w:hint="eastAsia" w:asciiTheme="minorEastAsia" w:hAnsiTheme="minorEastAsia" w:eastAsiaTheme="minorEastAsia" w:cstheme="minorEastAsia"/>
          <w:color w:val="000000" w:themeColor="text1"/>
          <w:sz w:val="24"/>
          <w:szCs w:val="24"/>
          <w:lang w:eastAsia="zh-CN"/>
        </w:rPr>
        <w:t>设备</w:t>
      </w:r>
      <w:r>
        <w:rPr>
          <w:rFonts w:hint="eastAsia" w:asciiTheme="minorEastAsia" w:hAnsiTheme="minorEastAsia" w:eastAsiaTheme="minorEastAsia" w:cstheme="minorEastAsia"/>
          <w:color w:val="000000" w:themeColor="text1"/>
          <w:sz w:val="24"/>
          <w:szCs w:val="24"/>
        </w:rPr>
        <w:t>，并设置了减振垫，出入区域内来往的机动车减速、禁止鸣笛，减少站内噪声对周边环境的影响。项目产生的固体废物主要为生活垃圾、</w:t>
      </w:r>
      <w:r>
        <w:rPr>
          <w:rFonts w:hint="eastAsia" w:asciiTheme="minorEastAsia" w:hAnsiTheme="minorEastAsia" w:cstheme="minorEastAsia"/>
          <w:color w:val="000000" w:themeColor="text1"/>
          <w:sz w:val="24"/>
          <w:szCs w:val="24"/>
          <w:lang w:eastAsia="zh-CN"/>
        </w:rPr>
        <w:t>危险废物</w:t>
      </w:r>
      <w:r>
        <w:rPr>
          <w:rFonts w:hint="eastAsia" w:asciiTheme="minorEastAsia" w:hAnsiTheme="minorEastAsia" w:eastAsiaTheme="minorEastAsia" w:cstheme="minorEastAsia"/>
          <w:color w:val="000000" w:themeColor="text1"/>
          <w:sz w:val="24"/>
          <w:szCs w:val="24"/>
        </w:rPr>
        <w:t>。根据现场调查，生活垃圾交由环卫部门处理，</w:t>
      </w:r>
      <w:r>
        <w:rPr>
          <w:rFonts w:hint="eastAsia" w:asciiTheme="minorEastAsia" w:hAnsiTheme="minorEastAsia" w:cstheme="minorEastAsia"/>
          <w:color w:val="000000" w:themeColor="text1"/>
          <w:sz w:val="24"/>
          <w:szCs w:val="24"/>
          <w:lang w:eastAsia="zh-CN"/>
        </w:rPr>
        <w:t>危险废物签有协议</w:t>
      </w:r>
      <w:r>
        <w:rPr>
          <w:rFonts w:hint="eastAsia" w:asciiTheme="minorEastAsia" w:hAnsiTheme="minorEastAsia" w:eastAsiaTheme="minorEastAsia" w:cstheme="minorEastAsia"/>
          <w:color w:val="000000" w:themeColor="text1"/>
          <w:sz w:val="24"/>
          <w:szCs w:val="24"/>
        </w:rPr>
        <w:t>。根据</w:t>
      </w:r>
      <w:r>
        <w:rPr>
          <w:rFonts w:hint="eastAsia" w:asciiTheme="minorEastAsia" w:hAnsiTheme="minorEastAsia" w:eastAsiaTheme="minorEastAsia" w:cstheme="minorEastAsia"/>
          <w:color w:val="000000" w:themeColor="text1"/>
          <w:sz w:val="24"/>
          <w:szCs w:val="24"/>
          <w:lang w:eastAsia="zh-CN"/>
        </w:rPr>
        <w:t>综合</w:t>
      </w:r>
      <w:r>
        <w:rPr>
          <w:rFonts w:hint="eastAsia" w:asciiTheme="minorEastAsia" w:hAnsiTheme="minorEastAsia" w:eastAsiaTheme="minorEastAsia" w:cstheme="minorEastAsia"/>
          <w:color w:val="000000" w:themeColor="text1"/>
          <w:sz w:val="24"/>
          <w:szCs w:val="24"/>
        </w:rPr>
        <w:t>监测结果</w:t>
      </w:r>
      <w:r>
        <w:rPr>
          <w:rFonts w:hint="eastAsia" w:asciiTheme="minorEastAsia" w:hAnsiTheme="minorEastAsia" w:eastAsiaTheme="minorEastAsia" w:cstheme="minorEastAsia"/>
          <w:color w:val="000000" w:themeColor="text1"/>
          <w:sz w:val="24"/>
          <w:szCs w:val="24"/>
          <w:lang w:eastAsia="zh-CN"/>
        </w:rPr>
        <w:t>，本项目工程建设对环境的影响较低。</w:t>
      </w:r>
    </w:p>
    <w:p>
      <w:pPr>
        <w:pStyle w:val="52"/>
        <w:keepNext w:val="0"/>
        <w:keepLines w:val="0"/>
        <w:pageBreakBefore w:val="0"/>
        <w:widowControl/>
        <w:kinsoku/>
        <w:wordWrap/>
        <w:overflowPunct/>
        <w:topLinePunct w:val="0"/>
        <w:bidi w:val="0"/>
        <w:spacing w:before="0" w:beforeAutospacing="0" w:after="0" w:afterAutospacing="0" w:line="360" w:lineRule="auto"/>
        <w:ind w:firstLine="482" w:firstLineChars="200"/>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六、验收结论</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color w:val="000000" w:themeColor="text1"/>
          <w:sz w:val="24"/>
          <w:szCs w:val="24"/>
        </w:rPr>
      </w:pPr>
      <w:r>
        <w:rPr>
          <w:rFonts w:hint="eastAsia" w:asciiTheme="minorEastAsia" w:hAnsiTheme="minorEastAsia" w:eastAsiaTheme="minorEastAsia" w:cstheme="minorEastAsia"/>
          <w:color w:val="000000" w:themeColor="text1"/>
          <w:sz w:val="24"/>
          <w:szCs w:val="24"/>
          <w:lang w:eastAsia="zh-CN"/>
        </w:rPr>
        <w:t>根据</w:t>
      </w:r>
      <w:r>
        <w:rPr>
          <w:rFonts w:hint="eastAsia" w:asciiTheme="minorEastAsia" w:hAnsiTheme="minorEastAsia" w:eastAsiaTheme="minorEastAsia" w:cstheme="minorEastAsia"/>
          <w:color w:val="000000" w:themeColor="text1"/>
          <w:sz w:val="24"/>
          <w:szCs w:val="24"/>
        </w:rPr>
        <w:t>《建设项目竣工环境保护验收暂行办法》中所规定的验收</w:t>
      </w:r>
      <w:r>
        <w:rPr>
          <w:rFonts w:hint="eastAsia" w:asciiTheme="minorEastAsia" w:hAnsiTheme="minorEastAsia" w:eastAsiaTheme="minorEastAsia" w:cstheme="minorEastAsia"/>
          <w:color w:val="000000" w:themeColor="text1"/>
          <w:sz w:val="24"/>
          <w:szCs w:val="24"/>
          <w:lang w:eastAsia="zh-CN"/>
        </w:rPr>
        <w:t>对是否</w:t>
      </w:r>
      <w:r>
        <w:rPr>
          <w:rFonts w:hint="eastAsia" w:asciiTheme="minorEastAsia" w:hAnsiTheme="minorEastAsia" w:eastAsiaTheme="minorEastAsia" w:cstheme="minorEastAsia"/>
          <w:color w:val="000000" w:themeColor="text1"/>
          <w:sz w:val="24"/>
          <w:szCs w:val="24"/>
        </w:rPr>
        <w:t>合格情形对项目逐一对照核查，</w:t>
      </w:r>
      <w:r>
        <w:rPr>
          <w:rFonts w:hint="eastAsia" w:asciiTheme="minorEastAsia" w:hAnsiTheme="minorEastAsia" w:eastAsiaTheme="minorEastAsia" w:cstheme="minorEastAsia"/>
          <w:color w:val="000000" w:themeColor="text1"/>
          <w:sz w:val="24"/>
          <w:szCs w:val="24"/>
          <w:lang w:eastAsia="zh-CN"/>
        </w:rPr>
        <w:t>以及</w:t>
      </w:r>
      <w:r>
        <w:rPr>
          <w:rFonts w:hint="eastAsia" w:asciiTheme="minorEastAsia" w:hAnsiTheme="minorEastAsia" w:eastAsiaTheme="minorEastAsia" w:cstheme="minorEastAsia"/>
          <w:color w:val="000000" w:themeColor="text1"/>
          <w:sz w:val="24"/>
          <w:szCs w:val="24"/>
        </w:rPr>
        <w:t>与项目环境影响评价文件及审批文件相对照，该项目基本落实了环评文件中提出的各项污染防治措施，各项监测指标均满足标准要求，项目的实施在一定程度上促进了所在地区的经济发展，在项目保证现有环境保护设施正常运行的前提下，基本达到环境保护验收条件，可申请环保验收。</w:t>
      </w:r>
    </w:p>
    <w:p>
      <w:pPr>
        <w:pStyle w:val="52"/>
        <w:keepNext w:val="0"/>
        <w:keepLines w:val="0"/>
        <w:pageBreakBefore w:val="0"/>
        <w:widowControl/>
        <w:numPr>
          <w:ilvl w:val="0"/>
          <w:numId w:val="5"/>
        </w:numPr>
        <w:kinsoku/>
        <w:wordWrap/>
        <w:overflowPunct/>
        <w:topLinePunct w:val="0"/>
        <w:bidi w:val="0"/>
        <w:spacing w:before="0" w:beforeAutospacing="0" w:after="0" w:afterAutospacing="0" w:line="360" w:lineRule="auto"/>
        <w:ind w:firstLine="482" w:firstLineChars="200"/>
        <w:jc w:val="both"/>
        <w:textAlignment w:val="auto"/>
        <w:outlineLvl w:val="0"/>
        <w:rPr>
          <w:rFonts w:hint="eastAsia" w:asciiTheme="minorEastAsia" w:hAnsiTheme="minorEastAsia" w:eastAsiaTheme="minorEastAsia" w:cstheme="minorEastAsia"/>
          <w:b/>
          <w:color w:val="000000" w:themeColor="text1"/>
          <w:sz w:val="24"/>
          <w:szCs w:val="24"/>
        </w:rPr>
      </w:pPr>
      <w:r>
        <w:rPr>
          <w:rFonts w:hint="eastAsia" w:asciiTheme="minorEastAsia" w:hAnsiTheme="minorEastAsia" w:eastAsiaTheme="minorEastAsia" w:cstheme="minorEastAsia"/>
          <w:b/>
          <w:color w:val="000000" w:themeColor="text1"/>
          <w:sz w:val="24"/>
          <w:szCs w:val="24"/>
        </w:rPr>
        <w:t>后续要求</w:t>
      </w:r>
    </w:p>
    <w:p>
      <w:pPr>
        <w:keepNext w:val="0"/>
        <w:keepLines w:val="0"/>
        <w:pageBreakBefore w:val="0"/>
        <w:widowControl/>
        <w:kinsoku/>
        <w:wordWrap/>
        <w:overflowPunct/>
        <w:topLinePunct w:val="0"/>
        <w:bidi w:val="0"/>
        <w:spacing w:line="360" w:lineRule="auto"/>
        <w:textAlignment w:val="auto"/>
        <w:rPr>
          <w:rFonts w:ascii="宋体" w:hAnsi="宋体" w:eastAsia="宋体"/>
          <w:sz w:val="24"/>
          <w:szCs w:val="24"/>
        </w:rPr>
      </w:pPr>
      <w:r>
        <w:rPr>
          <w:rFonts w:hint="eastAsia" w:asciiTheme="minorEastAsia" w:hAnsiTheme="minorEastAsia" w:eastAsiaTheme="minorEastAsia" w:cstheme="minorEastAsia"/>
          <w:b/>
          <w:color w:val="FF0000"/>
          <w:sz w:val="24"/>
          <w:szCs w:val="24"/>
        </w:rPr>
        <w:t xml:space="preserve"> </w:t>
      </w:r>
      <w:r>
        <w:rPr>
          <w:rFonts w:hint="eastAsia" w:asciiTheme="minorEastAsia" w:hAnsiTheme="minorEastAsia" w:cstheme="minorEastAsia"/>
          <w:b/>
          <w:color w:val="FF0000"/>
          <w:sz w:val="24"/>
          <w:szCs w:val="24"/>
          <w:lang w:val="en-US" w:eastAsia="zh-CN"/>
        </w:rPr>
        <w:t xml:space="preserve">  </w:t>
      </w:r>
      <w:r>
        <w:rPr>
          <w:rFonts w:hint="eastAsia" w:asciiTheme="minorEastAsia" w:hAnsiTheme="minorEastAsia" w:eastAsiaTheme="minorEastAsia" w:cstheme="minorEastAsia"/>
          <w:b/>
          <w:color w:val="FF0000"/>
          <w:sz w:val="24"/>
          <w:szCs w:val="24"/>
        </w:rPr>
        <w:t xml:space="preserve"> </w:t>
      </w:r>
      <w:r>
        <w:rPr>
          <w:rFonts w:hint="eastAsia" w:ascii="宋体" w:hAnsi="宋体" w:eastAsia="宋体"/>
          <w:sz w:val="24"/>
          <w:szCs w:val="24"/>
        </w:rPr>
        <w:t>1、</w:t>
      </w:r>
      <w:r>
        <w:rPr>
          <w:rFonts w:hint="eastAsia" w:ascii="宋体" w:hAnsi="宋体" w:eastAsia="宋体"/>
          <w:sz w:val="24"/>
          <w:szCs w:val="24"/>
          <w:lang w:eastAsia="zh-CN"/>
        </w:rPr>
        <w:t>加强生产污水治理措施的运行管理，确保生活污水经处理后长期稳定达标排放</w:t>
      </w:r>
      <w:r>
        <w:rPr>
          <w:rFonts w:hint="eastAsia" w:cs="宋体" w:asciiTheme="minorEastAsia" w:hAnsiTheme="minorEastAsia" w:eastAsiaTheme="minorEastAsia"/>
          <w:kern w:val="0"/>
          <w:sz w:val="24"/>
          <w:szCs w:val="24"/>
        </w:rPr>
        <w:t>。</w:t>
      </w:r>
    </w:p>
    <w:p>
      <w:pPr>
        <w:keepNext w:val="0"/>
        <w:keepLines w:val="0"/>
        <w:pageBreakBefore w:val="0"/>
        <w:widowControl/>
        <w:kinsoku/>
        <w:wordWrap/>
        <w:overflowPunct/>
        <w:topLinePunct w:val="0"/>
        <w:bidi w:val="0"/>
        <w:spacing w:line="360" w:lineRule="auto"/>
        <w:ind w:firstLine="480" w:firstLineChars="200"/>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、加强</w:t>
      </w:r>
      <w:r>
        <w:rPr>
          <w:rFonts w:hint="eastAsia" w:asciiTheme="minorEastAsia" w:hAnsiTheme="minorEastAsia" w:eastAsiaTheme="minorEastAsia" w:cstheme="minorEastAsia"/>
          <w:sz w:val="24"/>
          <w:szCs w:val="24"/>
          <w:lang w:eastAsia="zh-CN"/>
        </w:rPr>
        <w:t>废气</w:t>
      </w:r>
      <w:r>
        <w:rPr>
          <w:rFonts w:hint="eastAsia" w:ascii="宋体" w:hAnsi="宋体" w:eastAsia="宋体"/>
          <w:sz w:val="24"/>
          <w:szCs w:val="24"/>
          <w:lang w:eastAsia="zh-CN"/>
        </w:rPr>
        <w:t>治理措施的运行管理，加强车间通风、机械排放措施，减轻无组织废气对周边环境的影响</w:t>
      </w:r>
      <w:r>
        <w:rPr>
          <w:rFonts w:hint="eastAsia" w:cs="宋体" w:asciiTheme="minorEastAsia" w:hAnsiTheme="minorEastAsia" w:eastAsiaTheme="minorEastAsia"/>
          <w:kern w:val="0"/>
          <w:sz w:val="24"/>
          <w:szCs w:val="24"/>
        </w:rPr>
        <w:t>。</w:t>
      </w:r>
    </w:p>
    <w:p>
      <w:pPr>
        <w:spacing w:line="360" w:lineRule="auto"/>
        <w:rPr>
          <w:rFonts w:hint="eastAsia" w:cs="宋体" w:asciiTheme="minorEastAsia" w:hAnsiTheme="minorEastAsia"/>
          <w:kern w:val="0"/>
          <w:sz w:val="24"/>
          <w:szCs w:val="24"/>
          <w:lang w:eastAsia="zh-CN"/>
        </w:rPr>
      </w:pPr>
      <w:r>
        <w:rPr>
          <w:rFonts w:hint="eastAsia" w:cs="宋体" w:asciiTheme="minorEastAsia" w:hAnsiTheme="minorEastAsia" w:eastAsiaTheme="minorEastAsia"/>
          <w:kern w:val="0"/>
          <w:sz w:val="24"/>
          <w:szCs w:val="24"/>
          <w:lang w:val="en-US" w:eastAsia="zh-CN"/>
        </w:rPr>
        <w:t>3</w:t>
      </w:r>
      <w:r>
        <w:rPr>
          <w:rFonts w:hint="eastAsia" w:cs="宋体" w:asciiTheme="minorEastAsia" w:hAnsiTheme="minorEastAsia" w:eastAsiaTheme="minorEastAsia"/>
          <w:kern w:val="0"/>
          <w:sz w:val="24"/>
          <w:szCs w:val="24"/>
        </w:rPr>
        <w:t>、</w:t>
      </w:r>
      <w:r>
        <w:rPr>
          <w:rFonts w:hint="eastAsia" w:cs="宋体" w:asciiTheme="minorEastAsia" w:hAnsiTheme="minorEastAsia" w:eastAsiaTheme="minorEastAsia"/>
          <w:kern w:val="0"/>
          <w:sz w:val="24"/>
          <w:szCs w:val="24"/>
          <w:lang w:eastAsia="zh-CN"/>
        </w:rPr>
        <w:t>严格执行各项环境管理制度，规范环保设施运行操作，完善运行期的废水、废气、固体废物等日常巡查和必要的监测工作，建立健全生产装置和环保设施日常运行维护、管理和台账记录，确保各项污染物长期稳定达标排放，杜绝跑、冒、漏、滴以及事故性排放</w:t>
      </w:r>
      <w:r>
        <w:rPr>
          <w:rFonts w:hint="eastAsia" w:cs="宋体" w:asciiTheme="minorEastAsia" w:hAnsiTheme="minorEastAsia"/>
          <w:kern w:val="0"/>
          <w:sz w:val="24"/>
          <w:szCs w:val="24"/>
          <w:lang w:eastAsia="zh-CN"/>
        </w:rPr>
        <w:t>。</w:t>
      </w:r>
    </w:p>
    <w:p>
      <w:pPr>
        <w:pStyle w:val="24"/>
        <w:rPr>
          <w:rFonts w:hint="eastAsia" w:asciiTheme="minorEastAsia" w:hAnsiTheme="minorEastAsia" w:eastAsiaTheme="minorEastAsia" w:cstheme="minorEastAsia"/>
          <w:sz w:val="24"/>
          <w:szCs w:val="24"/>
        </w:rPr>
        <w:sectPr>
          <w:footerReference r:id="rId1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rPr>
          <w:rFonts w:hint="eastAsia"/>
          <w:lang w:val="en-US" w:eastAsia="zh-CN"/>
        </w:rPr>
      </w:pPr>
      <w:r>
        <w:drawing>
          <wp:inline distT="0" distB="0" distL="114300" distR="114300">
            <wp:extent cx="8857615" cy="4820920"/>
            <wp:effectExtent l="0" t="0" r="635" b="1778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9"/>
                    <a:stretch>
                      <a:fillRect/>
                    </a:stretch>
                  </pic:blipFill>
                  <pic:spPr>
                    <a:xfrm>
                      <a:off x="0" y="0"/>
                      <a:ext cx="8857615" cy="4820920"/>
                    </a:xfrm>
                    <a:prstGeom prst="rect">
                      <a:avLst/>
                    </a:prstGeom>
                    <a:noFill/>
                    <a:ln>
                      <a:noFill/>
                    </a:ln>
                  </pic:spPr>
                </pic:pic>
              </a:graphicData>
            </a:graphic>
          </wp:inline>
        </w:drawing>
      </w:r>
    </w:p>
    <w:p>
      <w:pPr>
        <w:pStyle w:val="24"/>
        <w:rPr>
          <w:rFonts w:hint="eastAsia" w:asciiTheme="minorEastAsia" w:hAnsiTheme="minorEastAsia" w:eastAsiaTheme="minorEastAsia" w:cstheme="minorEastAsia"/>
          <w:sz w:val="24"/>
          <w:szCs w:val="24"/>
        </w:rPr>
      </w:pPr>
    </w:p>
    <w:p>
      <w:pPr>
        <w:pStyle w:val="24"/>
        <w:rPr>
          <w:rFonts w:hint="eastAsia" w:asciiTheme="minorEastAsia" w:hAnsiTheme="minorEastAsia" w:eastAsiaTheme="minorEastAsia" w:cstheme="minorEastAsia"/>
          <w:sz w:val="24"/>
          <w:szCs w:val="24"/>
        </w:rPr>
        <w:sectPr>
          <w:footerReference r:id="rId1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4"/>
        <w:rPr>
          <w:rFonts w:hint="eastAsia" w:asciiTheme="minorEastAsia" w:hAnsiTheme="minorEastAsia" w:eastAsiaTheme="minorEastAsia" w:cstheme="minorEastAsia"/>
          <w:sz w:val="24"/>
          <w:szCs w:val="24"/>
        </w:rPr>
      </w:pPr>
      <w:r>
        <w:rPr>
          <w:rFonts w:hint="eastAsia" w:ascii="宋体" w:hAnsi="宋体"/>
          <w:sz w:val="24"/>
          <w:szCs w:val="24"/>
        </w:rPr>
        <w:t>附件</w:t>
      </w:r>
      <w:r>
        <w:rPr>
          <w:rFonts w:hint="eastAsia" w:ascii="宋体" w:hAnsi="宋体"/>
          <w:sz w:val="24"/>
          <w:szCs w:val="24"/>
          <w:lang w:eastAsia="zh-CN"/>
        </w:rPr>
        <w:t>九</w:t>
      </w:r>
      <w:r>
        <w:rPr>
          <w:rFonts w:hint="eastAsia" w:ascii="宋体" w:hAnsi="宋体"/>
          <w:sz w:val="24"/>
          <w:szCs w:val="24"/>
        </w:rPr>
        <w:t>、</w:t>
      </w:r>
      <w:r>
        <w:rPr>
          <w:rFonts w:hint="eastAsia" w:ascii="宋体" w:hAnsi="宋体"/>
          <w:sz w:val="24"/>
          <w:szCs w:val="24"/>
          <w:lang w:eastAsia="zh-CN"/>
        </w:rPr>
        <w:t>网上</w:t>
      </w:r>
      <w:r>
        <w:rPr>
          <w:rFonts w:hint="eastAsia" w:ascii="宋体" w:hAnsi="宋体"/>
          <w:sz w:val="24"/>
          <w:szCs w:val="24"/>
        </w:rPr>
        <w:t>公示图片</w:t>
      </w:r>
    </w:p>
    <w:p>
      <w:pPr>
        <w:pStyle w:val="24"/>
        <w:rPr>
          <w:rFonts w:hint="eastAsia" w:asciiTheme="minorEastAsia" w:hAnsiTheme="minorEastAsia" w:eastAsiaTheme="minorEastAsia" w:cstheme="minorEastAsia"/>
          <w:sz w:val="24"/>
          <w:szCs w:val="24"/>
        </w:rPr>
        <w:sectPr>
          <w:footerReference r:id="rId1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4"/>
        <w:rPr>
          <w:rFonts w:hint="eastAsia" w:asciiTheme="minorEastAsia" w:hAnsiTheme="minorEastAsia" w:eastAsiaTheme="minorEastAsia" w:cstheme="minorEastAsia"/>
          <w:sz w:val="24"/>
          <w:szCs w:val="24"/>
        </w:rPr>
        <w:sectPr>
          <w:footerReference r:id="rId1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sz w:val="24"/>
          <w:szCs w:val="24"/>
        </w:rPr>
        <w:t>附件</w:t>
      </w:r>
      <w:r>
        <w:rPr>
          <w:rFonts w:hint="eastAsia" w:ascii="宋体" w:hAnsi="宋体"/>
          <w:sz w:val="24"/>
          <w:szCs w:val="24"/>
          <w:lang w:eastAsia="zh-CN"/>
        </w:rPr>
        <w:t>十</w:t>
      </w:r>
      <w:r>
        <w:rPr>
          <w:rFonts w:hint="eastAsia" w:ascii="宋体" w:hAnsi="宋体"/>
          <w:sz w:val="24"/>
          <w:szCs w:val="24"/>
        </w:rPr>
        <w:t>、</w:t>
      </w:r>
      <w:r>
        <w:rPr>
          <w:rFonts w:hint="eastAsia"/>
          <w:sz w:val="24"/>
          <w:szCs w:val="24"/>
          <w:lang w:val="en-US" w:eastAsia="zh-CN"/>
        </w:rPr>
        <w:t>检测报告扫描件</w:t>
      </w:r>
      <w:r>
        <w:drawing>
          <wp:inline distT="0" distB="0" distL="114300" distR="114300">
            <wp:extent cx="5268595" cy="7192645"/>
            <wp:effectExtent l="0" t="0" r="8255" b="825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50"/>
                    <a:stretch>
                      <a:fillRect/>
                    </a:stretch>
                  </pic:blipFill>
                  <pic:spPr>
                    <a:xfrm>
                      <a:off x="0" y="0"/>
                      <a:ext cx="5268595" cy="7192645"/>
                    </a:xfrm>
                    <a:prstGeom prst="rect">
                      <a:avLst/>
                    </a:prstGeom>
                    <a:noFill/>
                    <a:ln>
                      <a:noFill/>
                    </a:ln>
                  </pic:spPr>
                </pic:pic>
              </a:graphicData>
            </a:graphic>
          </wp:inline>
        </w:drawing>
      </w:r>
      <w:r>
        <w:drawing>
          <wp:inline distT="0" distB="0" distL="114300" distR="114300">
            <wp:extent cx="5274310" cy="7251065"/>
            <wp:effectExtent l="0" t="0" r="2540" b="698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51"/>
                    <a:stretch>
                      <a:fillRect/>
                    </a:stretch>
                  </pic:blipFill>
                  <pic:spPr>
                    <a:xfrm>
                      <a:off x="0" y="0"/>
                      <a:ext cx="5274310" cy="7251065"/>
                    </a:xfrm>
                    <a:prstGeom prst="rect">
                      <a:avLst/>
                    </a:prstGeom>
                    <a:noFill/>
                    <a:ln>
                      <a:noFill/>
                    </a:ln>
                  </pic:spPr>
                </pic:pic>
              </a:graphicData>
            </a:graphic>
          </wp:inline>
        </w:drawing>
      </w:r>
      <w:r>
        <w:drawing>
          <wp:inline distT="0" distB="0" distL="114300" distR="114300">
            <wp:extent cx="5270500" cy="7242810"/>
            <wp:effectExtent l="0" t="0" r="6350" b="1524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52"/>
                    <a:stretch>
                      <a:fillRect/>
                    </a:stretch>
                  </pic:blipFill>
                  <pic:spPr>
                    <a:xfrm>
                      <a:off x="0" y="0"/>
                      <a:ext cx="5270500" cy="7242810"/>
                    </a:xfrm>
                    <a:prstGeom prst="rect">
                      <a:avLst/>
                    </a:prstGeom>
                    <a:noFill/>
                    <a:ln>
                      <a:noFill/>
                    </a:ln>
                  </pic:spPr>
                </pic:pic>
              </a:graphicData>
            </a:graphic>
          </wp:inline>
        </w:drawing>
      </w:r>
    </w:p>
    <w:p>
      <w:pPr>
        <w:spacing w:line="360" w:lineRule="auto"/>
        <w:rPr>
          <w:rFonts w:ascii="宋体" w:hAnsi="宋体"/>
          <w:sz w:val="24"/>
          <w:szCs w:val="24"/>
        </w:rPr>
      </w:pPr>
      <w:r>
        <w:drawing>
          <wp:inline distT="0" distB="0" distL="114300" distR="114300">
            <wp:extent cx="6048375" cy="8248650"/>
            <wp:effectExtent l="0" t="0" r="9525" b="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53"/>
                    <a:stretch>
                      <a:fillRect/>
                    </a:stretch>
                  </pic:blipFill>
                  <pic:spPr>
                    <a:xfrm>
                      <a:off x="0" y="0"/>
                      <a:ext cx="6048375" cy="8248650"/>
                    </a:xfrm>
                    <a:prstGeom prst="rect">
                      <a:avLst/>
                    </a:prstGeom>
                    <a:noFill/>
                    <a:ln>
                      <a:noFill/>
                    </a:ln>
                  </pic:spPr>
                </pic:pic>
              </a:graphicData>
            </a:graphic>
          </wp:inline>
        </w:drawing>
      </w:r>
      <w:r>
        <w:drawing>
          <wp:inline distT="0" distB="0" distL="114300" distR="114300">
            <wp:extent cx="6067425" cy="8267700"/>
            <wp:effectExtent l="0" t="0" r="9525" b="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54"/>
                    <a:stretch>
                      <a:fillRect/>
                    </a:stretch>
                  </pic:blipFill>
                  <pic:spPr>
                    <a:xfrm>
                      <a:off x="0" y="0"/>
                      <a:ext cx="6067425" cy="8267700"/>
                    </a:xfrm>
                    <a:prstGeom prst="rect">
                      <a:avLst/>
                    </a:prstGeom>
                    <a:noFill/>
                    <a:ln>
                      <a:noFill/>
                    </a:ln>
                  </pic:spPr>
                </pic:pic>
              </a:graphicData>
            </a:graphic>
          </wp:inline>
        </w:drawing>
      </w:r>
      <w:r>
        <w:drawing>
          <wp:inline distT="0" distB="0" distL="114300" distR="114300">
            <wp:extent cx="6067425" cy="8267700"/>
            <wp:effectExtent l="0" t="0" r="9525" b="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55"/>
                    <a:stretch>
                      <a:fillRect/>
                    </a:stretch>
                  </pic:blipFill>
                  <pic:spPr>
                    <a:xfrm>
                      <a:off x="0" y="0"/>
                      <a:ext cx="6067425" cy="8267700"/>
                    </a:xfrm>
                    <a:prstGeom prst="rect">
                      <a:avLst/>
                    </a:prstGeom>
                    <a:noFill/>
                    <a:ln>
                      <a:noFill/>
                    </a:ln>
                  </pic:spPr>
                </pic:pic>
              </a:graphicData>
            </a:graphic>
          </wp:inline>
        </w:drawing>
      </w:r>
    </w:p>
    <w:p>
      <w:pPr>
        <w:pStyle w:val="2"/>
        <w:rPr>
          <w:rFonts w:hint="eastAsia"/>
          <w:lang w:eastAsia="zh-CN"/>
        </w:rPr>
      </w:pPr>
      <w:r>
        <w:drawing>
          <wp:inline distT="0" distB="0" distL="114300" distR="114300">
            <wp:extent cx="6105525" cy="8277225"/>
            <wp:effectExtent l="0" t="0" r="9525" b="952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56"/>
                    <a:stretch>
                      <a:fillRect/>
                    </a:stretch>
                  </pic:blipFill>
                  <pic:spPr>
                    <a:xfrm>
                      <a:off x="0" y="0"/>
                      <a:ext cx="6105525" cy="8277225"/>
                    </a:xfrm>
                    <a:prstGeom prst="rect">
                      <a:avLst/>
                    </a:prstGeom>
                    <a:noFill/>
                    <a:ln>
                      <a:noFill/>
                    </a:ln>
                  </pic:spPr>
                </pic:pic>
              </a:graphicData>
            </a:graphic>
          </wp:inline>
        </w:drawing>
      </w:r>
      <w:bookmarkStart w:id="10" w:name="_GoBack"/>
      <w:bookmarkEnd w:id="10"/>
    </w:p>
    <w:p>
      <w:pPr>
        <w:pStyle w:val="24"/>
        <w:rPr>
          <w:rFonts w:hint="eastAsia"/>
          <w:lang w:val="en-US" w:eastAsia="zh-CN"/>
        </w:rPr>
      </w:pPr>
    </w:p>
    <w:sectPr>
      <w:footerReference r:id="rId19" w:type="default"/>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20F0302020204030204"/>
    <w:charset w:val="00"/>
    <w:family w:val="swiss"/>
    <w:pitch w:val="default"/>
    <w:sig w:usb0="00000000" w:usb1="00000000" w:usb2="0000000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rPr>
      <w:t xml:space="preserve">                           </w:t>
    </w:r>
  </w:p>
  <w:p>
    <w:pPr>
      <w:pStyle w:val="1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104" o:spid="_x0000_s3104" o:spt="202" type="#_x0000_t202" style="position:absolute;left:0pt;margin-top:0pt;height:144pt;width:144pt;mso-position-horizontal:center;mso-position-horizontal-relative:margin;mso-wrap-style:none;z-index:256292864;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105" o:spid="_x0000_s3105" o:spt="202" type="#_x0000_t202" style="position:absolute;left:0pt;margin-top:0pt;height:144pt;width:144pt;mso-position-horizontal:center;mso-position-horizontal-relative:margin;mso-wrap-style:none;z-index:256292864;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101" o:spid="_x0000_s3101" o:spt="202" type="#_x0000_t202" style="position:absolute;left:0pt;margin-top:0pt;height:144pt;width:144pt;mso-position-horizontal:center;mso-position-horizontal-relative:margin;mso-wrap-style:none;z-index:254750720;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106" o:spid="_x0000_s3106" o:spt="202" type="#_x0000_t202" style="position:absolute;left:0pt;margin-top:0pt;height:144pt;width:144pt;mso-position-horizontal:center;mso-position-horizontal-relative:margin;mso-wrap-style:none;z-index:256292864;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8" o:spid="_x0000_s3098" o:spt="202" type="#_x0000_t202" style="position:absolute;left:0pt;margin-top:0pt;height:144pt;width:144pt;mso-position-horizontal:center;mso-position-horizontal-relative:margin;mso-wrap-style:none;z-index:251669504;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rPr>
        <w:rFonts w:hint="eastAsia" w:eastAsiaTheme="minorEastAsia"/>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rPr>
        <w:rFonts w:hint="eastAsia" w:eastAsiaTheme="minorEastAsia"/>
        <w:lang w:val="en-US" w:eastAsia="zh-CN"/>
      </w:rPr>
    </w:pPr>
    <w:r>
      <w:rPr>
        <w:sz w:val="18"/>
      </w:rPr>
      <w:pict>
        <v:shape id="_x0000_s3099" o:spid="_x0000_s3099" o:spt="202" type="#_x0000_t202" style="position:absolute;left:0pt;margin-top:0pt;height:144pt;width:144pt;mso-position-horizontal:center;mso-position-horizontal-relative:margin;mso-wrap-style:none;z-index:251799552;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rPr>
        <w:rFonts w:hint="eastAsia" w:eastAsiaTheme="minorEastAsia"/>
        <w:lang w:val="en-US" w:eastAsia="zh-CN"/>
      </w:rPr>
    </w:pPr>
    <w:r>
      <w:rPr>
        <w:sz w:val="18"/>
      </w:rPr>
      <w:pict>
        <v:shape id="_x0000_s3091" o:spid="_x0000_s3091"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r>
      <w:rPr>
        <w:sz w:val="18"/>
      </w:rPr>
      <w:pict>
        <v:shape id="_x0000_s3075" o:spid="_x0000_s3075"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15"/>
                  <w:rPr>
                    <w:rFonts w:hint="default" w:eastAsiaTheme="minorEastAsia"/>
                    <w:lang w:val="en-US" w:eastAsia="zh-CN"/>
                  </w:rPr>
                </w:pP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2" o:spid="_x0000_s3092"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21</w:t>
                </w:r>
                <w:r>
                  <w:rPr>
                    <w:rFonts w:hint="eastAsia"/>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3" o:spid="_x0000_s3093" o:spt="202" type="#_x0000_t202" style="position:absolute;left:0pt;margin-top:0pt;height:144pt;width:144pt;mso-position-horizontal:center;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4" o:spid="_x0000_s3094"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5" o:spid="_x0000_s3095"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3096" o:spid="_x0000_s3096" o:spt="202" type="#_x0000_t202" style="position:absolute;left:0pt;margin-top:0pt;height:144pt;width:144pt;mso-position-horizontal:center;mso-position-horizontal-relative:margin;mso-wrap-style:none;z-index:251667456;mso-width-relative:page;mso-height-relative:page;" filled="f" stroked="f" coordsize="21600,21600">
          <v:path/>
          <v:fill on="f" focussize="0,0"/>
          <v:stroke on="f"/>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rPr>
        <w:rFonts w:hint="eastAsia" w:eastAsiaTheme="minorEastAsia"/>
        <w:sz w:val="18"/>
        <w:szCs w:val="18"/>
        <w:lang w:eastAsia="zh-CN"/>
      </w:rPr>
    </w:pPr>
    <w:r>
      <w:rPr>
        <w:rFonts w:hint="eastAsia" w:ascii="宋体" w:hAnsi="宋体" w:eastAsia="宋体" w:cs="宋体"/>
        <w:b w:val="0"/>
        <w:bCs w:val="0"/>
        <w:sz w:val="18"/>
        <w:szCs w:val="18"/>
      </w:rPr>
      <w:t>吉安华润清洁能源有限公司吉安市吉福路天然气加气站工程项目</w:t>
    </w:r>
    <w:r>
      <w:rPr>
        <w:rFonts w:hint="eastAsia" w:ascii="宋体" w:hAnsi="宋体" w:eastAsia="宋体" w:cs="宋体"/>
        <w:sz w:val="18"/>
        <w:szCs w:val="18"/>
      </w:rPr>
      <w:t>竣工环境保护验收监测报告</w:t>
    </w:r>
    <w:r>
      <w:rPr>
        <w:rFonts w:hint="eastAsia" w:ascii="宋体" w:hAnsi="宋体" w:eastAsia="宋体" w:cs="宋体"/>
        <w:sz w:val="18"/>
        <w:szCs w:val="18"/>
        <w:lang w:eastAsia="zh-CN"/>
      </w:rPr>
      <w:t>表</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ascii="宋体" w:hAnsi="宋体" w:eastAsia="宋体" w:cs="宋体"/>
        <w:b w:val="0"/>
        <w:bCs w:val="0"/>
        <w:sz w:val="18"/>
        <w:szCs w:val="18"/>
      </w:rPr>
      <w:t>吉安华润清洁能源有限公司吉安市吉福路天然气加气站工程项目</w:t>
    </w:r>
    <w:r>
      <w:rPr>
        <w:rFonts w:hint="eastAsia" w:ascii="宋体" w:hAnsi="宋体" w:eastAsia="宋体" w:cs="宋体"/>
        <w:sz w:val="18"/>
        <w:szCs w:val="18"/>
      </w:rPr>
      <w:t>竣工环境保护验收监测报告</w:t>
    </w:r>
    <w:r>
      <w:rPr>
        <w:rFonts w:hint="eastAsia" w:ascii="宋体" w:hAnsi="宋体" w:eastAsia="宋体" w:cs="宋体"/>
        <w:sz w:val="18"/>
        <w:szCs w:val="18"/>
        <w:lang w:eastAsia="zh-CN"/>
      </w:rPr>
      <w:t>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608A9D"/>
    <w:multiLevelType w:val="singleLevel"/>
    <w:tmpl w:val="8A608A9D"/>
    <w:lvl w:ilvl="0" w:tentative="0">
      <w:start w:val="1"/>
      <w:numFmt w:val="decimal"/>
      <w:suff w:val="nothing"/>
      <w:lvlText w:val="%1、"/>
      <w:lvlJc w:val="left"/>
    </w:lvl>
  </w:abstractNum>
  <w:abstractNum w:abstractNumId="1">
    <w:nsid w:val="92E9A6AE"/>
    <w:multiLevelType w:val="singleLevel"/>
    <w:tmpl w:val="92E9A6AE"/>
    <w:lvl w:ilvl="0" w:tentative="0">
      <w:start w:val="4"/>
      <w:numFmt w:val="chineseCounting"/>
      <w:suff w:val="nothing"/>
      <w:lvlText w:val="%1、"/>
      <w:lvlJc w:val="left"/>
      <w:rPr>
        <w:rFonts w:hint="eastAsia"/>
      </w:rPr>
    </w:lvl>
  </w:abstractNum>
  <w:abstractNum w:abstractNumId="2">
    <w:nsid w:val="00000008"/>
    <w:multiLevelType w:val="singleLevel"/>
    <w:tmpl w:val="00000008"/>
    <w:lvl w:ilvl="0" w:tentative="0">
      <w:start w:val="7"/>
      <w:numFmt w:val="chineseCounting"/>
      <w:suff w:val="nothing"/>
      <w:lvlText w:val="%1、"/>
      <w:lvlJc w:val="left"/>
      <w:pPr>
        <w:ind w:left="0" w:firstLine="0"/>
      </w:pPr>
    </w:lvl>
  </w:abstractNum>
  <w:abstractNum w:abstractNumId="3">
    <w:nsid w:val="5AFD1CB4"/>
    <w:multiLevelType w:val="singleLevel"/>
    <w:tmpl w:val="5AFD1CB4"/>
    <w:lvl w:ilvl="0" w:tentative="0">
      <w:start w:val="3"/>
      <w:numFmt w:val="decimal"/>
      <w:suff w:val="nothing"/>
      <w:lvlText w:val="%1、"/>
      <w:lvlJc w:val="left"/>
    </w:lvl>
  </w:abstractNum>
  <w:abstractNum w:abstractNumId="4">
    <w:nsid w:val="7DB9EC04"/>
    <w:multiLevelType w:val="singleLevel"/>
    <w:tmpl w:val="7DB9EC04"/>
    <w:lvl w:ilvl="0" w:tentative="0">
      <w:start w:val="2"/>
      <w:numFmt w:val="decimal"/>
      <w:suff w:val="nothing"/>
      <w:lvlText w:val="%1、"/>
      <w:lvlJc w:val="left"/>
      <w:pPr>
        <w:ind w:left="0" w:firstLine="0"/>
      </w:pPr>
    </w:lvl>
  </w:abstractNum>
  <w:num w:numId="1">
    <w:abstractNumId w:val="3"/>
  </w:num>
  <w:num w:numId="2">
    <w:abstractNumId w:val="0"/>
  </w:num>
  <w:num w:numId="3">
    <w:abstractNumId w:val="1"/>
  </w:num>
  <w:num w:numId="4">
    <w:abstractNumId w:val="4"/>
    <w:lvlOverride w:ilvl="0">
      <w:startOverride w:val="2"/>
    </w:lvlOverride>
  </w:num>
  <w:num w:numId="5">
    <w:abstractNumId w:val="2"/>
    <w:lvlOverride w:ilvl="0">
      <w:startOverride w:val="7"/>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992486"/>
    <w:rsid w:val="00004F2C"/>
    <w:rsid w:val="000077E2"/>
    <w:rsid w:val="000212DD"/>
    <w:rsid w:val="00022D71"/>
    <w:rsid w:val="0003050C"/>
    <w:rsid w:val="00031147"/>
    <w:rsid w:val="000332B4"/>
    <w:rsid w:val="000353F6"/>
    <w:rsid w:val="00040906"/>
    <w:rsid w:val="00040ED0"/>
    <w:rsid w:val="00046AE7"/>
    <w:rsid w:val="0005138E"/>
    <w:rsid w:val="00052E69"/>
    <w:rsid w:val="00053A22"/>
    <w:rsid w:val="00057AD5"/>
    <w:rsid w:val="000620DB"/>
    <w:rsid w:val="00063881"/>
    <w:rsid w:val="00070097"/>
    <w:rsid w:val="000728A8"/>
    <w:rsid w:val="000874BA"/>
    <w:rsid w:val="000877AA"/>
    <w:rsid w:val="00090569"/>
    <w:rsid w:val="00095A0D"/>
    <w:rsid w:val="000A2B2E"/>
    <w:rsid w:val="000A58DD"/>
    <w:rsid w:val="000A740B"/>
    <w:rsid w:val="000B1110"/>
    <w:rsid w:val="000B1598"/>
    <w:rsid w:val="000B4D8A"/>
    <w:rsid w:val="000B5853"/>
    <w:rsid w:val="000C1357"/>
    <w:rsid w:val="000C4FD1"/>
    <w:rsid w:val="000C6192"/>
    <w:rsid w:val="000D43DC"/>
    <w:rsid w:val="000D7F19"/>
    <w:rsid w:val="000E09DC"/>
    <w:rsid w:val="000E4AF8"/>
    <w:rsid w:val="000E57CC"/>
    <w:rsid w:val="000F27D2"/>
    <w:rsid w:val="000F4BB0"/>
    <w:rsid w:val="000F6991"/>
    <w:rsid w:val="000F6A3A"/>
    <w:rsid w:val="00105DAF"/>
    <w:rsid w:val="0010686C"/>
    <w:rsid w:val="0011220C"/>
    <w:rsid w:val="0011442D"/>
    <w:rsid w:val="00121E0E"/>
    <w:rsid w:val="0012590A"/>
    <w:rsid w:val="0012591D"/>
    <w:rsid w:val="00125AF8"/>
    <w:rsid w:val="00131944"/>
    <w:rsid w:val="001343C1"/>
    <w:rsid w:val="001347F6"/>
    <w:rsid w:val="00134965"/>
    <w:rsid w:val="00141577"/>
    <w:rsid w:val="00143516"/>
    <w:rsid w:val="001436C9"/>
    <w:rsid w:val="00144C5C"/>
    <w:rsid w:val="0014745C"/>
    <w:rsid w:val="0015342D"/>
    <w:rsid w:val="00157323"/>
    <w:rsid w:val="001605B6"/>
    <w:rsid w:val="00162FD8"/>
    <w:rsid w:val="00163B72"/>
    <w:rsid w:val="00166CE8"/>
    <w:rsid w:val="00175688"/>
    <w:rsid w:val="00180BAE"/>
    <w:rsid w:val="00180CFE"/>
    <w:rsid w:val="0018523B"/>
    <w:rsid w:val="00185AEC"/>
    <w:rsid w:val="001872D9"/>
    <w:rsid w:val="00190D8B"/>
    <w:rsid w:val="00192202"/>
    <w:rsid w:val="00194DC0"/>
    <w:rsid w:val="001A3617"/>
    <w:rsid w:val="001B2ABD"/>
    <w:rsid w:val="001B3E5C"/>
    <w:rsid w:val="001B46FA"/>
    <w:rsid w:val="001B72F2"/>
    <w:rsid w:val="001E0C8A"/>
    <w:rsid w:val="001E2FFE"/>
    <w:rsid w:val="001F40E8"/>
    <w:rsid w:val="001F79E7"/>
    <w:rsid w:val="00200A0C"/>
    <w:rsid w:val="00201C6E"/>
    <w:rsid w:val="002032A9"/>
    <w:rsid w:val="00210DFD"/>
    <w:rsid w:val="0021224C"/>
    <w:rsid w:val="002165D0"/>
    <w:rsid w:val="00220081"/>
    <w:rsid w:val="0022056F"/>
    <w:rsid w:val="00223348"/>
    <w:rsid w:val="002259F4"/>
    <w:rsid w:val="0023178F"/>
    <w:rsid w:val="002410E9"/>
    <w:rsid w:val="00242253"/>
    <w:rsid w:val="0025337E"/>
    <w:rsid w:val="00260F2B"/>
    <w:rsid w:val="00266170"/>
    <w:rsid w:val="0027039A"/>
    <w:rsid w:val="00273C6A"/>
    <w:rsid w:val="002800CC"/>
    <w:rsid w:val="00281252"/>
    <w:rsid w:val="00294859"/>
    <w:rsid w:val="00294EBD"/>
    <w:rsid w:val="00296549"/>
    <w:rsid w:val="002A3586"/>
    <w:rsid w:val="002B15D7"/>
    <w:rsid w:val="002B7F9E"/>
    <w:rsid w:val="002C425F"/>
    <w:rsid w:val="002C6AB3"/>
    <w:rsid w:val="002D07D4"/>
    <w:rsid w:val="002D2064"/>
    <w:rsid w:val="002D3310"/>
    <w:rsid w:val="002D767E"/>
    <w:rsid w:val="002D78B3"/>
    <w:rsid w:val="002E28DB"/>
    <w:rsid w:val="002E5086"/>
    <w:rsid w:val="002E5F09"/>
    <w:rsid w:val="002E7089"/>
    <w:rsid w:val="002E7548"/>
    <w:rsid w:val="002E7939"/>
    <w:rsid w:val="002F7456"/>
    <w:rsid w:val="00307E71"/>
    <w:rsid w:val="003126B9"/>
    <w:rsid w:val="003131C7"/>
    <w:rsid w:val="00314B35"/>
    <w:rsid w:val="00323211"/>
    <w:rsid w:val="00326993"/>
    <w:rsid w:val="003310A1"/>
    <w:rsid w:val="003311C5"/>
    <w:rsid w:val="00337D7C"/>
    <w:rsid w:val="003404F3"/>
    <w:rsid w:val="0034212F"/>
    <w:rsid w:val="003438B6"/>
    <w:rsid w:val="00343BE0"/>
    <w:rsid w:val="0034461E"/>
    <w:rsid w:val="00347167"/>
    <w:rsid w:val="003522DC"/>
    <w:rsid w:val="003627A8"/>
    <w:rsid w:val="0036594B"/>
    <w:rsid w:val="003741DD"/>
    <w:rsid w:val="003760EF"/>
    <w:rsid w:val="0038488C"/>
    <w:rsid w:val="00390823"/>
    <w:rsid w:val="003A1E28"/>
    <w:rsid w:val="003A4F26"/>
    <w:rsid w:val="003A5C53"/>
    <w:rsid w:val="003C5FDF"/>
    <w:rsid w:val="003C7B38"/>
    <w:rsid w:val="003D1039"/>
    <w:rsid w:val="003D446C"/>
    <w:rsid w:val="003D5813"/>
    <w:rsid w:val="003D7949"/>
    <w:rsid w:val="003D7C44"/>
    <w:rsid w:val="003E1DAF"/>
    <w:rsid w:val="003E384F"/>
    <w:rsid w:val="003E7305"/>
    <w:rsid w:val="003F07AD"/>
    <w:rsid w:val="004015D4"/>
    <w:rsid w:val="004038C4"/>
    <w:rsid w:val="004046D5"/>
    <w:rsid w:val="004056B6"/>
    <w:rsid w:val="00405ACD"/>
    <w:rsid w:val="00407643"/>
    <w:rsid w:val="004113FA"/>
    <w:rsid w:val="00413305"/>
    <w:rsid w:val="00415DE3"/>
    <w:rsid w:val="004202E3"/>
    <w:rsid w:val="00423592"/>
    <w:rsid w:val="00424179"/>
    <w:rsid w:val="004427BF"/>
    <w:rsid w:val="00444684"/>
    <w:rsid w:val="00445866"/>
    <w:rsid w:val="0044692C"/>
    <w:rsid w:val="00450AA0"/>
    <w:rsid w:val="00450C9A"/>
    <w:rsid w:val="00452669"/>
    <w:rsid w:val="00456379"/>
    <w:rsid w:val="004569E1"/>
    <w:rsid w:val="00457292"/>
    <w:rsid w:val="0046000E"/>
    <w:rsid w:val="004605E3"/>
    <w:rsid w:val="00462D30"/>
    <w:rsid w:val="00476A7E"/>
    <w:rsid w:val="00477498"/>
    <w:rsid w:val="004817C3"/>
    <w:rsid w:val="00486DF6"/>
    <w:rsid w:val="004937B9"/>
    <w:rsid w:val="004A66AC"/>
    <w:rsid w:val="004B2B3D"/>
    <w:rsid w:val="004B4D22"/>
    <w:rsid w:val="004B740E"/>
    <w:rsid w:val="004C0653"/>
    <w:rsid w:val="004C4AE2"/>
    <w:rsid w:val="004C6D1A"/>
    <w:rsid w:val="004D60BB"/>
    <w:rsid w:val="004D6250"/>
    <w:rsid w:val="004E250A"/>
    <w:rsid w:val="004E37B0"/>
    <w:rsid w:val="004E5110"/>
    <w:rsid w:val="004F13C7"/>
    <w:rsid w:val="004F1835"/>
    <w:rsid w:val="004F4083"/>
    <w:rsid w:val="00500D58"/>
    <w:rsid w:val="00505FDE"/>
    <w:rsid w:val="005065A8"/>
    <w:rsid w:val="00506BB5"/>
    <w:rsid w:val="005077E8"/>
    <w:rsid w:val="0051437F"/>
    <w:rsid w:val="0052077B"/>
    <w:rsid w:val="00520A45"/>
    <w:rsid w:val="00520CED"/>
    <w:rsid w:val="00523914"/>
    <w:rsid w:val="00525DCD"/>
    <w:rsid w:val="00543431"/>
    <w:rsid w:val="00545E0C"/>
    <w:rsid w:val="00546F9F"/>
    <w:rsid w:val="00547E34"/>
    <w:rsid w:val="00550361"/>
    <w:rsid w:val="00550B8C"/>
    <w:rsid w:val="0055218C"/>
    <w:rsid w:val="005612A9"/>
    <w:rsid w:val="0056400D"/>
    <w:rsid w:val="00565951"/>
    <w:rsid w:val="0056698B"/>
    <w:rsid w:val="005671B8"/>
    <w:rsid w:val="005801C4"/>
    <w:rsid w:val="00582922"/>
    <w:rsid w:val="00584CD2"/>
    <w:rsid w:val="0058720D"/>
    <w:rsid w:val="00592A55"/>
    <w:rsid w:val="00592EBA"/>
    <w:rsid w:val="005A318E"/>
    <w:rsid w:val="005A3A0A"/>
    <w:rsid w:val="005A5F9E"/>
    <w:rsid w:val="005A7520"/>
    <w:rsid w:val="005B15FC"/>
    <w:rsid w:val="005B207B"/>
    <w:rsid w:val="005B309C"/>
    <w:rsid w:val="005B3DC1"/>
    <w:rsid w:val="005C30E6"/>
    <w:rsid w:val="005C747A"/>
    <w:rsid w:val="005D1B05"/>
    <w:rsid w:val="005D1B4A"/>
    <w:rsid w:val="005D4045"/>
    <w:rsid w:val="005F4664"/>
    <w:rsid w:val="005F6319"/>
    <w:rsid w:val="005F6ABD"/>
    <w:rsid w:val="00604311"/>
    <w:rsid w:val="00613F0A"/>
    <w:rsid w:val="00621F12"/>
    <w:rsid w:val="00631E3F"/>
    <w:rsid w:val="006407BC"/>
    <w:rsid w:val="00645E80"/>
    <w:rsid w:val="00655B52"/>
    <w:rsid w:val="00655F3D"/>
    <w:rsid w:val="00663817"/>
    <w:rsid w:val="00665FD4"/>
    <w:rsid w:val="006726D3"/>
    <w:rsid w:val="00675BBF"/>
    <w:rsid w:val="00677217"/>
    <w:rsid w:val="00681982"/>
    <w:rsid w:val="006836BC"/>
    <w:rsid w:val="006961F2"/>
    <w:rsid w:val="006A1AF6"/>
    <w:rsid w:val="006B3BF3"/>
    <w:rsid w:val="006B47A6"/>
    <w:rsid w:val="006C011E"/>
    <w:rsid w:val="006C1E67"/>
    <w:rsid w:val="006C27AE"/>
    <w:rsid w:val="006C5AC6"/>
    <w:rsid w:val="006D613A"/>
    <w:rsid w:val="006E39BF"/>
    <w:rsid w:val="006E3E89"/>
    <w:rsid w:val="006E3F60"/>
    <w:rsid w:val="006E78A8"/>
    <w:rsid w:val="006F662C"/>
    <w:rsid w:val="006F6E4B"/>
    <w:rsid w:val="0070703A"/>
    <w:rsid w:val="0071034B"/>
    <w:rsid w:val="00711AC9"/>
    <w:rsid w:val="00715C24"/>
    <w:rsid w:val="0072028E"/>
    <w:rsid w:val="00722FD9"/>
    <w:rsid w:val="00726CAE"/>
    <w:rsid w:val="00730B6D"/>
    <w:rsid w:val="00736F79"/>
    <w:rsid w:val="007370C4"/>
    <w:rsid w:val="007410B4"/>
    <w:rsid w:val="00761D64"/>
    <w:rsid w:val="0076222F"/>
    <w:rsid w:val="00772881"/>
    <w:rsid w:val="007810F7"/>
    <w:rsid w:val="00784978"/>
    <w:rsid w:val="007854F8"/>
    <w:rsid w:val="007909F7"/>
    <w:rsid w:val="0079165E"/>
    <w:rsid w:val="007934DD"/>
    <w:rsid w:val="00794EF6"/>
    <w:rsid w:val="007956D4"/>
    <w:rsid w:val="007B0939"/>
    <w:rsid w:val="007B18B3"/>
    <w:rsid w:val="007B55DC"/>
    <w:rsid w:val="007B7697"/>
    <w:rsid w:val="007C38A8"/>
    <w:rsid w:val="007C3B5A"/>
    <w:rsid w:val="007C42EC"/>
    <w:rsid w:val="007C7F37"/>
    <w:rsid w:val="007D3086"/>
    <w:rsid w:val="007D6E29"/>
    <w:rsid w:val="007D7797"/>
    <w:rsid w:val="007D7CFE"/>
    <w:rsid w:val="007E1C01"/>
    <w:rsid w:val="007E546C"/>
    <w:rsid w:val="007E7E03"/>
    <w:rsid w:val="007F0D72"/>
    <w:rsid w:val="007F46CF"/>
    <w:rsid w:val="007F75F3"/>
    <w:rsid w:val="00801AFD"/>
    <w:rsid w:val="00804D27"/>
    <w:rsid w:val="00805375"/>
    <w:rsid w:val="00805D31"/>
    <w:rsid w:val="00806480"/>
    <w:rsid w:val="00806A4A"/>
    <w:rsid w:val="00807AA3"/>
    <w:rsid w:val="0081491F"/>
    <w:rsid w:val="00816714"/>
    <w:rsid w:val="008175FE"/>
    <w:rsid w:val="00821AA9"/>
    <w:rsid w:val="00822B6F"/>
    <w:rsid w:val="00826076"/>
    <w:rsid w:val="00832DFF"/>
    <w:rsid w:val="0083575D"/>
    <w:rsid w:val="00837606"/>
    <w:rsid w:val="00843BF8"/>
    <w:rsid w:val="00845B41"/>
    <w:rsid w:val="00851812"/>
    <w:rsid w:val="00855708"/>
    <w:rsid w:val="00855715"/>
    <w:rsid w:val="00866C2C"/>
    <w:rsid w:val="00881321"/>
    <w:rsid w:val="008819AD"/>
    <w:rsid w:val="00883277"/>
    <w:rsid w:val="00885F99"/>
    <w:rsid w:val="008911B0"/>
    <w:rsid w:val="00894B9D"/>
    <w:rsid w:val="00896468"/>
    <w:rsid w:val="00896502"/>
    <w:rsid w:val="008A6349"/>
    <w:rsid w:val="008A66BD"/>
    <w:rsid w:val="008B23E5"/>
    <w:rsid w:val="008B2B3E"/>
    <w:rsid w:val="008B7904"/>
    <w:rsid w:val="008B79F9"/>
    <w:rsid w:val="008D0EFC"/>
    <w:rsid w:val="008D30AE"/>
    <w:rsid w:val="008D51C0"/>
    <w:rsid w:val="008D59B0"/>
    <w:rsid w:val="008E09F7"/>
    <w:rsid w:val="008E33A8"/>
    <w:rsid w:val="008E62BD"/>
    <w:rsid w:val="009061AF"/>
    <w:rsid w:val="00907BA4"/>
    <w:rsid w:val="009107ED"/>
    <w:rsid w:val="009212E2"/>
    <w:rsid w:val="00925D04"/>
    <w:rsid w:val="00930FC6"/>
    <w:rsid w:val="00937856"/>
    <w:rsid w:val="00937FAC"/>
    <w:rsid w:val="0094710D"/>
    <w:rsid w:val="00947D4B"/>
    <w:rsid w:val="009516FC"/>
    <w:rsid w:val="00953C0C"/>
    <w:rsid w:val="00962025"/>
    <w:rsid w:val="00964411"/>
    <w:rsid w:val="00964B43"/>
    <w:rsid w:val="00965C95"/>
    <w:rsid w:val="00970A6D"/>
    <w:rsid w:val="009762E9"/>
    <w:rsid w:val="00977852"/>
    <w:rsid w:val="009819AF"/>
    <w:rsid w:val="00982CA3"/>
    <w:rsid w:val="00983E2C"/>
    <w:rsid w:val="00991734"/>
    <w:rsid w:val="00992486"/>
    <w:rsid w:val="00997378"/>
    <w:rsid w:val="009A1952"/>
    <w:rsid w:val="009C12F7"/>
    <w:rsid w:val="009C2D50"/>
    <w:rsid w:val="009C5DDE"/>
    <w:rsid w:val="009D1045"/>
    <w:rsid w:val="009D67C8"/>
    <w:rsid w:val="009E54C1"/>
    <w:rsid w:val="009E6BE2"/>
    <w:rsid w:val="009F3224"/>
    <w:rsid w:val="00A17DC5"/>
    <w:rsid w:val="00A21336"/>
    <w:rsid w:val="00A2278C"/>
    <w:rsid w:val="00A2301F"/>
    <w:rsid w:val="00A24B89"/>
    <w:rsid w:val="00A2528A"/>
    <w:rsid w:val="00A342E8"/>
    <w:rsid w:val="00A355D9"/>
    <w:rsid w:val="00A4045E"/>
    <w:rsid w:val="00A4061F"/>
    <w:rsid w:val="00A410C2"/>
    <w:rsid w:val="00A4110C"/>
    <w:rsid w:val="00A42ED3"/>
    <w:rsid w:val="00A43145"/>
    <w:rsid w:val="00A525A4"/>
    <w:rsid w:val="00A566E2"/>
    <w:rsid w:val="00A60130"/>
    <w:rsid w:val="00A60525"/>
    <w:rsid w:val="00A61BED"/>
    <w:rsid w:val="00A65C9D"/>
    <w:rsid w:val="00A65F40"/>
    <w:rsid w:val="00A67613"/>
    <w:rsid w:val="00A73DA9"/>
    <w:rsid w:val="00A757CD"/>
    <w:rsid w:val="00A86070"/>
    <w:rsid w:val="00A90D24"/>
    <w:rsid w:val="00A92130"/>
    <w:rsid w:val="00A95BCF"/>
    <w:rsid w:val="00AA5B2C"/>
    <w:rsid w:val="00AA6A7E"/>
    <w:rsid w:val="00AA7ADC"/>
    <w:rsid w:val="00AA7B8A"/>
    <w:rsid w:val="00AA7DF1"/>
    <w:rsid w:val="00AB0ADB"/>
    <w:rsid w:val="00AB1712"/>
    <w:rsid w:val="00AB1BB0"/>
    <w:rsid w:val="00AB34BB"/>
    <w:rsid w:val="00AB4977"/>
    <w:rsid w:val="00AC5C93"/>
    <w:rsid w:val="00AD1845"/>
    <w:rsid w:val="00AE107A"/>
    <w:rsid w:val="00AE1A62"/>
    <w:rsid w:val="00AE7CCB"/>
    <w:rsid w:val="00AF1408"/>
    <w:rsid w:val="00AF268F"/>
    <w:rsid w:val="00AF4815"/>
    <w:rsid w:val="00B0049D"/>
    <w:rsid w:val="00B058C9"/>
    <w:rsid w:val="00B100E4"/>
    <w:rsid w:val="00B230C5"/>
    <w:rsid w:val="00B239E6"/>
    <w:rsid w:val="00B2556F"/>
    <w:rsid w:val="00B423A6"/>
    <w:rsid w:val="00B42C75"/>
    <w:rsid w:val="00B509D6"/>
    <w:rsid w:val="00B5153C"/>
    <w:rsid w:val="00B53029"/>
    <w:rsid w:val="00B60C5E"/>
    <w:rsid w:val="00B6172B"/>
    <w:rsid w:val="00B627F0"/>
    <w:rsid w:val="00B65AAE"/>
    <w:rsid w:val="00B80CF0"/>
    <w:rsid w:val="00B82F2D"/>
    <w:rsid w:val="00B83DAB"/>
    <w:rsid w:val="00B93E05"/>
    <w:rsid w:val="00B9773A"/>
    <w:rsid w:val="00BA05F5"/>
    <w:rsid w:val="00BA5CAB"/>
    <w:rsid w:val="00BA5E2B"/>
    <w:rsid w:val="00BA7714"/>
    <w:rsid w:val="00BB3651"/>
    <w:rsid w:val="00BB5F30"/>
    <w:rsid w:val="00BB6CB5"/>
    <w:rsid w:val="00BB72D3"/>
    <w:rsid w:val="00BC3F9A"/>
    <w:rsid w:val="00BC41E8"/>
    <w:rsid w:val="00BE7950"/>
    <w:rsid w:val="00BF22A6"/>
    <w:rsid w:val="00BF4436"/>
    <w:rsid w:val="00BF7FAC"/>
    <w:rsid w:val="00C012DB"/>
    <w:rsid w:val="00C01E14"/>
    <w:rsid w:val="00C05662"/>
    <w:rsid w:val="00C07E60"/>
    <w:rsid w:val="00C106E8"/>
    <w:rsid w:val="00C122E6"/>
    <w:rsid w:val="00C17C69"/>
    <w:rsid w:val="00C22DBC"/>
    <w:rsid w:val="00C2519B"/>
    <w:rsid w:val="00C25DA1"/>
    <w:rsid w:val="00C25F7C"/>
    <w:rsid w:val="00C32A2E"/>
    <w:rsid w:val="00C33BCC"/>
    <w:rsid w:val="00C33CE3"/>
    <w:rsid w:val="00C3526C"/>
    <w:rsid w:val="00C36584"/>
    <w:rsid w:val="00C46A6C"/>
    <w:rsid w:val="00C50235"/>
    <w:rsid w:val="00C5463F"/>
    <w:rsid w:val="00C54D12"/>
    <w:rsid w:val="00C57F5A"/>
    <w:rsid w:val="00C60844"/>
    <w:rsid w:val="00C641D5"/>
    <w:rsid w:val="00C654AE"/>
    <w:rsid w:val="00C666A3"/>
    <w:rsid w:val="00C67C9D"/>
    <w:rsid w:val="00C7037C"/>
    <w:rsid w:val="00C75852"/>
    <w:rsid w:val="00C81641"/>
    <w:rsid w:val="00C81849"/>
    <w:rsid w:val="00C83F32"/>
    <w:rsid w:val="00C85FE1"/>
    <w:rsid w:val="00C864EE"/>
    <w:rsid w:val="00C86CCA"/>
    <w:rsid w:val="00C93B19"/>
    <w:rsid w:val="00CA03EA"/>
    <w:rsid w:val="00CA292C"/>
    <w:rsid w:val="00CA2C35"/>
    <w:rsid w:val="00CA458E"/>
    <w:rsid w:val="00CB0FA9"/>
    <w:rsid w:val="00CB13BA"/>
    <w:rsid w:val="00CC047F"/>
    <w:rsid w:val="00CC3A33"/>
    <w:rsid w:val="00CC4C54"/>
    <w:rsid w:val="00CC4DDB"/>
    <w:rsid w:val="00CC535A"/>
    <w:rsid w:val="00CD0B9C"/>
    <w:rsid w:val="00CD3592"/>
    <w:rsid w:val="00CD6351"/>
    <w:rsid w:val="00CE10A1"/>
    <w:rsid w:val="00CE10BD"/>
    <w:rsid w:val="00CF2B31"/>
    <w:rsid w:val="00CF4EE2"/>
    <w:rsid w:val="00D008AA"/>
    <w:rsid w:val="00D0373B"/>
    <w:rsid w:val="00D06F0D"/>
    <w:rsid w:val="00D12B31"/>
    <w:rsid w:val="00D1528B"/>
    <w:rsid w:val="00D227B8"/>
    <w:rsid w:val="00D22F79"/>
    <w:rsid w:val="00D24023"/>
    <w:rsid w:val="00D2705E"/>
    <w:rsid w:val="00D34CF0"/>
    <w:rsid w:val="00D41F0E"/>
    <w:rsid w:val="00D5402F"/>
    <w:rsid w:val="00D701DA"/>
    <w:rsid w:val="00D7517B"/>
    <w:rsid w:val="00D77650"/>
    <w:rsid w:val="00D82F98"/>
    <w:rsid w:val="00D83B63"/>
    <w:rsid w:val="00D91605"/>
    <w:rsid w:val="00D97F44"/>
    <w:rsid w:val="00DA1DEA"/>
    <w:rsid w:val="00DA43FF"/>
    <w:rsid w:val="00DA5E1D"/>
    <w:rsid w:val="00DB7D91"/>
    <w:rsid w:val="00DC136D"/>
    <w:rsid w:val="00DC5805"/>
    <w:rsid w:val="00DD0465"/>
    <w:rsid w:val="00DD57F4"/>
    <w:rsid w:val="00DD585B"/>
    <w:rsid w:val="00DE01C7"/>
    <w:rsid w:val="00DE68D4"/>
    <w:rsid w:val="00DF017B"/>
    <w:rsid w:val="00E03993"/>
    <w:rsid w:val="00E0512E"/>
    <w:rsid w:val="00E10029"/>
    <w:rsid w:val="00E14B0A"/>
    <w:rsid w:val="00E16059"/>
    <w:rsid w:val="00E2517E"/>
    <w:rsid w:val="00E257FD"/>
    <w:rsid w:val="00E26B4D"/>
    <w:rsid w:val="00E278A1"/>
    <w:rsid w:val="00E3046D"/>
    <w:rsid w:val="00E35F2C"/>
    <w:rsid w:val="00E37108"/>
    <w:rsid w:val="00E3751C"/>
    <w:rsid w:val="00E42AC6"/>
    <w:rsid w:val="00E53C5F"/>
    <w:rsid w:val="00E5420B"/>
    <w:rsid w:val="00E56312"/>
    <w:rsid w:val="00E61B6C"/>
    <w:rsid w:val="00E63BF7"/>
    <w:rsid w:val="00E7121A"/>
    <w:rsid w:val="00E74469"/>
    <w:rsid w:val="00E7461D"/>
    <w:rsid w:val="00E760F8"/>
    <w:rsid w:val="00E8132D"/>
    <w:rsid w:val="00E81A9F"/>
    <w:rsid w:val="00E83667"/>
    <w:rsid w:val="00E91DDD"/>
    <w:rsid w:val="00E95C37"/>
    <w:rsid w:val="00EA4058"/>
    <w:rsid w:val="00EA6211"/>
    <w:rsid w:val="00EA6EB7"/>
    <w:rsid w:val="00EA7A7A"/>
    <w:rsid w:val="00EB06B8"/>
    <w:rsid w:val="00EB0B37"/>
    <w:rsid w:val="00EB3F48"/>
    <w:rsid w:val="00EB464E"/>
    <w:rsid w:val="00EC2B26"/>
    <w:rsid w:val="00EC3E8D"/>
    <w:rsid w:val="00EC4D9A"/>
    <w:rsid w:val="00EC4EAD"/>
    <w:rsid w:val="00ED1A43"/>
    <w:rsid w:val="00ED5985"/>
    <w:rsid w:val="00EE08B2"/>
    <w:rsid w:val="00EE1962"/>
    <w:rsid w:val="00EF32AB"/>
    <w:rsid w:val="00EF7799"/>
    <w:rsid w:val="00F00DEA"/>
    <w:rsid w:val="00F05844"/>
    <w:rsid w:val="00F06441"/>
    <w:rsid w:val="00F10F9E"/>
    <w:rsid w:val="00F1354E"/>
    <w:rsid w:val="00F139B1"/>
    <w:rsid w:val="00F17422"/>
    <w:rsid w:val="00F2282C"/>
    <w:rsid w:val="00F31BD8"/>
    <w:rsid w:val="00F3545B"/>
    <w:rsid w:val="00F41752"/>
    <w:rsid w:val="00F43821"/>
    <w:rsid w:val="00F4426F"/>
    <w:rsid w:val="00F44F2C"/>
    <w:rsid w:val="00F54A5D"/>
    <w:rsid w:val="00F609A8"/>
    <w:rsid w:val="00F63A2B"/>
    <w:rsid w:val="00F645D2"/>
    <w:rsid w:val="00F73528"/>
    <w:rsid w:val="00F7520F"/>
    <w:rsid w:val="00F822AF"/>
    <w:rsid w:val="00F84F3A"/>
    <w:rsid w:val="00F85EBE"/>
    <w:rsid w:val="00F86824"/>
    <w:rsid w:val="00F90A3A"/>
    <w:rsid w:val="00F91C61"/>
    <w:rsid w:val="00F93191"/>
    <w:rsid w:val="00F9620A"/>
    <w:rsid w:val="00FA79D4"/>
    <w:rsid w:val="00FB5380"/>
    <w:rsid w:val="00FB59FE"/>
    <w:rsid w:val="00FC08B9"/>
    <w:rsid w:val="00FC6A78"/>
    <w:rsid w:val="00FC7407"/>
    <w:rsid w:val="00FC741D"/>
    <w:rsid w:val="00FD5078"/>
    <w:rsid w:val="00FD6606"/>
    <w:rsid w:val="00FE0C16"/>
    <w:rsid w:val="00FE10AB"/>
    <w:rsid w:val="00FE110E"/>
    <w:rsid w:val="00FE1872"/>
    <w:rsid w:val="00FE7995"/>
    <w:rsid w:val="00FF1D28"/>
    <w:rsid w:val="00FF355F"/>
    <w:rsid w:val="00FF5ECD"/>
    <w:rsid w:val="00FF609D"/>
    <w:rsid w:val="00FF71F4"/>
    <w:rsid w:val="014F0365"/>
    <w:rsid w:val="0224594D"/>
    <w:rsid w:val="03206140"/>
    <w:rsid w:val="03D23FC5"/>
    <w:rsid w:val="04094EC7"/>
    <w:rsid w:val="067E30E7"/>
    <w:rsid w:val="07D772A3"/>
    <w:rsid w:val="08A014FC"/>
    <w:rsid w:val="08F87B27"/>
    <w:rsid w:val="095A1D26"/>
    <w:rsid w:val="0A2E4611"/>
    <w:rsid w:val="0AA221B4"/>
    <w:rsid w:val="0B153172"/>
    <w:rsid w:val="0CB078D3"/>
    <w:rsid w:val="0EE70D71"/>
    <w:rsid w:val="10992988"/>
    <w:rsid w:val="10FD7D1F"/>
    <w:rsid w:val="136C0E5F"/>
    <w:rsid w:val="149D7393"/>
    <w:rsid w:val="14F165BB"/>
    <w:rsid w:val="1628622D"/>
    <w:rsid w:val="17B53701"/>
    <w:rsid w:val="180F7EBD"/>
    <w:rsid w:val="1C941FF0"/>
    <w:rsid w:val="1CC92A80"/>
    <w:rsid w:val="1CE82268"/>
    <w:rsid w:val="1D0E401D"/>
    <w:rsid w:val="1D5E389B"/>
    <w:rsid w:val="1DC2705E"/>
    <w:rsid w:val="1DEF20B5"/>
    <w:rsid w:val="1F5C3393"/>
    <w:rsid w:val="206A4A54"/>
    <w:rsid w:val="23807F41"/>
    <w:rsid w:val="23BA3B61"/>
    <w:rsid w:val="240F0CF3"/>
    <w:rsid w:val="25C44127"/>
    <w:rsid w:val="273218A9"/>
    <w:rsid w:val="2983225A"/>
    <w:rsid w:val="29B222D5"/>
    <w:rsid w:val="2A9E134F"/>
    <w:rsid w:val="2D5F1141"/>
    <w:rsid w:val="2E441375"/>
    <w:rsid w:val="2E7449EB"/>
    <w:rsid w:val="2F01579A"/>
    <w:rsid w:val="314D3099"/>
    <w:rsid w:val="31AE702D"/>
    <w:rsid w:val="3332431E"/>
    <w:rsid w:val="334B18B2"/>
    <w:rsid w:val="362C153D"/>
    <w:rsid w:val="38083632"/>
    <w:rsid w:val="38DB47A0"/>
    <w:rsid w:val="394E06E2"/>
    <w:rsid w:val="3E150040"/>
    <w:rsid w:val="3EA90F3C"/>
    <w:rsid w:val="3F1C6872"/>
    <w:rsid w:val="3FD03CDE"/>
    <w:rsid w:val="420D0306"/>
    <w:rsid w:val="42BB4FAF"/>
    <w:rsid w:val="433B2051"/>
    <w:rsid w:val="43724EAB"/>
    <w:rsid w:val="45770C7B"/>
    <w:rsid w:val="46545668"/>
    <w:rsid w:val="47424758"/>
    <w:rsid w:val="47F06FF8"/>
    <w:rsid w:val="480A0F90"/>
    <w:rsid w:val="48DF3E3D"/>
    <w:rsid w:val="4A2B2A10"/>
    <w:rsid w:val="4B070E49"/>
    <w:rsid w:val="4C7B4DD3"/>
    <w:rsid w:val="4D4A3A4C"/>
    <w:rsid w:val="4E414E11"/>
    <w:rsid w:val="4E980433"/>
    <w:rsid w:val="555528FD"/>
    <w:rsid w:val="567A73C6"/>
    <w:rsid w:val="56A21024"/>
    <w:rsid w:val="5843633E"/>
    <w:rsid w:val="58ED77A0"/>
    <w:rsid w:val="5D8B77CA"/>
    <w:rsid w:val="5DF02185"/>
    <w:rsid w:val="601549BF"/>
    <w:rsid w:val="60322CD4"/>
    <w:rsid w:val="62BC06C1"/>
    <w:rsid w:val="65426474"/>
    <w:rsid w:val="65C97738"/>
    <w:rsid w:val="699775A7"/>
    <w:rsid w:val="6A201AB7"/>
    <w:rsid w:val="6BA40BA0"/>
    <w:rsid w:val="6C326905"/>
    <w:rsid w:val="6CE267A7"/>
    <w:rsid w:val="6E241260"/>
    <w:rsid w:val="6E700A2E"/>
    <w:rsid w:val="72E67577"/>
    <w:rsid w:val="751C5211"/>
    <w:rsid w:val="776C050F"/>
    <w:rsid w:val="78AD6FF3"/>
    <w:rsid w:val="78DA30D6"/>
    <w:rsid w:val="79AD5F24"/>
    <w:rsid w:val="7A200409"/>
    <w:rsid w:val="7A920EA6"/>
    <w:rsid w:val="7C311621"/>
    <w:rsid w:val="7C467577"/>
    <w:rsid w:val="7CA66A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1"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2"/>
    <w:basedOn w:val="1"/>
    <w:next w:val="4"/>
    <w:qFormat/>
    <w:uiPriority w:val="0"/>
    <w:pPr>
      <w:keepNext/>
      <w:keepLines/>
      <w:snapToGrid w:val="0"/>
      <w:spacing w:line="360" w:lineRule="auto"/>
      <w:ind w:firstLine="1044" w:firstLineChars="200"/>
      <w:outlineLvl w:val="1"/>
    </w:pPr>
    <w:rPr>
      <w:rFonts w:ascii="Times New Roman" w:hAnsi="Times New Roman"/>
      <w:b/>
      <w:bCs/>
      <w:sz w:val="30"/>
      <w:szCs w:val="32"/>
    </w:rPr>
  </w:style>
  <w:style w:type="paragraph" w:styleId="5">
    <w:name w:val="heading 3"/>
    <w:basedOn w:val="1"/>
    <w:next w:val="1"/>
    <w:qFormat/>
    <w:uiPriority w:val="0"/>
    <w:pPr>
      <w:keepNext/>
      <w:keepLines/>
      <w:spacing w:line="360" w:lineRule="auto"/>
      <w:ind w:firstLine="1044" w:firstLineChars="200"/>
      <w:outlineLvl w:val="2"/>
    </w:pPr>
    <w:rPr>
      <w:b/>
      <w:bCs/>
      <w:sz w:val="28"/>
      <w:szCs w:val="32"/>
    </w:rPr>
  </w:style>
  <w:style w:type="paragraph" w:styleId="6">
    <w:name w:val="heading 4"/>
    <w:basedOn w:val="1"/>
    <w:next w:val="1"/>
    <w:qFormat/>
    <w:uiPriority w:val="0"/>
    <w:pPr>
      <w:keepNext w:val="0"/>
      <w:keepLines w:val="0"/>
      <w:adjustRightInd/>
      <w:spacing w:beforeLines="0" w:beforeAutospacing="0" w:afterLines="0" w:afterAutospacing="0" w:line="360" w:lineRule="auto"/>
      <w:ind w:firstLine="824" w:firstLineChars="200"/>
      <w:outlineLvl w:val="3"/>
    </w:pPr>
    <w:rPr>
      <w:rFonts w:ascii="Times New Roman" w:hAnsi="Times New Roman" w:eastAsia="宋体"/>
      <w:b/>
      <w:sz w:val="24"/>
    </w:rPr>
  </w:style>
  <w:style w:type="paragraph" w:styleId="7">
    <w:name w:val="heading 6"/>
    <w:basedOn w:val="1"/>
    <w:next w:val="1"/>
    <w:link w:val="42"/>
    <w:semiHidden/>
    <w:unhideWhenUsed/>
    <w:qFormat/>
    <w:uiPriority w:val="1"/>
    <w:pPr>
      <w:autoSpaceDE w:val="0"/>
      <w:autoSpaceDN w:val="0"/>
      <w:adjustRightInd w:val="0"/>
      <w:spacing w:before="133"/>
      <w:ind w:left="111"/>
      <w:jc w:val="left"/>
      <w:outlineLvl w:val="5"/>
    </w:pPr>
    <w:rPr>
      <w:rFonts w:ascii="宋体" w:hAnsi="宋体" w:eastAsia="宋体" w:cs="Times New Roman"/>
      <w:b/>
      <w:kern w:val="0"/>
      <w:szCs w:val="20"/>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39"/>
    <w:unhideWhenUsed/>
    <w:qFormat/>
    <w:uiPriority w:val="99"/>
    <w:pPr>
      <w:spacing w:after="120"/>
    </w:pPr>
  </w:style>
  <w:style w:type="paragraph" w:styleId="4">
    <w:name w:val="Normal Indent"/>
    <w:basedOn w:val="1"/>
    <w:qFormat/>
    <w:uiPriority w:val="0"/>
    <w:pPr>
      <w:ind w:firstLine="420" w:firstLineChars="200"/>
    </w:pPr>
  </w:style>
  <w:style w:type="paragraph" w:styleId="8">
    <w:name w:val="caption"/>
    <w:basedOn w:val="1"/>
    <w:next w:val="1"/>
    <w:qFormat/>
    <w:uiPriority w:val="0"/>
    <w:rPr>
      <w:rFonts w:ascii="Calibri Light" w:hAnsi="Calibri Light" w:eastAsia="黑体" w:cs="Times New Roman"/>
      <w:sz w:val="20"/>
      <w:szCs w:val="20"/>
    </w:rPr>
  </w:style>
  <w:style w:type="paragraph" w:styleId="9">
    <w:name w:val="annotation text"/>
    <w:basedOn w:val="1"/>
    <w:link w:val="33"/>
    <w:qFormat/>
    <w:uiPriority w:val="0"/>
    <w:pPr>
      <w:jc w:val="left"/>
    </w:pPr>
    <w:rPr>
      <w:sz w:val="28"/>
    </w:rPr>
  </w:style>
  <w:style w:type="paragraph" w:styleId="10">
    <w:name w:val="Body Text 3"/>
    <w:basedOn w:val="1"/>
    <w:link w:val="36"/>
    <w:qFormat/>
    <w:uiPriority w:val="0"/>
    <w:rPr>
      <w:rFonts w:ascii="Times New Roman" w:hAnsi="Times New Roman" w:eastAsia="宋体" w:cs="Times New Roman"/>
      <w:b/>
      <w:bCs/>
      <w:sz w:val="28"/>
      <w:szCs w:val="28"/>
    </w:rPr>
  </w:style>
  <w:style w:type="paragraph" w:styleId="11">
    <w:name w:val="Body Text Indent"/>
    <w:basedOn w:val="1"/>
    <w:qFormat/>
    <w:uiPriority w:val="0"/>
    <w:pPr>
      <w:spacing w:after="120"/>
      <w:ind w:left="420" w:leftChars="200"/>
    </w:pPr>
    <w:rPr>
      <w:rFonts w:ascii="Times New Roman" w:hAnsi="Times New Roman" w:eastAsia="宋体" w:cs="Times New Roman"/>
      <w:szCs w:val="20"/>
    </w:rPr>
  </w:style>
  <w:style w:type="paragraph" w:styleId="12">
    <w:name w:val="Plain Text"/>
    <w:basedOn w:val="1"/>
    <w:link w:val="37"/>
    <w:qFormat/>
    <w:uiPriority w:val="99"/>
    <w:rPr>
      <w:rFonts w:ascii="宋体" w:hAnsi="Courier New" w:eastAsia="宋体" w:cs="宋体"/>
      <w:szCs w:val="21"/>
    </w:rPr>
  </w:style>
  <w:style w:type="paragraph" w:styleId="13">
    <w:name w:val="Body Text Indent 2"/>
    <w:basedOn w:val="1"/>
    <w:qFormat/>
    <w:uiPriority w:val="0"/>
    <w:pPr>
      <w:ind w:firstLine="560"/>
    </w:pPr>
    <w:rPr>
      <w:rFonts w:eastAsia="楷体_GB2312" w:cs="Times New Roman"/>
      <w:sz w:val="28"/>
    </w:rPr>
  </w:style>
  <w:style w:type="paragraph" w:styleId="14">
    <w:name w:val="Balloon Text"/>
    <w:basedOn w:val="1"/>
    <w:link w:val="31"/>
    <w:semiHidden/>
    <w:unhideWhenUsed/>
    <w:qFormat/>
    <w:uiPriority w:val="99"/>
    <w:rPr>
      <w:sz w:val="18"/>
      <w:szCs w:val="18"/>
    </w:rPr>
  </w:style>
  <w:style w:type="paragraph" w:styleId="15">
    <w:name w:val="footer"/>
    <w:basedOn w:val="1"/>
    <w:link w:val="27"/>
    <w:unhideWhenUsed/>
    <w:qFormat/>
    <w:uiPriority w:val="99"/>
    <w:pPr>
      <w:tabs>
        <w:tab w:val="center" w:pos="4153"/>
        <w:tab w:val="right" w:pos="8306"/>
      </w:tabs>
      <w:snapToGrid w:val="0"/>
      <w:jc w:val="left"/>
    </w:pPr>
    <w:rPr>
      <w:sz w:val="18"/>
      <w:szCs w:val="18"/>
    </w:rPr>
  </w:style>
  <w:style w:type="paragraph" w:styleId="16">
    <w:name w:val="header"/>
    <w:basedOn w:val="1"/>
    <w:link w:val="26"/>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Subtitle"/>
    <w:basedOn w:val="1"/>
    <w:next w:val="1"/>
    <w:link w:val="49"/>
    <w:qFormat/>
    <w:uiPriority w:val="0"/>
    <w:pPr>
      <w:spacing w:line="312" w:lineRule="atLeast"/>
      <w:jc w:val="left"/>
      <w:outlineLvl w:val="1"/>
    </w:pPr>
    <w:rPr>
      <w:rFonts w:ascii="Cambria" w:hAnsi="Cambria" w:cs="Times New Roman"/>
      <w:b/>
      <w:bCs/>
      <w:kern w:val="28"/>
      <w:szCs w:val="32"/>
    </w:rPr>
  </w:style>
  <w:style w:type="paragraph" w:styleId="18">
    <w:name w:val="toc 2"/>
    <w:basedOn w:val="1"/>
    <w:next w:val="1"/>
    <w:qFormat/>
    <w:uiPriority w:val="39"/>
    <w:pPr>
      <w:tabs>
        <w:tab w:val="left" w:pos="851"/>
        <w:tab w:val="right" w:leader="dot" w:pos="8296"/>
      </w:tabs>
      <w:spacing w:line="300" w:lineRule="auto"/>
      <w:ind w:firstLine="240" w:firstLineChars="100"/>
    </w:pPr>
    <w:rPr>
      <w:rFonts w:ascii="Times New Roman" w:hAnsi="Times New Roman" w:eastAsia="宋体" w:cs="宋体"/>
      <w:sz w:val="24"/>
      <w:szCs w:val="24"/>
    </w:rPr>
  </w:style>
  <w:style w:type="paragraph" w:styleId="19">
    <w:name w:val="Body Text 2"/>
    <w:basedOn w:val="1"/>
    <w:link w:val="40"/>
    <w:qFormat/>
    <w:uiPriority w:val="0"/>
    <w:pPr>
      <w:spacing w:after="120" w:line="480" w:lineRule="auto"/>
    </w:pPr>
    <w:rPr>
      <w:rFonts w:ascii="Calibri" w:hAnsi="Calibri" w:eastAsia="宋体" w:cs="Times New Roman"/>
      <w:szCs w:val="24"/>
    </w:rPr>
  </w:style>
  <w:style w:type="table" w:styleId="21">
    <w:name w:val="Table Grid"/>
    <w:basedOn w:val="20"/>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3">
    <w:name w:val="Hyperlink"/>
    <w:basedOn w:val="22"/>
    <w:unhideWhenUsed/>
    <w:qFormat/>
    <w:uiPriority w:val="99"/>
    <w:rPr>
      <w:color w:val="0000FF"/>
      <w:u w:val="single"/>
    </w:rPr>
  </w:style>
  <w:style w:type="paragraph" w:customStyle="1" w:styleId="24">
    <w:name w:val="Default1"/>
    <w:link w:val="44"/>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Default"/>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character" w:customStyle="1" w:styleId="26">
    <w:name w:val="页眉 Char"/>
    <w:basedOn w:val="22"/>
    <w:link w:val="16"/>
    <w:qFormat/>
    <w:uiPriority w:val="99"/>
    <w:rPr>
      <w:sz w:val="18"/>
      <w:szCs w:val="18"/>
    </w:rPr>
  </w:style>
  <w:style w:type="character" w:customStyle="1" w:styleId="27">
    <w:name w:val="页脚 Char"/>
    <w:basedOn w:val="22"/>
    <w:link w:val="15"/>
    <w:qFormat/>
    <w:uiPriority w:val="99"/>
    <w:rPr>
      <w:sz w:val="18"/>
      <w:szCs w:val="18"/>
    </w:rPr>
  </w:style>
  <w:style w:type="paragraph" w:styleId="28">
    <w:name w:val="List Paragraph"/>
    <w:basedOn w:val="1"/>
    <w:qFormat/>
    <w:uiPriority w:val="34"/>
    <w:pPr>
      <w:ind w:firstLine="420" w:firstLineChars="200"/>
    </w:pPr>
  </w:style>
  <w:style w:type="paragraph" w:customStyle="1" w:styleId="29">
    <w:name w:val="列出段落1"/>
    <w:basedOn w:val="1"/>
    <w:qFormat/>
    <w:uiPriority w:val="34"/>
    <w:pPr>
      <w:ind w:firstLine="420" w:firstLineChars="200"/>
    </w:pPr>
  </w:style>
  <w:style w:type="paragraph" w:customStyle="1" w:styleId="30">
    <w:name w:val="列出段落2"/>
    <w:basedOn w:val="1"/>
    <w:unhideWhenUsed/>
    <w:qFormat/>
    <w:uiPriority w:val="34"/>
    <w:pPr>
      <w:ind w:firstLine="420" w:firstLineChars="200"/>
    </w:pPr>
  </w:style>
  <w:style w:type="character" w:customStyle="1" w:styleId="31">
    <w:name w:val="批注框文本 Char"/>
    <w:basedOn w:val="22"/>
    <w:link w:val="14"/>
    <w:semiHidden/>
    <w:qFormat/>
    <w:uiPriority w:val="99"/>
    <w:rPr>
      <w:sz w:val="18"/>
      <w:szCs w:val="18"/>
    </w:rPr>
  </w:style>
  <w:style w:type="character" w:customStyle="1" w:styleId="32">
    <w:name w:val="批注文字 Char"/>
    <w:basedOn w:val="22"/>
    <w:link w:val="9"/>
    <w:qFormat/>
    <w:uiPriority w:val="0"/>
    <w:rPr>
      <w:sz w:val="28"/>
    </w:rPr>
  </w:style>
  <w:style w:type="character" w:customStyle="1" w:styleId="33">
    <w:name w:val="批注文字 Char1"/>
    <w:basedOn w:val="22"/>
    <w:link w:val="9"/>
    <w:semiHidden/>
    <w:qFormat/>
    <w:uiPriority w:val="99"/>
  </w:style>
  <w:style w:type="paragraph" w:styleId="34">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35">
    <w:name w:val="p0"/>
    <w:basedOn w:val="1"/>
    <w:qFormat/>
    <w:uiPriority w:val="99"/>
    <w:pPr>
      <w:widowControl/>
    </w:pPr>
    <w:rPr>
      <w:rFonts w:ascii="Calibri" w:hAnsi="Calibri" w:eastAsia="宋体" w:cs="Times New Roman"/>
      <w:kern w:val="0"/>
      <w:szCs w:val="21"/>
    </w:rPr>
  </w:style>
  <w:style w:type="character" w:customStyle="1" w:styleId="36">
    <w:name w:val="正文文本 3 Char"/>
    <w:basedOn w:val="22"/>
    <w:link w:val="10"/>
    <w:qFormat/>
    <w:uiPriority w:val="0"/>
    <w:rPr>
      <w:rFonts w:ascii="Times New Roman" w:hAnsi="Times New Roman" w:eastAsia="宋体" w:cs="Times New Roman"/>
      <w:b/>
      <w:bCs/>
      <w:kern w:val="2"/>
      <w:sz w:val="28"/>
      <w:szCs w:val="28"/>
    </w:rPr>
  </w:style>
  <w:style w:type="character" w:customStyle="1" w:styleId="37">
    <w:name w:val="纯文本 Char"/>
    <w:basedOn w:val="22"/>
    <w:link w:val="12"/>
    <w:qFormat/>
    <w:uiPriority w:val="99"/>
    <w:rPr>
      <w:rFonts w:ascii="宋体" w:hAnsi="Courier New" w:eastAsia="宋体" w:cs="宋体"/>
      <w:kern w:val="2"/>
      <w:sz w:val="21"/>
      <w:szCs w:val="21"/>
    </w:rPr>
  </w:style>
  <w:style w:type="paragraph" w:customStyle="1" w:styleId="38">
    <w:name w:val="IDC A-Head (2nd Line)"/>
    <w:basedOn w:val="1"/>
    <w:next w:val="1"/>
    <w:qFormat/>
    <w:uiPriority w:val="0"/>
    <w:pPr>
      <w:widowControl/>
      <w:jc w:val="center"/>
    </w:pPr>
    <w:rPr>
      <w:rFonts w:ascii="Times New Roman" w:hAnsi="Calibri" w:eastAsia="宋体" w:cs="Times New Roman"/>
      <w:caps/>
      <w:szCs w:val="20"/>
    </w:rPr>
  </w:style>
  <w:style w:type="character" w:customStyle="1" w:styleId="39">
    <w:name w:val="正文文本 Char"/>
    <w:basedOn w:val="22"/>
    <w:link w:val="2"/>
    <w:qFormat/>
    <w:uiPriority w:val="99"/>
    <w:rPr>
      <w:kern w:val="2"/>
      <w:sz w:val="21"/>
      <w:szCs w:val="22"/>
    </w:rPr>
  </w:style>
  <w:style w:type="character" w:customStyle="1" w:styleId="40">
    <w:name w:val="正文文本 2 Char"/>
    <w:basedOn w:val="22"/>
    <w:link w:val="19"/>
    <w:qFormat/>
    <w:uiPriority w:val="0"/>
    <w:rPr>
      <w:rFonts w:ascii="Calibri" w:hAnsi="Calibri" w:eastAsia="宋体" w:cs="Times New Roman"/>
      <w:kern w:val="2"/>
      <w:sz w:val="21"/>
      <w:szCs w:val="24"/>
    </w:rPr>
  </w:style>
  <w:style w:type="character" w:customStyle="1" w:styleId="41">
    <w:name w:val="apple-style-span"/>
    <w:qFormat/>
    <w:uiPriority w:val="0"/>
    <w:rPr>
      <w:sz w:val="24"/>
      <w:szCs w:val="24"/>
    </w:rPr>
  </w:style>
  <w:style w:type="character" w:customStyle="1" w:styleId="42">
    <w:name w:val="标题 6 Char"/>
    <w:basedOn w:val="22"/>
    <w:link w:val="7"/>
    <w:semiHidden/>
    <w:qFormat/>
    <w:uiPriority w:val="1"/>
    <w:rPr>
      <w:rFonts w:ascii="宋体" w:hAnsi="宋体" w:eastAsia="宋体" w:cs="Times New Roman"/>
      <w:b/>
      <w:sz w:val="21"/>
    </w:rPr>
  </w:style>
  <w:style w:type="paragraph" w:customStyle="1" w:styleId="43">
    <w:name w:val="Table Paragraph"/>
    <w:basedOn w:val="1"/>
    <w:qFormat/>
    <w:uiPriority w:val="1"/>
    <w:pPr>
      <w:autoSpaceDE w:val="0"/>
      <w:autoSpaceDN w:val="0"/>
      <w:adjustRightInd w:val="0"/>
      <w:jc w:val="left"/>
    </w:pPr>
    <w:rPr>
      <w:rFonts w:ascii="Times New Roman" w:hAnsi="Times New Roman" w:eastAsia="宋体" w:cs="Times New Roman"/>
      <w:kern w:val="0"/>
      <w:sz w:val="24"/>
      <w:szCs w:val="20"/>
    </w:rPr>
  </w:style>
  <w:style w:type="character" w:customStyle="1" w:styleId="44">
    <w:name w:val="Default1 Char"/>
    <w:link w:val="24"/>
    <w:qFormat/>
    <w:locked/>
    <w:uiPriority w:val="0"/>
    <w:rPr>
      <w:rFonts w:ascii="宋体" w:hAnsi="Times New Roman" w:eastAsia="宋体" w:cs="宋体"/>
      <w:color w:val="000000"/>
      <w:sz w:val="24"/>
      <w:szCs w:val="24"/>
    </w:rPr>
  </w:style>
  <w:style w:type="paragraph" w:customStyle="1" w:styleId="45">
    <w:name w:val=" Char Char Char Char"/>
    <w:basedOn w:val="1"/>
    <w:qFormat/>
    <w:uiPriority w:val="0"/>
  </w:style>
  <w:style w:type="paragraph" w:customStyle="1" w:styleId="46">
    <w:name w:val="表格名称"/>
    <w:basedOn w:val="1"/>
    <w:qFormat/>
    <w:uiPriority w:val="0"/>
    <w:pPr>
      <w:spacing w:beforeLines="50"/>
      <w:jc w:val="center"/>
    </w:pPr>
    <w:rPr>
      <w:b/>
      <w:bCs/>
      <w:szCs w:val="21"/>
    </w:rPr>
  </w:style>
  <w:style w:type="paragraph" w:customStyle="1" w:styleId="47">
    <w:name w:val="表格-内容"/>
    <w:basedOn w:val="1"/>
    <w:qFormat/>
    <w:uiPriority w:val="0"/>
    <w:pPr>
      <w:spacing w:line="312" w:lineRule="exact"/>
      <w:ind w:firstLine="0" w:firstLineChars="0"/>
      <w:jc w:val="center"/>
    </w:pPr>
    <w:rPr>
      <w:rFonts w:ascii="宋体" w:hAnsi="宋体"/>
      <w:sz w:val="21"/>
      <w:szCs w:val="21"/>
    </w:rPr>
  </w:style>
  <w:style w:type="paragraph" w:customStyle="1" w:styleId="48">
    <w:name w:val="正文样式"/>
    <w:basedOn w:val="1"/>
    <w:qFormat/>
    <w:uiPriority w:val="0"/>
    <w:pPr>
      <w:ind w:firstLine="560"/>
    </w:pPr>
    <w:rPr>
      <w:rFonts w:cs="宋体"/>
      <w:szCs w:val="20"/>
    </w:rPr>
  </w:style>
  <w:style w:type="character" w:customStyle="1" w:styleId="49">
    <w:name w:val="副标题 Char"/>
    <w:link w:val="17"/>
    <w:qFormat/>
    <w:uiPriority w:val="11"/>
    <w:rPr>
      <w:rFonts w:ascii="Cambria" w:hAnsi="Cambria" w:cs="Times New Roman"/>
      <w:b/>
      <w:bCs/>
      <w:kern w:val="28"/>
      <w:szCs w:val="32"/>
    </w:rPr>
  </w:style>
  <w:style w:type="paragraph" w:customStyle="1" w:styleId="50">
    <w:name w:val="正文内容"/>
    <w:qFormat/>
    <w:uiPriority w:val="0"/>
    <w:pPr>
      <w:widowControl w:val="0"/>
      <w:snapToGrid w:val="0"/>
      <w:spacing w:before="60" w:after="60" w:line="480" w:lineRule="exact"/>
      <w:ind w:firstLine="200" w:firstLineChars="200"/>
      <w:jc w:val="both"/>
    </w:pPr>
    <w:rPr>
      <w:rFonts w:ascii="Calibri" w:hAnsi="Calibri" w:eastAsia="Times New Roman" w:cs="Times New Roman"/>
      <w:kern w:val="2"/>
      <w:sz w:val="24"/>
      <w:szCs w:val="24"/>
      <w:lang w:val="en-US" w:eastAsia="zh-CN" w:bidi="ar-SA"/>
    </w:rPr>
  </w:style>
  <w:style w:type="paragraph" w:customStyle="1" w:styleId="51">
    <w:name w:val="环科院表格标题"/>
    <w:basedOn w:val="1"/>
    <w:qFormat/>
    <w:uiPriority w:val="0"/>
    <w:pPr>
      <w:spacing w:beforeLines="50"/>
      <w:jc w:val="center"/>
    </w:pPr>
    <w:rPr>
      <w:rFonts w:eastAsia="黑体"/>
      <w:b/>
      <w:bCs/>
      <w:sz w:val="24"/>
    </w:rPr>
  </w:style>
  <w:style w:type="paragraph" w:customStyle="1" w:styleId="52">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53">
    <w:name w:val="表格标题"/>
    <w:basedOn w:val="1"/>
    <w:qFormat/>
    <w:uiPriority w:val="0"/>
    <w:pPr>
      <w:spacing w:line="360" w:lineRule="auto"/>
      <w:jc w:val="center"/>
    </w:pPr>
    <w:rPr>
      <w:rFonts w:ascii="Times New Roman" w:eastAsia="黑体"/>
      <w:b/>
      <w:sz w:val="24"/>
    </w:rPr>
  </w:style>
  <w:style w:type="paragraph" w:customStyle="1" w:styleId="54">
    <w:name w:val="表"/>
    <w:basedOn w:val="1"/>
    <w:qFormat/>
    <w:uiPriority w:val="0"/>
    <w:pPr>
      <w:snapToGrid w:val="0"/>
      <w:jc w:val="center"/>
    </w:pPr>
    <w:rPr>
      <w:rFonts w:cs="Times New Roman"/>
      <w:spacing w:val="2"/>
      <w:kern w:val="0"/>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0" Type="http://schemas.openxmlformats.org/officeDocument/2006/relationships/fontTable" Target="fontTable.xml"/><Relationship Id="rId6" Type="http://schemas.openxmlformats.org/officeDocument/2006/relationships/header" Target="header3.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31.png"/><Relationship Id="rId55" Type="http://schemas.openxmlformats.org/officeDocument/2006/relationships/image" Target="media/image30.png"/><Relationship Id="rId54" Type="http://schemas.openxmlformats.org/officeDocument/2006/relationships/image" Target="media/image29.png"/><Relationship Id="rId53" Type="http://schemas.openxmlformats.org/officeDocument/2006/relationships/image" Target="media/image28.png"/><Relationship Id="rId52"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image" Target="media/image25.png"/><Relationship Id="rId5" Type="http://schemas.openxmlformats.org/officeDocument/2006/relationships/footer" Target="footer1.xml"/><Relationship Id="rId49" Type="http://schemas.openxmlformats.org/officeDocument/2006/relationships/image" Target="media/image24.pn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header" Target="head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emf"/><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emf"/><Relationship Id="rId3" Type="http://schemas.openxmlformats.org/officeDocument/2006/relationships/header" Target="header1.xml"/><Relationship Id="rId29" Type="http://schemas.openxmlformats.org/officeDocument/2006/relationships/oleObject" Target="embeddings/oleObject1.bin"/><Relationship Id="rId28" Type="http://schemas.openxmlformats.org/officeDocument/2006/relationships/image" Target="media/image4.wmf"/><Relationship Id="rId27" Type="http://schemas.openxmlformats.org/officeDocument/2006/relationships/control" Target="activeX/activeX4.xml"/><Relationship Id="rId26" Type="http://schemas.openxmlformats.org/officeDocument/2006/relationships/image" Target="media/image3.wmf"/><Relationship Id="rId25" Type="http://schemas.openxmlformats.org/officeDocument/2006/relationships/control" Target="activeX/activeX3.xml"/><Relationship Id="rId24" Type="http://schemas.openxmlformats.org/officeDocument/2006/relationships/image" Target="media/image2.wmf"/><Relationship Id="rId23" Type="http://schemas.openxmlformats.org/officeDocument/2006/relationships/control" Target="activeX/activeX2.xml"/><Relationship Id="rId22" Type="http://schemas.openxmlformats.org/officeDocument/2006/relationships/image" Target="media/image1.wmf"/><Relationship Id="rId21" Type="http://schemas.openxmlformats.org/officeDocument/2006/relationships/control" Target="activeX/activeX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8BD21D40-EC42-11CE-9E0D-00AA006002F3}" r:id="rId1" ax:persistence="persistStorage"/>
</file>

<file path=word/activeX/activeX2.xml><?xml version="1.0" encoding="utf-8"?>
<ax:ocx xmlns:ax="http://schemas.microsoft.com/office/2006/activeX" xmlns:r="http://schemas.openxmlformats.org/officeDocument/2006/relationships" ax:classid="{8BD21D40-EC42-11CE-9E0D-00AA006002F3}" r:id="rId1" ax:persistence="persistStorage"/>
</file>

<file path=word/activeX/activeX3.xml><?xml version="1.0" encoding="utf-8"?>
<ax:ocx xmlns:ax="http://schemas.microsoft.com/office/2006/activeX" xmlns:r="http://schemas.openxmlformats.org/officeDocument/2006/relationships" ax:classid="{8BD21D40-EC42-11CE-9E0D-00AA006002F3}" r:id="rId1" ax:persistence="persistStorage"/>
</file>

<file path=word/activeX/activeX4.xml><?xml version="1.0" encoding="utf-8"?>
<ax:ocx xmlns:ax="http://schemas.microsoft.com/office/2006/activeX" xmlns:r="http://schemas.openxmlformats.org/officeDocument/2006/relationships" ax:classid="{8BD21D40-EC42-11CE-9E0D-00AA006002F3}" r:id="rId1" ax:persistence="persistStorag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99" textRotate="1"/>
    <customShpInfo spid="_x0000_s3091" textRotate="1"/>
    <customShpInfo spid="_x0000_s3075" textRotate="1"/>
    <customShpInfo spid="_x0000_s3092" textRotate="1"/>
    <customShpInfo spid="_x0000_s3093" textRotate="1"/>
    <customShpInfo spid="_x0000_s3094" textRotate="1"/>
    <customShpInfo spid="_x0000_s3095" textRotate="1"/>
    <customShpInfo spid="_x0000_s3096" textRotate="1"/>
    <customShpInfo spid="_x0000_s3104" textRotate="1"/>
    <customShpInfo spid="_x0000_s3105" textRotate="1"/>
    <customShpInfo spid="_x0000_s3101" textRotate="1"/>
    <customShpInfo spid="_x0000_s3106" textRotate="1"/>
    <customShpInfo spid="_x0000_s3098" textRotate="1"/>
    <customShpInfo spid="_x0000_s2085"/>
    <customShpInfo spid="_x0000_s2086"/>
    <customShpInfo spid="_x0000_s2087"/>
    <customShpInfo spid="_x0000_s2088"/>
    <customShpInfo spid="_x0000_s2141"/>
    <customShpInfo spid="_x0000_s2142"/>
    <customShpInfo spid="_x0000_s2153"/>
    <customShpInfo spid="_x0000_s2152"/>
    <customShpInfo spid="_x0000_s2154"/>
    <customShpInfo spid="_x0000_s2151"/>
    <customShpInfo spid="_x0000_s2150"/>
    <customShpInfo spid="_x0000_s2155"/>
    <customShpInfo spid="_x0000_s215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A93C37A-D390-4EB4-A0A2-DBE5F4E457B0}">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3154</Words>
  <Characters>17979</Characters>
  <Lines>149</Lines>
  <Paragraphs>42</Paragraphs>
  <TotalTime>2</TotalTime>
  <ScaleCrop>false</ScaleCrop>
  <LinksUpToDate>false</LinksUpToDate>
  <CharactersWithSpaces>21091</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2019-07-03T03:32:00Z</dcterms:created>
  <dc:creator>DELL5</dc:creator>
  <cp:lastModifiedBy>庐陵四更半</cp:lastModifiedBy>
  <cp:lastPrinted>2019-07-12T07:33:00Z</cp:lastPrinted>
  <dcterms:modified xsi:type="dcterms:W3CDTF">2020-09-28T07:58:15Z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