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bidi w:val="0"/>
        <w:spacing w:before="0" w:beforeAutospacing="0" w:after="0" w:afterAutospacing="0" w:line="360" w:lineRule="auto"/>
        <w:jc w:val="center"/>
        <w:textAlignment w:val="auto"/>
        <w:outlineLvl w:val="0"/>
        <w:rPr>
          <w:rFonts w:hint="eastAsia" w:ascii="宋体" w:hAnsi="宋体" w:eastAsia="宋体" w:cs="宋体"/>
          <w:b/>
          <w:bCs w:val="0"/>
          <w:sz w:val="28"/>
          <w:szCs w:val="28"/>
        </w:rPr>
      </w:pPr>
      <w:r>
        <w:rPr>
          <w:rFonts w:hint="eastAsia" w:ascii="宋体" w:hAnsi="宋体" w:eastAsia="宋体" w:cs="宋体"/>
          <w:b/>
          <w:bCs w:val="0"/>
          <w:sz w:val="28"/>
          <w:szCs w:val="28"/>
        </w:rPr>
        <w:t>吉安市天然气有限公司吉安市中心城区天然气利用项目</w:t>
      </w:r>
    </w:p>
    <w:p>
      <w:pPr>
        <w:pStyle w:val="6"/>
        <w:keepNext w:val="0"/>
        <w:keepLines w:val="0"/>
        <w:pageBreakBefore w:val="0"/>
        <w:widowControl/>
        <w:kinsoku/>
        <w:wordWrap/>
        <w:overflowPunct/>
        <w:topLinePunct w:val="0"/>
        <w:bidi w:val="0"/>
        <w:spacing w:before="0" w:beforeAutospacing="0" w:after="0" w:afterAutospacing="0" w:line="360" w:lineRule="auto"/>
        <w:jc w:val="center"/>
        <w:textAlignment w:val="auto"/>
        <w:outlineLvl w:val="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b/>
          <w:sz w:val="28"/>
          <w:szCs w:val="28"/>
        </w:rPr>
        <w:t>竣工环境保护验收</w:t>
      </w:r>
      <w:r>
        <w:rPr>
          <w:rFonts w:hint="eastAsia" w:asciiTheme="minorEastAsia" w:hAnsiTheme="minorEastAsia" w:eastAsiaTheme="minorEastAsia" w:cstheme="minorEastAsia"/>
          <w:b/>
          <w:kern w:val="0"/>
          <w:sz w:val="28"/>
          <w:szCs w:val="28"/>
        </w:rPr>
        <w:t>组意见</w:t>
      </w:r>
    </w:p>
    <w:p>
      <w:pPr>
        <w:pStyle w:val="6"/>
        <w:keepNext w:val="0"/>
        <w:keepLines w:val="0"/>
        <w:pageBreakBefore w:val="0"/>
        <w:widowControl/>
        <w:kinsoku/>
        <w:wordWrap/>
        <w:overflowPunct/>
        <w:topLinePunct w:val="0"/>
        <w:bidi w:val="0"/>
        <w:spacing w:before="0" w:beforeAutospacing="0" w:after="0" w:afterAutospacing="0" w:line="360" w:lineRule="auto"/>
        <w:jc w:val="center"/>
        <w:textAlignment w:val="auto"/>
        <w:outlineLvl w:val="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20</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日，</w:t>
      </w:r>
      <w:r>
        <w:rPr>
          <w:rFonts w:hint="eastAsia" w:ascii="宋体" w:hAnsi="宋体" w:eastAsia="宋体" w:cs="宋体"/>
          <w:b w:val="0"/>
          <w:bCs/>
          <w:sz w:val="24"/>
          <w:szCs w:val="24"/>
        </w:rPr>
        <w:t>吉安市天然气有限公司吉安市中心城区天然气利用项目</w:t>
      </w:r>
      <w:r>
        <w:rPr>
          <w:rFonts w:hint="eastAsia" w:asciiTheme="minorEastAsia" w:hAnsiTheme="minorEastAsia" w:eastAsiaTheme="minorEastAsia" w:cstheme="minorEastAsia"/>
          <w:color w:val="000000"/>
          <w:sz w:val="24"/>
          <w:szCs w:val="24"/>
        </w:rPr>
        <w:t>竣工环境保护验收监测报告表并对照《建设项目竣工环境保护验收暂行办法》，严格依照国家有关法律法规、建设项目竣工环境保护验收技术规范/指南、本项目环境影响评价报告表和审批部门审批决定等要求对本项目进行验收，提出意见如下：</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一、工程建设基本情况</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（一）建设地点、规模、主要建设内容</w:t>
      </w:r>
    </w:p>
    <w:p>
      <w:pPr>
        <w:spacing w:line="360" w:lineRule="auto"/>
        <w:ind w:firstLine="480" w:firstLineChars="200"/>
        <w:rPr>
          <w:rFonts w:hint="eastAsia" w:ascii="宋体" w:hAnsi="宋体" w:eastAsia="宋体" w:cs="宋体"/>
          <w:color w:val="FF0000"/>
          <w:kern w:val="0"/>
          <w:sz w:val="24"/>
          <w:szCs w:val="24"/>
          <w:lang w:eastAsia="zh-CN"/>
        </w:rPr>
      </w:pPr>
      <w:r>
        <w:rPr>
          <w:rFonts w:hint="eastAsia" w:ascii="宋体" w:hAnsi="宋体" w:eastAsia="宋体" w:cs="宋体"/>
          <w:b w:val="0"/>
          <w:bCs w:val="0"/>
          <w:sz w:val="24"/>
          <w:szCs w:val="24"/>
        </w:rPr>
        <w:t>吉安市天然气有限公司吉安市中心城区天然气利用项目</w:t>
      </w:r>
      <w:r>
        <w:rPr>
          <w:rFonts w:hint="eastAsia" w:ascii="宋体" w:hAnsi="宋体" w:eastAsia="宋体" w:cs="宋体"/>
          <w:b w:val="0"/>
          <w:bCs w:val="0"/>
          <w:sz w:val="24"/>
          <w:szCs w:val="24"/>
          <w:lang w:eastAsia="zh-CN"/>
        </w:rPr>
        <w:t>为</w:t>
      </w:r>
      <w:r>
        <w:rPr>
          <w:rFonts w:hint="eastAsia" w:ascii="宋体" w:hAnsi="宋体" w:eastAsia="宋体" w:cs="宋体"/>
          <w:sz w:val="24"/>
          <w:lang w:eastAsia="zh-CN"/>
        </w:rPr>
        <w:t>改扩</w:t>
      </w:r>
      <w:r>
        <w:rPr>
          <w:rFonts w:hint="eastAsia" w:ascii="宋体" w:hAnsi="宋体" w:eastAsia="宋体" w:cs="宋体"/>
          <w:sz w:val="24"/>
        </w:rPr>
        <w:t>建</w:t>
      </w:r>
      <w:r>
        <w:rPr>
          <w:rFonts w:hint="eastAsia" w:ascii="宋体" w:hAnsi="宋体" w:eastAsia="宋体" w:cs="宋体"/>
          <w:sz w:val="24"/>
          <w:lang w:eastAsia="zh-CN"/>
        </w:rPr>
        <w:t>项目，</w:t>
      </w:r>
      <w:r>
        <w:rPr>
          <w:rFonts w:hint="eastAsia" w:ascii="宋体" w:hAnsi="宋体" w:eastAsia="宋体" w:cs="宋体"/>
          <w:sz w:val="24"/>
        </w:rPr>
        <w:t>建设项目厂址</w:t>
      </w:r>
      <w:r>
        <w:rPr>
          <w:rFonts w:hint="eastAsia" w:ascii="宋体" w:hAnsi="宋体" w:eastAsia="宋体" w:cs="宋体"/>
          <w:sz w:val="24"/>
          <w:lang w:eastAsia="zh-CN"/>
        </w:rPr>
        <w:t>在</w:t>
      </w:r>
      <w:r>
        <w:rPr>
          <w:rFonts w:hint="eastAsia" w:ascii="宋体" w:hAnsi="宋体" w:eastAsia="宋体" w:cs="宋体"/>
          <w:sz w:val="24"/>
        </w:rPr>
        <w:t>吉安市吉福路与规划四路交叉口东南侧华润燃气气化站内</w:t>
      </w:r>
      <w:r>
        <w:rPr>
          <w:rFonts w:hint="eastAsia" w:ascii="宋体" w:hAnsi="宋体" w:eastAsia="宋体" w:cs="宋体"/>
          <w:sz w:val="24"/>
          <w:lang w:eastAsia="zh-CN"/>
        </w:rPr>
        <w:t>；</w:t>
      </w:r>
      <w:r>
        <w:rPr>
          <w:rFonts w:hint="eastAsia" w:ascii="宋体" w:hAnsi="宋体" w:eastAsia="宋体" w:cs="宋体"/>
          <w:color w:val="000000" w:themeColor="text1"/>
          <w:sz w:val="24"/>
          <w14:textFill>
            <w14:solidFill>
              <w14:schemeClr w14:val="tx1"/>
            </w14:solidFill>
          </w14:textFill>
        </w:rPr>
        <w:t>本站总图设计是根据站区的地理位置、建设规模、交通运输、气象等条件，按照当地规划部门、城建部门对站区平面布置的要求，本着有利生产、方便管理、确保安全、保护环境，结合场地建设的具体情况，并参照国内外同类设计先例的经验来布置的。</w:t>
      </w:r>
      <w:r>
        <w:rPr>
          <w:rFonts w:hint="eastAsia" w:ascii="宋体" w:hAnsi="宋体" w:eastAsia="宋体" w:cs="宋体"/>
          <w:color w:val="000000"/>
          <w:spacing w:val="0"/>
          <w:w w:val="100"/>
          <w:position w:val="0"/>
          <w:sz w:val="24"/>
          <w:szCs w:val="24"/>
        </w:rPr>
        <w:t>吉安市天然气有限公司是由上海通达能源股份有限公司与吉安市燃气管网输配公司合资组建，在原吉安市煤气公司燃气管网的基础上改扩建而成，主要从事城市燃气管网投资、建设和经营管理。为贯彻国家能源发展，提高天然气在城市能源消费结构中的比重，保护城市环境，利用原有的输配系统，公司决定实施吉安市中心城区天然气利用项目。天然气无色无味、无毒且无腐蚀性，主要成分为甲烷，也包括一定量的乙烷、丙烷和重质碳氢化合物，还有少量的氮气、氧气、二氧化碳和硫化物。与其它化石燃料相比，天然气燃烧时仅排放少量的二氧化碳和极微量的一氧化碳、碳氢化合物、氮氧</w:t>
      </w:r>
      <w:r>
        <w:rPr>
          <w:rFonts w:hint="eastAsia" w:ascii="宋体" w:hAnsi="宋体" w:eastAsia="宋体" w:cs="宋体"/>
          <w:color w:val="000000"/>
          <w:spacing w:val="0"/>
          <w:w w:val="100"/>
          <w:position w:val="0"/>
          <w:sz w:val="24"/>
          <w:szCs w:val="24"/>
          <w:lang w:val="zh-CN" w:eastAsia="zh-CN" w:bidi="zh-CN"/>
        </w:rPr>
        <w:t>化物。</w:t>
      </w:r>
      <w:r>
        <w:rPr>
          <w:rFonts w:hint="eastAsia" w:ascii="宋体" w:hAnsi="宋体" w:eastAsia="宋体" w:cs="宋体"/>
          <w:color w:val="000000"/>
          <w:spacing w:val="0"/>
          <w:w w:val="100"/>
          <w:position w:val="0"/>
          <w:sz w:val="24"/>
          <w:szCs w:val="24"/>
        </w:rPr>
        <w:t>因此，天然气是一种清洁的能源。本项目总投资</w:t>
      </w:r>
      <w:r>
        <w:rPr>
          <w:rFonts w:hint="eastAsia" w:ascii="宋体" w:hAnsi="宋体" w:eastAsia="宋体" w:cs="宋体"/>
          <w:color w:val="000000"/>
          <w:spacing w:val="0"/>
          <w:w w:val="100"/>
          <w:position w:val="0"/>
          <w:sz w:val="24"/>
          <w:szCs w:val="24"/>
          <w:lang w:val="en-US" w:eastAsia="en-US" w:bidi="en-US"/>
        </w:rPr>
        <w:t>7117.72</w:t>
      </w:r>
      <w:r>
        <w:rPr>
          <w:rFonts w:hint="eastAsia" w:ascii="宋体" w:hAnsi="宋体" w:eastAsia="宋体" w:cs="宋体"/>
          <w:color w:val="000000"/>
          <w:spacing w:val="0"/>
          <w:w w:val="100"/>
          <w:position w:val="0"/>
          <w:sz w:val="24"/>
          <w:szCs w:val="24"/>
        </w:rPr>
        <w:t>万元，主要建设内容为</w:t>
      </w:r>
      <w:r>
        <w:rPr>
          <w:rFonts w:hint="eastAsia" w:ascii="宋体" w:hAnsi="宋体" w:eastAsia="宋体" w:cs="宋体"/>
          <w:color w:val="000000"/>
          <w:spacing w:val="0"/>
          <w:w w:val="100"/>
          <w:position w:val="0"/>
          <w:sz w:val="24"/>
          <w:szCs w:val="24"/>
          <w:lang w:val="en-US" w:eastAsia="en-US" w:bidi="en-US"/>
        </w:rPr>
        <w:t>LNG</w:t>
      </w:r>
      <w:r>
        <w:rPr>
          <w:rFonts w:hint="eastAsia" w:ascii="宋体" w:hAnsi="宋体" w:eastAsia="宋体" w:cs="宋体"/>
          <w:color w:val="000000"/>
          <w:spacing w:val="0"/>
          <w:w w:val="100"/>
          <w:position w:val="0"/>
          <w:sz w:val="24"/>
          <w:szCs w:val="24"/>
        </w:rPr>
        <w:t>（天然气）气化站、天然气输配管网以及相配套的工程。在吉州区</w:t>
      </w:r>
      <w:r>
        <w:rPr>
          <w:rFonts w:hint="eastAsia" w:ascii="宋体" w:hAnsi="宋体" w:eastAsia="宋体" w:cs="宋体"/>
          <w:color w:val="000000"/>
          <w:spacing w:val="0"/>
          <w:w w:val="100"/>
          <w:position w:val="0"/>
          <w:sz w:val="24"/>
          <w:szCs w:val="24"/>
          <w:lang w:eastAsia="zh-CN"/>
        </w:rPr>
        <w:t>吉福路</w:t>
      </w:r>
      <w:r>
        <w:rPr>
          <w:rFonts w:hint="eastAsia" w:ascii="宋体" w:hAnsi="宋体" w:eastAsia="宋体" w:cs="宋体"/>
          <w:color w:val="000000"/>
          <w:spacing w:val="0"/>
          <w:w w:val="100"/>
          <w:position w:val="0"/>
          <w:sz w:val="24"/>
          <w:szCs w:val="24"/>
        </w:rPr>
        <w:t>建设第一座</w:t>
      </w:r>
      <w:r>
        <w:rPr>
          <w:rFonts w:hint="eastAsia" w:ascii="宋体" w:hAnsi="宋体" w:eastAsia="宋体" w:cs="宋体"/>
          <w:color w:val="000000"/>
          <w:spacing w:val="0"/>
          <w:w w:val="100"/>
          <w:position w:val="0"/>
          <w:sz w:val="24"/>
          <w:szCs w:val="24"/>
          <w:lang w:val="en-US" w:eastAsia="en-US" w:bidi="en-US"/>
        </w:rPr>
        <w:t>LNG</w:t>
      </w:r>
      <w:r>
        <w:rPr>
          <w:rFonts w:hint="eastAsia" w:ascii="宋体" w:hAnsi="宋体" w:eastAsia="宋体" w:cs="宋体"/>
          <w:color w:val="000000"/>
          <w:spacing w:val="0"/>
          <w:w w:val="100"/>
          <w:position w:val="0"/>
          <w:sz w:val="24"/>
          <w:szCs w:val="24"/>
        </w:rPr>
        <w:t>气化站，向吉州区供气为主，青原区供气为辅，天然气管道过赣江；结合世纪大道的建设，敷设吉州区到市高新区及敦厚镇的天然气输配管网。工程规模：工程完成后，供气规模为</w:t>
      </w:r>
      <w:r>
        <w:rPr>
          <w:rFonts w:hint="eastAsia" w:ascii="宋体" w:hAnsi="宋体" w:eastAsia="宋体" w:cs="宋体"/>
          <w:color w:val="000000"/>
          <w:spacing w:val="0"/>
          <w:w w:val="100"/>
          <w:position w:val="0"/>
          <w:sz w:val="24"/>
          <w:szCs w:val="24"/>
          <w:lang w:val="en-US" w:eastAsia="en-US" w:bidi="en-US"/>
        </w:rPr>
        <w:t>3.84</w:t>
      </w:r>
      <w:r>
        <w:rPr>
          <w:rFonts w:hint="eastAsia" w:ascii="宋体" w:hAnsi="宋体" w:eastAsia="宋体" w:cs="宋体"/>
          <w:color w:val="000000"/>
          <w:spacing w:val="0"/>
          <w:w w:val="100"/>
          <w:position w:val="0"/>
          <w:sz w:val="24"/>
          <w:szCs w:val="24"/>
        </w:rPr>
        <w:t>万</w:t>
      </w:r>
      <w:r>
        <w:rPr>
          <w:rFonts w:hint="eastAsia" w:ascii="宋体" w:hAnsi="宋体" w:eastAsia="宋体" w:cs="宋体"/>
          <w:color w:val="000000"/>
          <w:spacing w:val="0"/>
          <w:w w:val="100"/>
          <w:position w:val="0"/>
          <w:sz w:val="24"/>
          <w:szCs w:val="24"/>
          <w:lang w:val="en-US" w:eastAsia="en-US" w:bidi="en-US"/>
        </w:rPr>
        <w:t>N</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color w:val="000000"/>
          <w:spacing w:val="0"/>
          <w:w w:val="100"/>
          <w:position w:val="0"/>
          <w:sz w:val="24"/>
          <w:szCs w:val="24"/>
          <w:lang w:val="en-US" w:eastAsia="en-US" w:bidi="en-US"/>
        </w:rPr>
        <w:t>/d</w:t>
      </w:r>
      <w:r>
        <w:rPr>
          <w:rFonts w:hint="eastAsia" w:ascii="宋体" w:hAnsi="宋体" w:eastAsia="宋体" w:cs="宋体"/>
          <w:color w:val="000000"/>
          <w:spacing w:val="0"/>
          <w:w w:val="100"/>
          <w:position w:val="0"/>
          <w:sz w:val="24"/>
          <w:szCs w:val="24"/>
        </w:rPr>
        <w:t>（1400万</w:t>
      </w:r>
      <w:r>
        <w:rPr>
          <w:rFonts w:hint="eastAsia" w:ascii="宋体" w:hAnsi="宋体" w:eastAsia="宋体" w:cs="宋体"/>
          <w:color w:val="000000"/>
          <w:spacing w:val="0"/>
          <w:w w:val="100"/>
          <w:position w:val="0"/>
          <w:sz w:val="24"/>
          <w:szCs w:val="24"/>
          <w:lang w:val="en-US" w:eastAsia="en-US" w:bidi="en-US"/>
        </w:rPr>
        <w:t>N</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color w:val="000000"/>
          <w:spacing w:val="0"/>
          <w:w w:val="100"/>
          <w:position w:val="0"/>
          <w:sz w:val="24"/>
          <w:szCs w:val="24"/>
          <w:lang w:val="en-US" w:eastAsia="en-US" w:bidi="en-US"/>
        </w:rPr>
        <w:t>/a）,</w:t>
      </w:r>
      <w:r>
        <w:rPr>
          <w:rFonts w:hint="eastAsia" w:ascii="宋体" w:hAnsi="宋体" w:eastAsia="宋体" w:cs="宋体"/>
          <w:color w:val="000000"/>
          <w:spacing w:val="0"/>
          <w:w w:val="100"/>
          <w:position w:val="0"/>
          <w:sz w:val="24"/>
          <w:szCs w:val="24"/>
        </w:rPr>
        <w:t>其中居民用气量</w:t>
      </w:r>
      <w:r>
        <w:rPr>
          <w:rFonts w:hint="eastAsia" w:ascii="宋体" w:hAnsi="宋体" w:eastAsia="宋体" w:cs="宋体"/>
          <w:color w:val="000000"/>
          <w:spacing w:val="0"/>
          <w:w w:val="100"/>
          <w:position w:val="0"/>
          <w:sz w:val="24"/>
          <w:szCs w:val="24"/>
          <w:lang w:val="en-US" w:eastAsia="en-US" w:bidi="en-US"/>
        </w:rPr>
        <w:t>934.12</w:t>
      </w:r>
      <w:r>
        <w:rPr>
          <w:rFonts w:hint="eastAsia" w:ascii="宋体" w:hAnsi="宋体" w:eastAsia="宋体" w:cs="宋体"/>
          <w:color w:val="000000"/>
          <w:spacing w:val="0"/>
          <w:w w:val="100"/>
          <w:position w:val="0"/>
          <w:sz w:val="24"/>
          <w:szCs w:val="24"/>
        </w:rPr>
        <w:t>万</w:t>
      </w:r>
      <w:r>
        <w:rPr>
          <w:rFonts w:hint="eastAsia" w:ascii="宋体" w:hAnsi="宋体" w:eastAsia="宋体" w:cs="宋体"/>
          <w:color w:val="000000"/>
          <w:spacing w:val="0"/>
          <w:w w:val="100"/>
          <w:position w:val="0"/>
          <w:sz w:val="24"/>
          <w:szCs w:val="24"/>
          <w:lang w:val="en-US" w:eastAsia="en-US" w:bidi="en-US"/>
        </w:rPr>
        <w:t>N</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color w:val="000000"/>
          <w:spacing w:val="0"/>
          <w:w w:val="100"/>
          <w:position w:val="0"/>
          <w:sz w:val="24"/>
          <w:szCs w:val="24"/>
          <w:lang w:val="en-US" w:eastAsia="en-US" w:bidi="en-US"/>
        </w:rPr>
        <w:t>/a,</w:t>
      </w:r>
      <w:r>
        <w:rPr>
          <w:rFonts w:hint="eastAsia" w:ascii="宋体" w:hAnsi="宋体" w:eastAsia="宋体" w:cs="宋体"/>
          <w:color w:val="000000"/>
          <w:spacing w:val="0"/>
          <w:w w:val="100"/>
          <w:position w:val="0"/>
          <w:sz w:val="24"/>
          <w:szCs w:val="24"/>
        </w:rPr>
        <w:t>公建用气量</w:t>
      </w:r>
      <w:r>
        <w:rPr>
          <w:rFonts w:hint="eastAsia" w:ascii="宋体" w:hAnsi="宋体" w:eastAsia="宋体" w:cs="宋体"/>
          <w:color w:val="000000"/>
          <w:spacing w:val="0"/>
          <w:w w:val="100"/>
          <w:position w:val="0"/>
          <w:sz w:val="24"/>
          <w:szCs w:val="24"/>
          <w:lang w:val="en-US" w:eastAsia="en-US" w:bidi="en-US"/>
        </w:rPr>
        <w:t>233.53</w:t>
      </w:r>
      <w:r>
        <w:rPr>
          <w:rFonts w:hint="eastAsia" w:ascii="宋体" w:hAnsi="宋体" w:eastAsia="宋体" w:cs="宋体"/>
          <w:color w:val="000000"/>
          <w:spacing w:val="0"/>
          <w:w w:val="100"/>
          <w:position w:val="0"/>
          <w:sz w:val="24"/>
          <w:szCs w:val="24"/>
        </w:rPr>
        <w:t>万</w:t>
      </w:r>
      <w:r>
        <w:rPr>
          <w:rFonts w:hint="eastAsia" w:ascii="宋体" w:hAnsi="宋体" w:eastAsia="宋体" w:cs="宋体"/>
          <w:color w:val="000000"/>
          <w:spacing w:val="0"/>
          <w:w w:val="100"/>
          <w:position w:val="0"/>
          <w:sz w:val="24"/>
          <w:szCs w:val="24"/>
          <w:lang w:val="en-US" w:eastAsia="en-US" w:bidi="en-US"/>
        </w:rPr>
        <w:t>N</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color w:val="000000"/>
          <w:spacing w:val="0"/>
          <w:w w:val="100"/>
          <w:position w:val="0"/>
          <w:sz w:val="24"/>
          <w:szCs w:val="24"/>
          <w:lang w:val="en-US" w:eastAsia="en-US" w:bidi="en-US"/>
        </w:rPr>
        <w:t>/a,</w:t>
      </w:r>
      <w:r>
        <w:rPr>
          <w:rFonts w:hint="eastAsia" w:ascii="宋体" w:hAnsi="宋体" w:eastAsia="宋体" w:cs="宋体"/>
          <w:color w:val="000000"/>
          <w:spacing w:val="0"/>
          <w:w w:val="100"/>
          <w:position w:val="0"/>
          <w:sz w:val="24"/>
          <w:szCs w:val="24"/>
        </w:rPr>
        <w:t>工业用气量</w:t>
      </w:r>
      <w:r>
        <w:rPr>
          <w:rFonts w:hint="eastAsia" w:ascii="宋体" w:hAnsi="宋体" w:eastAsia="宋体" w:cs="宋体"/>
          <w:color w:val="000000"/>
          <w:spacing w:val="0"/>
          <w:w w:val="100"/>
          <w:position w:val="0"/>
          <w:sz w:val="24"/>
          <w:szCs w:val="24"/>
          <w:lang w:val="en-US" w:eastAsia="en-US" w:bidi="en-US"/>
        </w:rPr>
        <w:t>140.0</w:t>
      </w:r>
      <w:r>
        <w:rPr>
          <w:rFonts w:hint="eastAsia" w:ascii="宋体" w:hAnsi="宋体" w:eastAsia="宋体" w:cs="宋体"/>
          <w:color w:val="000000"/>
          <w:spacing w:val="0"/>
          <w:w w:val="100"/>
          <w:position w:val="0"/>
          <w:sz w:val="24"/>
          <w:szCs w:val="24"/>
        </w:rPr>
        <w:t>万</w:t>
      </w:r>
      <w:r>
        <w:rPr>
          <w:rFonts w:hint="eastAsia" w:ascii="宋体" w:hAnsi="宋体" w:eastAsia="宋体" w:cs="宋体"/>
          <w:color w:val="000000"/>
          <w:spacing w:val="0"/>
          <w:w w:val="100"/>
          <w:position w:val="0"/>
          <w:sz w:val="24"/>
          <w:szCs w:val="24"/>
          <w:lang w:val="en-US" w:eastAsia="en-US" w:bidi="en-US"/>
        </w:rPr>
        <w:t>N</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color w:val="000000"/>
          <w:spacing w:val="0"/>
          <w:w w:val="100"/>
          <w:position w:val="0"/>
          <w:sz w:val="24"/>
          <w:szCs w:val="24"/>
          <w:lang w:val="en-US" w:eastAsia="en-US" w:bidi="en-US"/>
        </w:rPr>
        <w:t>/a,</w:t>
      </w:r>
      <w:r>
        <w:rPr>
          <w:rFonts w:hint="eastAsia" w:ascii="宋体" w:hAnsi="宋体" w:eastAsia="宋体" w:cs="宋体"/>
          <w:color w:val="000000"/>
          <w:spacing w:val="0"/>
          <w:w w:val="100"/>
          <w:position w:val="0"/>
          <w:sz w:val="24"/>
          <w:szCs w:val="24"/>
        </w:rPr>
        <w:t>釆暖用气量</w:t>
      </w:r>
      <w:r>
        <w:rPr>
          <w:rFonts w:hint="eastAsia" w:ascii="宋体" w:hAnsi="宋体" w:eastAsia="宋体" w:cs="宋体"/>
          <w:color w:val="000000"/>
          <w:spacing w:val="0"/>
          <w:w w:val="100"/>
          <w:position w:val="0"/>
          <w:sz w:val="24"/>
          <w:szCs w:val="24"/>
          <w:lang w:val="en-US" w:eastAsia="en-US" w:bidi="en-US"/>
        </w:rPr>
        <w:t>23.36</w:t>
      </w:r>
      <w:r>
        <w:rPr>
          <w:rFonts w:hint="eastAsia" w:ascii="宋体" w:hAnsi="宋体" w:eastAsia="宋体" w:cs="宋体"/>
          <w:color w:val="000000"/>
          <w:spacing w:val="0"/>
          <w:w w:val="100"/>
          <w:position w:val="0"/>
          <w:sz w:val="24"/>
          <w:szCs w:val="24"/>
        </w:rPr>
        <w:t>万</w:t>
      </w:r>
      <w:r>
        <w:rPr>
          <w:rFonts w:hint="eastAsia" w:ascii="宋体" w:hAnsi="宋体" w:eastAsia="宋体" w:cs="宋体"/>
          <w:color w:val="000000"/>
          <w:spacing w:val="0"/>
          <w:w w:val="100"/>
          <w:position w:val="0"/>
          <w:sz w:val="24"/>
          <w:szCs w:val="24"/>
          <w:lang w:val="en-US" w:eastAsia="en-US" w:bidi="en-US"/>
        </w:rPr>
        <w:t>N</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color w:val="000000"/>
          <w:spacing w:val="0"/>
          <w:w w:val="100"/>
          <w:position w:val="0"/>
          <w:sz w:val="24"/>
          <w:szCs w:val="24"/>
          <w:lang w:val="en-US" w:eastAsia="en-US" w:bidi="en-US"/>
        </w:rPr>
        <w:t>/a,</w:t>
      </w:r>
      <w:r>
        <w:rPr>
          <w:rFonts w:hint="eastAsia" w:ascii="宋体" w:hAnsi="宋体" w:eastAsia="宋体" w:cs="宋体"/>
          <w:color w:val="000000"/>
          <w:spacing w:val="0"/>
          <w:w w:val="100"/>
          <w:position w:val="0"/>
          <w:sz w:val="24"/>
          <w:szCs w:val="24"/>
        </w:rPr>
        <w:t>不可预见量</w:t>
      </w:r>
      <w:r>
        <w:rPr>
          <w:rFonts w:hint="eastAsia" w:ascii="宋体" w:hAnsi="宋体" w:eastAsia="宋体" w:cs="宋体"/>
          <w:color w:val="000000"/>
          <w:spacing w:val="0"/>
          <w:w w:val="100"/>
          <w:position w:val="0"/>
          <w:sz w:val="24"/>
          <w:szCs w:val="24"/>
          <w:lang w:val="en-US" w:eastAsia="en-US" w:bidi="en-US"/>
        </w:rPr>
        <w:t>68.99</w:t>
      </w:r>
      <w:r>
        <w:rPr>
          <w:rFonts w:hint="eastAsia" w:ascii="宋体" w:hAnsi="宋体" w:eastAsia="宋体" w:cs="宋体"/>
          <w:color w:val="000000"/>
          <w:spacing w:val="0"/>
          <w:w w:val="100"/>
          <w:position w:val="0"/>
          <w:sz w:val="24"/>
          <w:szCs w:val="24"/>
        </w:rPr>
        <w:t>万</w:t>
      </w:r>
      <w:r>
        <w:rPr>
          <w:rFonts w:hint="eastAsia" w:ascii="宋体" w:hAnsi="宋体" w:eastAsia="宋体" w:cs="宋体"/>
          <w:color w:val="000000"/>
          <w:spacing w:val="0"/>
          <w:w w:val="100"/>
          <w:position w:val="0"/>
          <w:sz w:val="24"/>
          <w:szCs w:val="24"/>
          <w:lang w:val="en-US" w:eastAsia="en-US" w:bidi="en-US"/>
        </w:rPr>
        <w:t>N</w:t>
      </w:r>
      <w:r>
        <w:rPr>
          <w:rFonts w:hint="eastAsia" w:ascii="宋体" w:hAnsi="宋体" w:eastAsia="宋体" w:cs="宋体"/>
          <w:sz w:val="24"/>
          <w:szCs w:val="24"/>
        </w:rPr>
        <w:t>m</w:t>
      </w:r>
      <w:r>
        <w:rPr>
          <w:rFonts w:hint="eastAsia" w:ascii="宋体" w:hAnsi="宋体" w:eastAsia="宋体" w:cs="宋体"/>
          <w:sz w:val="24"/>
          <w:szCs w:val="24"/>
          <w:vertAlign w:val="superscript"/>
        </w:rPr>
        <w:t>3</w:t>
      </w:r>
      <w:r>
        <w:rPr>
          <w:rFonts w:hint="eastAsia" w:ascii="宋体" w:hAnsi="宋体" w:eastAsia="宋体" w:cs="宋体"/>
          <w:color w:val="000000"/>
          <w:spacing w:val="0"/>
          <w:w w:val="100"/>
          <w:position w:val="0"/>
          <w:sz w:val="24"/>
          <w:szCs w:val="24"/>
          <w:lang w:val="en-US" w:eastAsia="en-US" w:bidi="en-US"/>
        </w:rPr>
        <w:t>/a；</w:t>
      </w:r>
      <w:r>
        <w:rPr>
          <w:rFonts w:hint="eastAsia" w:ascii="宋体" w:hAnsi="宋体" w:eastAsia="宋体" w:cs="宋体"/>
          <w:color w:val="000000"/>
          <w:spacing w:val="0"/>
          <w:w w:val="100"/>
          <w:position w:val="0"/>
          <w:sz w:val="24"/>
          <w:szCs w:val="24"/>
        </w:rPr>
        <w:t>居民天然气气化率吉州区40%,青原区45%,高新区及敦厚镇5%,发展居民天然气用户</w:t>
      </w:r>
      <w:r>
        <w:rPr>
          <w:rFonts w:hint="eastAsia" w:ascii="宋体" w:hAnsi="宋体" w:eastAsia="宋体" w:cs="宋体"/>
          <w:color w:val="000000"/>
          <w:spacing w:val="0"/>
          <w:w w:val="100"/>
          <w:position w:val="0"/>
          <w:sz w:val="24"/>
          <w:szCs w:val="24"/>
          <w:lang w:val="en-US" w:eastAsia="en-US" w:bidi="en-US"/>
        </w:rPr>
        <w:t>3.52</w:t>
      </w:r>
      <w:r>
        <w:rPr>
          <w:rFonts w:hint="eastAsia" w:ascii="宋体" w:hAnsi="宋体" w:eastAsia="宋体" w:cs="宋体"/>
          <w:color w:val="000000"/>
          <w:spacing w:val="0"/>
          <w:w w:val="100"/>
          <w:position w:val="0"/>
          <w:sz w:val="24"/>
          <w:szCs w:val="24"/>
        </w:rPr>
        <w:t>万户</w:t>
      </w:r>
      <w:r>
        <w:rPr>
          <w:rFonts w:hint="eastAsia" w:ascii="宋体" w:hAnsi="宋体" w:eastAsia="宋体" w:cs="宋体"/>
          <w:sz w:val="24"/>
          <w:szCs w:val="24"/>
        </w:rPr>
        <w:t>。</w:t>
      </w:r>
    </w:p>
    <w:p>
      <w:pPr>
        <w:keepNext w:val="0"/>
        <w:keepLines w:val="0"/>
        <w:pageBreakBefore w:val="0"/>
        <w:widowControl/>
        <w:shd w:val="clear" w:color="auto" w:fill="FFFFFF"/>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（二）建设过程及环保审批情况</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s="宋体"/>
          <w:b w:val="0"/>
          <w:bCs/>
          <w:sz w:val="24"/>
          <w:szCs w:val="24"/>
        </w:rPr>
        <w:t>吉安市天然气有限公司</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cstheme="minorEastAsia"/>
          <w:color w:val="000000" w:themeColor="text1"/>
          <w:sz w:val="24"/>
          <w:szCs w:val="24"/>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月委托</w:t>
      </w:r>
      <w:r>
        <w:rPr>
          <w:rFonts w:hint="eastAsia" w:asciiTheme="minorEastAsia" w:hAnsiTheme="minorEastAsia" w:cstheme="minorEastAsia"/>
          <w:color w:val="000000" w:themeColor="text1"/>
          <w:sz w:val="24"/>
          <w:szCs w:val="24"/>
          <w:lang w:val="en-US" w:eastAsia="zh-CN"/>
          <w14:textFill>
            <w14:solidFill>
              <w14:schemeClr w14:val="tx1"/>
            </w14:solidFill>
          </w14:textFill>
        </w:rPr>
        <w:t>环评单位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编制了</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宋体" w:hAnsi="宋体" w:eastAsia="宋体" w:cs="宋体"/>
          <w:b w:val="0"/>
          <w:bCs/>
          <w:sz w:val="24"/>
          <w:szCs w:val="24"/>
        </w:rPr>
        <w:t>吉安市天然气有限公司吉安市中心城区天然气利用项目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环境影响报告表</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lang w:eastAsia="zh-CN"/>
          <w14:textFill>
            <w14:solidFill>
              <w14:schemeClr w14:val="tx1"/>
            </w14:solidFill>
          </w14:textFill>
        </w:rPr>
        <w:t>吉安市生态环境</w:t>
      </w:r>
      <w:r>
        <w:rPr>
          <w:rFonts w:hint="eastAsia" w:ascii="宋体" w:hAnsi="宋体"/>
          <w:color w:val="000000" w:themeColor="text1"/>
          <w:sz w:val="24"/>
          <w:szCs w:val="24"/>
          <w14:textFill>
            <w14:solidFill>
              <w14:schemeClr w14:val="tx1"/>
            </w14:solidFill>
          </w14:textFill>
        </w:rPr>
        <w:t>局</w:t>
      </w:r>
      <w:r>
        <w:rPr>
          <w:rFonts w:hint="eastAsia" w:ascii="宋体" w:hAnsi="宋体"/>
          <w:color w:val="000000" w:themeColor="text1"/>
          <w:sz w:val="24"/>
          <w:szCs w:val="24"/>
          <w:lang w:eastAsia="zh-CN"/>
          <w14:textFill>
            <w14:solidFill>
              <w14:schemeClr w14:val="tx1"/>
            </w14:solidFill>
          </w14:textFill>
        </w:rPr>
        <w:t>（原吉安市环境保护局）</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20</w:t>
      </w:r>
      <w:r>
        <w:rPr>
          <w:rFonts w:hint="eastAsia" w:asciiTheme="minorEastAsia" w:hAnsiTheme="minorEastAsia" w:cstheme="minorEastAsia"/>
          <w:color w:val="000000" w:themeColor="text1"/>
          <w:sz w:val="24"/>
          <w:szCs w:val="24"/>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号对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宋体" w:hAnsi="宋体" w:eastAsia="宋体" w:cs="宋体"/>
          <w:b w:val="0"/>
          <w:bCs/>
          <w:sz w:val="24"/>
          <w:szCs w:val="24"/>
        </w:rPr>
        <w:t>安市天然气有限公司吉安市中心城区天然气利用项目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环境影响报告表</w:t>
      </w:r>
      <w:r>
        <w:rPr>
          <w:rFonts w:hint="eastAsia" w:asciiTheme="minorEastAsia" w:hAnsiTheme="minorEastAsia" w:eastAsiaTheme="minorEastAsia" w:cstheme="minorEastAsia"/>
          <w:color w:val="000000" w:themeColor="text1"/>
          <w:sz w:val="24"/>
          <w:szCs w:val="24"/>
          <w14:textFill>
            <w14:solidFill>
              <w14:schemeClr w14:val="tx1"/>
            </w14:solidFill>
          </w14:textFill>
        </w:rPr>
        <w:t>的批复》</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项目从立项至调试过程中有无环境投诉、违法或处罚记录等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keepNext w:val="0"/>
        <w:keepLines w:val="0"/>
        <w:pageBreakBefore w:val="0"/>
        <w:widowControl/>
        <w:tabs>
          <w:tab w:val="left" w:pos="4305"/>
        </w:tabs>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（三）投资情况</w:t>
      </w:r>
    </w:p>
    <w:p>
      <w:pPr>
        <w:keepNext w:val="0"/>
        <w:keepLines w:val="0"/>
        <w:pageBreakBefore w:val="0"/>
        <w:widowControl/>
        <w:tabs>
          <w:tab w:val="left" w:pos="4305"/>
        </w:tabs>
        <w:kinsoku/>
        <w:wordWrap/>
        <w:overflowPunct/>
        <w:topLinePunct w:val="0"/>
        <w:bidi w:val="0"/>
        <w:spacing w:after="0" w:line="360" w:lineRule="auto"/>
        <w:ind w:firstLine="597" w:firstLineChars="249"/>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实际</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总投资</w:t>
      </w:r>
      <w:r>
        <w:rPr>
          <w:rFonts w:hint="eastAsia" w:ascii="宋体" w:hAnsi="宋体" w:eastAsia="宋体" w:cs="宋体"/>
          <w:color w:val="000000" w:themeColor="text1"/>
          <w:sz w:val="24"/>
          <w:szCs w:val="24"/>
          <w14:textFill>
            <w14:solidFill>
              <w14:schemeClr w14:val="tx1"/>
            </w14:solidFill>
          </w14:textFill>
        </w:rPr>
        <w:t>总投资</w:t>
      </w:r>
      <w:r>
        <w:rPr>
          <w:rFonts w:hint="eastAsia" w:ascii="宋体" w:hAnsi="宋体" w:eastAsia="宋体" w:cs="宋体"/>
          <w:color w:val="000000" w:themeColor="text1"/>
          <w:sz w:val="24"/>
          <w:szCs w:val="24"/>
          <w:lang w:val="en-US" w:eastAsia="zh-CN"/>
          <w14:textFill>
            <w14:solidFill>
              <w14:schemeClr w14:val="tx1"/>
            </w14:solidFill>
          </w14:textFill>
        </w:rPr>
        <w:t>5200</w:t>
      </w:r>
      <w:r>
        <w:rPr>
          <w:rFonts w:hint="eastAsia" w:ascii="宋体" w:hAnsi="宋体" w:eastAsia="宋体" w:cs="宋体"/>
          <w:color w:val="000000" w:themeColor="text1"/>
          <w:sz w:val="24"/>
          <w:szCs w:val="24"/>
          <w14:textFill>
            <w14:solidFill>
              <w14:schemeClr w14:val="tx1"/>
            </w14:solidFill>
          </w14:textFill>
        </w:rPr>
        <w:t>万元，</w:t>
      </w:r>
      <w:r>
        <w:rPr>
          <w:rFonts w:hint="eastAsia" w:ascii="宋体" w:hAnsi="宋体" w:eastAsia="宋体" w:cs="宋体"/>
          <w:color w:val="000000" w:themeColor="text1"/>
          <w:sz w:val="24"/>
          <w:szCs w:val="24"/>
          <w:lang w:eastAsia="zh-CN"/>
          <w14:textFill>
            <w14:solidFill>
              <w14:schemeClr w14:val="tx1"/>
            </w14:solidFill>
          </w14:textFill>
        </w:rPr>
        <w:t>环保投资为</w:t>
      </w:r>
      <w:r>
        <w:rPr>
          <w:rFonts w:hint="eastAsia" w:ascii="宋体" w:hAnsi="宋体" w:eastAsia="宋体" w:cs="宋体"/>
          <w:color w:val="000000" w:themeColor="text1"/>
          <w:sz w:val="24"/>
          <w:szCs w:val="24"/>
          <w:lang w:val="en-US" w:eastAsia="zh-CN"/>
          <w14:textFill>
            <w14:solidFill>
              <w14:schemeClr w14:val="tx1"/>
            </w14:solidFill>
          </w14:textFill>
        </w:rPr>
        <w:t>60万元，环保投资占总投资比例为1.1%</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（四）验收范围</w:t>
      </w:r>
    </w:p>
    <w:p>
      <w:pPr>
        <w:keepNext w:val="0"/>
        <w:keepLines w:val="0"/>
        <w:pageBreakBefore w:val="0"/>
        <w:widowControl/>
        <w:shd w:val="clear" w:color="auto" w:fill="FFFFFF"/>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本次验收只针对</w:t>
      </w:r>
      <w:r>
        <w:rPr>
          <w:rFonts w:hint="eastAsia" w:ascii="宋体" w:hAnsi="宋体" w:eastAsia="宋体" w:cs="宋体"/>
          <w:b w:val="0"/>
          <w:bCs/>
          <w:sz w:val="24"/>
          <w:szCs w:val="24"/>
        </w:rPr>
        <w:t>安市天然气有限公司吉安市中心城区天然气利用项目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环境影响报告表</w:t>
      </w: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的竣工环境保护验收范围。</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二、工程变动情况</w:t>
      </w:r>
    </w:p>
    <w:p>
      <w:pPr>
        <w:keepNext w:val="0"/>
        <w:keepLines w:val="0"/>
        <w:pageBreakBefore w:val="0"/>
        <w:widowControl/>
        <w:kinsoku/>
        <w:wordWrap/>
        <w:overflowPunct/>
        <w:topLinePunct w:val="0"/>
        <w:bidi w:val="0"/>
        <w:spacing w:line="360" w:lineRule="auto"/>
        <w:ind w:firstLine="360" w:firstLine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生活污水</w:t>
      </w:r>
      <w:r>
        <w:rPr>
          <w:rFonts w:hint="eastAsia" w:ascii="宋体" w:hAnsi="宋体" w:eastAsia="宋体" w:cs="宋体"/>
          <w:color w:val="000000" w:themeColor="text1"/>
          <w:sz w:val="24"/>
          <w:szCs w:val="24"/>
          <w14:textFill>
            <w14:solidFill>
              <w14:schemeClr w14:val="tx1"/>
            </w14:solidFill>
          </w14:textFill>
        </w:rPr>
        <w:t>未采取环评和批复上“隔油池+化粪池+地埋式一体化处理设施”的措施，实际运用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化粪池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，其他的实际建设内容基本与环评及批复一致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不属于重大变动</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2" w:firstLineChars="200"/>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三、环境保护设施建设情况</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（一）废水</w:t>
      </w:r>
    </w:p>
    <w:p>
      <w:pPr>
        <w:keepNext w:val="0"/>
        <w:keepLines w:val="0"/>
        <w:pageBreakBefore w:val="0"/>
        <w:widowControl/>
        <w:tabs>
          <w:tab w:val="center" w:pos="4592"/>
        </w:tabs>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795456" behindDoc="0" locked="0" layoutInCell="1" allowOverlap="1">
                <wp:simplePos x="0" y="0"/>
                <wp:positionH relativeFrom="column">
                  <wp:posOffset>3046095</wp:posOffset>
                </wp:positionH>
                <wp:positionV relativeFrom="paragraph">
                  <wp:posOffset>534670</wp:posOffset>
                </wp:positionV>
                <wp:extent cx="441960" cy="250825"/>
                <wp:effectExtent l="0" t="0" r="0" b="0"/>
                <wp:wrapNone/>
                <wp:docPr id="1" name="矩形 1"/>
                <wp:cNvGraphicFramePr/>
                <a:graphic xmlns:a="http://schemas.openxmlformats.org/drawingml/2006/main">
                  <a:graphicData uri="http://schemas.microsoft.com/office/word/2010/wordprocessingShape">
                    <wps:wsp>
                      <wps:cNvSpPr/>
                      <wps:spPr>
                        <a:xfrm>
                          <a:off x="0" y="0"/>
                          <a:ext cx="441960" cy="250825"/>
                        </a:xfrm>
                        <a:prstGeom prst="rect">
                          <a:avLst/>
                        </a:prstGeom>
                        <a:noFill/>
                        <a:ln w="6350">
                          <a:noFill/>
                        </a:ln>
                      </wps:spPr>
                      <wps:txbx>
                        <w:txbxContent>
                          <w:p/>
                        </w:txbxContent>
                      </wps:txbx>
                      <wps:bodyPr upright="1"/>
                    </wps:wsp>
                  </a:graphicData>
                </a:graphic>
              </wp:anchor>
            </w:drawing>
          </mc:Choice>
          <mc:Fallback>
            <w:pict>
              <v:rect id="_x0000_s1026" o:spid="_x0000_s1026" o:spt="1" style="position:absolute;left:0pt;margin-left:239.85pt;margin-top:42.1pt;height:19.75pt;width:34.8pt;z-index:251795456;mso-width-relative:page;mso-height-relative:page;" filled="f" stroked="f" coordsize="21600,21600" o:gfxdata="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b5PU9wAAAAKAQAADwAAAAAAAAABACAAAAAiAAAAZHJzL2Rv&#10;d25yZXYueG1sUEsBAhQAFAAAAAgAh07iQE4izPSLAQAA+wIAAA4AAAAAAAAAAQAgAAAAKwEAAGRy&#10;cy9lMm9Eb2MueG1sUEsFBgAAAAAGAAYAWQEAACgFAAAAAA==&#10;">
                <v:fill on="f" focussize="0,0"/>
                <v:stroke on="f" weight="0.5pt"/>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（二）废气</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产生的无组织废气（颗粒物、非甲烷总烃</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通过厂区通风成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（三）噪声</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w:t>
      </w:r>
    </w:p>
    <w:p>
      <w:pPr>
        <w:keepNext w:val="0"/>
        <w:keepLines w:val="0"/>
        <w:pageBreakBefore w:val="0"/>
        <w:widowControl/>
        <w:kinsoku/>
        <w:wordWrap/>
        <w:overflowPunct/>
        <w:topLinePunct w:val="0"/>
        <w:bidi w:val="0"/>
        <w:spacing w:after="0" w:line="360" w:lineRule="auto"/>
        <w:ind w:firstLine="480" w:firstLineChars="200"/>
        <w:textAlignment w:val="auto"/>
        <w:outlineLvl w:val="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（四）固体废物</w:t>
      </w:r>
    </w:p>
    <w:p>
      <w:pPr>
        <w:keepNext w:val="0"/>
        <w:keepLines w:val="0"/>
        <w:pageBreakBefore w:val="0"/>
        <w:widowControl/>
        <w:kinsoku/>
        <w:wordWrap/>
        <w:overflowPunct/>
        <w:topLinePunct w:val="0"/>
        <w:bidi w:val="0"/>
        <w:spacing w:line="360" w:lineRule="auto"/>
        <w:ind w:firstLine="352" w:firstLineChars="147"/>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项目产生的固体废物主要为生活垃圾、</w:t>
      </w:r>
      <w:r>
        <w:rPr>
          <w:rFonts w:hint="eastAsia" w:asciiTheme="minorEastAsia" w:hAnsi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四、环境保护设施调试效果</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（一）环保设施处理效率</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1.废水治理设施</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w:t>
      </w:r>
      <w:r>
        <w:rPr>
          <w:rFonts w:hint="eastAsia" w:asciiTheme="minorEastAsia" w:hAnsiTheme="minorEastAsia" w:eastAsiaTheme="minorEastAsia" w:cstheme="minorEastAsia"/>
          <w:color w:val="000000" w:themeColor="text1"/>
          <w:sz w:val="24"/>
          <w:szCs w:val="24"/>
          <w14:textFill>
            <w14:solidFill>
              <w14:schemeClr w14:val="tx1"/>
            </w14:solidFill>
          </w14:textFill>
        </w:rPr>
        <mc:AlternateContent>
          <mc:Choice Requires="wps">
            <w:drawing>
              <wp:anchor distT="0" distB="0" distL="114300" distR="114300" simplePos="0" relativeHeight="251933696" behindDoc="0" locked="0" layoutInCell="1" allowOverlap="1">
                <wp:simplePos x="0" y="0"/>
                <wp:positionH relativeFrom="column">
                  <wp:posOffset>3046095</wp:posOffset>
                </wp:positionH>
                <wp:positionV relativeFrom="paragraph">
                  <wp:posOffset>534670</wp:posOffset>
                </wp:positionV>
                <wp:extent cx="441960" cy="250825"/>
                <wp:effectExtent l="0" t="0" r="0" b="0"/>
                <wp:wrapNone/>
                <wp:docPr id="3" name="矩形 3"/>
                <wp:cNvGraphicFramePr/>
                <a:graphic xmlns:a="http://schemas.openxmlformats.org/drawingml/2006/main">
                  <a:graphicData uri="http://schemas.microsoft.com/office/word/2010/wordprocessingShape">
                    <wps:wsp>
                      <wps:cNvSpPr/>
                      <wps:spPr>
                        <a:xfrm>
                          <a:off x="0" y="0"/>
                          <a:ext cx="441960" cy="250825"/>
                        </a:xfrm>
                        <a:prstGeom prst="rect">
                          <a:avLst/>
                        </a:prstGeom>
                        <a:noFill/>
                        <a:ln w="6350">
                          <a:noFill/>
                        </a:ln>
                      </wps:spPr>
                      <wps:txbx>
                        <w:txbxContent>
                          <w:p/>
                        </w:txbxContent>
                      </wps:txbx>
                      <wps:bodyPr upright="1"/>
                    </wps:wsp>
                  </a:graphicData>
                </a:graphic>
              </wp:anchor>
            </w:drawing>
          </mc:Choice>
          <mc:Fallback>
            <w:pict>
              <v:rect id="_x0000_s1026" o:spid="_x0000_s1026" o:spt="1" style="position:absolute;left:0pt;margin-left:239.85pt;margin-top:42.1pt;height:19.75pt;width:34.8pt;z-index:251933696;mso-width-relative:page;mso-height-relative:page;" filled="f" stroked="f" coordsize="21600,21600" o:gfxdata="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Jm+T1PcAAAACgEAAA8AAAAAAAAAAQAgAAAAIgAAAGRycy9k&#10;b3ducmV2LnhtbFBLAQIUABQAAAAIAIdO4kBEyAvJjAEAAPsCAAAOAAAAAAAAAAEAIAAAACsBAABk&#10;cnMvZTJvRG9jLnhtbFBLBQYAAAAABgAGAFkBAAApBQAAAAA=&#10;">
                <v:fill on="f" focussize="0,0"/>
                <v:stroke on="f" weight="0.5pt"/>
                <v:imagedata o:title=""/>
                <o:lock v:ext="edit" aspectratio="f"/>
                <v:textbox>
                  <w:txbxContent>
                    <w:p/>
                  </w:txbxContent>
                </v:textbox>
              </v:rect>
            </w:pict>
          </mc:Fallback>
        </mc:AlternateConten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2.废气治理设施</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产生的无组织废气（颗粒物、非甲烷总烃</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通过厂区通风成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3.厂界噪声治理设施</w:t>
      </w:r>
    </w:p>
    <w:p>
      <w:pPr>
        <w:pStyle w:val="6"/>
        <w:keepNext w:val="0"/>
        <w:keepLines w:val="0"/>
        <w:pageBreakBefore w:val="0"/>
        <w:widowControl/>
        <w:kinsoku/>
        <w:wordWrap/>
        <w:overflowPunct/>
        <w:topLinePunct w:val="0"/>
        <w:bidi w:val="0"/>
        <w:spacing w:before="0" w:beforeAutospacing="0" w:after="0" w:afterAutospacing="0" w:line="360" w:lineRule="auto"/>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14:textFill>
            <w14:solidFill>
              <w14:schemeClr w14:val="tx1"/>
            </w14:solidFill>
          </w14:textFill>
        </w:rPr>
        <w:t>满足环境影响报告表及其审批部门审批决定或设计指标。</w:t>
      </w:r>
    </w:p>
    <w:p>
      <w:pPr>
        <w:pStyle w:val="6"/>
        <w:keepNext w:val="0"/>
        <w:keepLines w:val="0"/>
        <w:pageBreakBefore w:val="0"/>
        <w:widowControl/>
        <w:kinsoku/>
        <w:wordWrap/>
        <w:overflowPunct/>
        <w:topLinePunct w:val="0"/>
        <w:bidi w:val="0"/>
        <w:spacing w:before="0" w:beforeAutospacing="0" w:after="0" w:afterAutospacing="0" w:line="360" w:lineRule="auto"/>
        <w:ind w:firstLine="42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4.固体废物治理设施</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目产生的固体废物主要为生活垃圾、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满足</w:t>
      </w:r>
      <w:r>
        <w:rPr>
          <w:rFonts w:hint="eastAsia" w:asciiTheme="minorEastAsia" w:hAnsiTheme="minorEastAsia" w:eastAsiaTheme="minorEastAsia" w:cstheme="minorEastAsia"/>
          <w:color w:val="000000" w:themeColor="text1"/>
          <w:sz w:val="24"/>
          <w:szCs w:val="24"/>
          <w14:textFill>
            <w14:solidFill>
              <w14:schemeClr w14:val="tx1"/>
            </w14:solidFill>
          </w14:textFill>
        </w:rPr>
        <w:t>固体废物治理设施的处理效果。</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（二）污染物排放情况</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1.废水</w:t>
      </w:r>
    </w:p>
    <w:p>
      <w:pPr>
        <w:keepNext w:val="0"/>
        <w:keepLines w:val="0"/>
        <w:pageBreakBefore w:val="0"/>
        <w:widowControl/>
        <w:kinsoku/>
        <w:wordWrap/>
        <w:overflowPunct/>
        <w:topLinePunct w:val="0"/>
        <w:bidi w:val="0"/>
        <w:spacing w:after="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该项目</w:t>
      </w:r>
      <w:r>
        <w:rPr>
          <w:rFonts w:hint="eastAsia" w:ascii="宋体" w:hAnsi="宋体" w:eastAsia="宋体" w:cs="Times New Roman"/>
          <w:color w:val="000000" w:themeColor="text1"/>
          <w:sz w:val="24"/>
          <w:szCs w:val="24"/>
          <w:lang w:eastAsia="zh-CN"/>
          <w14:textFill>
            <w14:solidFill>
              <w14:schemeClr w14:val="tx1"/>
            </w14:solidFill>
          </w14:textFill>
        </w:rPr>
        <w:t>废水各个监测因子符合</w:t>
      </w:r>
      <w:r>
        <w:rPr>
          <w:rFonts w:hint="eastAsia" w:ascii="宋体" w:hAnsi="宋体" w:eastAsia="宋体" w:cs="宋体"/>
          <w:color w:val="000000" w:themeColor="text1"/>
          <w:sz w:val="24"/>
          <w:szCs w:val="24"/>
          <w14:textFill>
            <w14:solidFill>
              <w14:schemeClr w14:val="tx1"/>
            </w14:solidFill>
          </w14:textFill>
        </w:rPr>
        <w:t>《污水排入城镇下水道水质标准》（GB/T31962-2015）</w:t>
      </w:r>
      <w:r>
        <w:rPr>
          <w:rFonts w:hint="eastAsia" w:ascii="Times New Roman" w:hAnsi="Times New Roman"/>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B等级标准</w:t>
      </w:r>
      <w:r>
        <w:rPr>
          <w:rFonts w:hint="eastAsia" w:ascii="Times New Roman" w:hAnsi="Times New Roman"/>
          <w:color w:val="000000" w:themeColor="text1"/>
          <w:sz w:val="24"/>
          <w:szCs w:val="24"/>
          <w:lang w:eastAsia="zh-CN"/>
          <w14:textFill>
            <w14:solidFill>
              <w14:schemeClr w14:val="tx1"/>
            </w14:solidFill>
          </w14:textFill>
        </w:rPr>
        <w:t>限</w:t>
      </w:r>
      <w:r>
        <w:rPr>
          <w:rFonts w:ascii="Times New Roman" w:hAnsi="Times New Roman"/>
          <w:color w:val="000000" w:themeColor="text1"/>
          <w:sz w:val="24"/>
          <w:szCs w:val="24"/>
          <w14:textFill>
            <w14:solidFill>
              <w14:schemeClr w14:val="tx1"/>
            </w14:solidFill>
          </w14:textFill>
        </w:rPr>
        <w:t>值</w:t>
      </w:r>
      <w:r>
        <w:rPr>
          <w:rFonts w:hint="eastAsia" w:ascii="宋体" w:hAnsi="宋体" w:eastAsia="宋体"/>
          <w:color w:val="000000" w:themeColor="text1"/>
          <w:sz w:val="24"/>
          <w:szCs w:val="24"/>
          <w14:textFill>
            <w14:solidFill>
              <w14:schemeClr w14:val="tx1"/>
            </w14:solidFill>
          </w14:textFill>
        </w:rPr>
        <w:t>排放浓度限值要求，</w:t>
      </w:r>
      <w:r>
        <w:rPr>
          <w:rFonts w:hint="eastAsia" w:ascii="宋体" w:hAnsi="宋体" w:eastAsia="宋体"/>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14:textFill>
            <w14:solidFill>
              <w14:schemeClr w14:val="tx1"/>
            </w14:solidFill>
          </w14:textFill>
        </w:rPr>
        <w:t>达标排放</w:t>
      </w:r>
      <w:r>
        <w:rPr>
          <w:rFonts w:hint="eastAsia" w:ascii="宋体" w:hAnsi="宋体" w:eastAsia="宋体" w:cs="宋体"/>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2.废气</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ascii="宋体" w:hAnsi="宋体" w:eastAsia="宋体" w:cs="Times New Roman"/>
          <w:color w:val="000000" w:themeColor="text1"/>
          <w:sz w:val="24"/>
          <w:szCs w:val="24"/>
          <w14:textFill>
            <w14:solidFill>
              <w14:schemeClr w14:val="tx1"/>
            </w14:solidFill>
          </w14:textFill>
        </w:rPr>
        <w:t>该项目</w:t>
      </w:r>
      <w:r>
        <w:rPr>
          <w:rFonts w:hint="eastAsia" w:ascii="宋体" w:hAnsi="宋体" w:eastAsia="宋体" w:cs="Times New Roman"/>
          <w:color w:val="000000" w:themeColor="text1"/>
          <w:sz w:val="24"/>
          <w:szCs w:val="24"/>
          <w14:textFill>
            <w14:solidFill>
              <w14:schemeClr w14:val="tx1"/>
            </w14:solidFill>
          </w14:textFill>
        </w:rPr>
        <w:t>无组织</w:t>
      </w:r>
      <w:r>
        <w:rPr>
          <w:rFonts w:ascii="宋体" w:hAnsi="宋体" w:eastAsia="宋体" w:cs="Times New Roman"/>
          <w:color w:val="000000" w:themeColor="text1"/>
          <w:sz w:val="24"/>
          <w:szCs w:val="24"/>
          <w14:textFill>
            <w14:solidFill>
              <w14:schemeClr w14:val="tx1"/>
            </w14:solidFill>
          </w14:textFill>
        </w:rPr>
        <w:t>废气</w:t>
      </w:r>
      <w:r>
        <w:rPr>
          <w:rFonts w:hint="eastAsia" w:ascii="宋体" w:hAnsi="宋体" w:eastAsia="宋体" w:cs="Times New Roman"/>
          <w:color w:val="000000" w:themeColor="text1"/>
          <w:sz w:val="24"/>
          <w:szCs w:val="24"/>
          <w:lang w:val="en-US" w:eastAsia="zh-CN"/>
          <w14:textFill>
            <w14:solidFill>
              <w14:schemeClr w14:val="tx1"/>
            </w14:solidFill>
          </w14:textFill>
        </w:rPr>
        <w:t>中</w:t>
      </w:r>
      <w:r>
        <w:rPr>
          <w:rFonts w:hint="eastAsia" w:ascii="宋体" w:hAnsi="宋体" w:eastAsia="宋体" w:cs="Times New Roman"/>
          <w:color w:val="000000" w:themeColor="text1"/>
          <w:sz w:val="24"/>
          <w:szCs w:val="24"/>
          <w:lang w:eastAsia="zh-CN"/>
          <w14:textFill>
            <w14:solidFill>
              <w14:schemeClr w14:val="tx1"/>
            </w14:solidFill>
          </w14:textFill>
        </w:rPr>
        <w:t>颗粒物、非甲烷总烃的厂</w:t>
      </w:r>
      <w:r>
        <w:rPr>
          <w:rFonts w:hint="eastAsia" w:ascii="宋体" w:hAnsi="宋体" w:eastAsia="宋体" w:cs="Times New Roman"/>
          <w:color w:val="000000" w:themeColor="text1"/>
          <w:sz w:val="24"/>
          <w:szCs w:val="24"/>
          <w14:textFill>
            <w14:solidFill>
              <w14:schemeClr w14:val="tx1"/>
            </w14:solidFill>
          </w14:textFill>
        </w:rPr>
        <w:t>界外最高浓度值</w:t>
      </w:r>
      <w:r>
        <w:rPr>
          <w:rFonts w:hint="eastAsia" w:ascii="宋体" w:hAnsi="宋体" w:eastAsia="宋体" w:cs="Times New Roman"/>
          <w:color w:val="000000" w:themeColor="text1"/>
          <w:sz w:val="24"/>
          <w:szCs w:val="24"/>
          <w:lang w:eastAsia="zh-CN"/>
          <w14:textFill>
            <w14:solidFill>
              <w14:schemeClr w14:val="tx1"/>
            </w14:solidFill>
          </w14:textFill>
        </w:rPr>
        <w:t>均</w:t>
      </w:r>
      <w:r>
        <w:rPr>
          <w:rFonts w:hint="eastAsia" w:ascii="宋体" w:hAnsi="宋体" w:eastAsia="宋体" w:cs="Times New Roman"/>
          <w:color w:val="000000" w:themeColor="text1"/>
          <w:sz w:val="24"/>
          <w:szCs w:val="24"/>
          <w14:textFill>
            <w14:solidFill>
              <w14:schemeClr w14:val="tx1"/>
            </w14:solidFill>
          </w14:textFill>
        </w:rPr>
        <w:t>符合</w:t>
      </w:r>
      <w:r>
        <w:rPr>
          <w:rFonts w:hint="eastAsia" w:ascii="宋体" w:hAnsi="宋体" w:eastAsia="宋体"/>
          <w:color w:val="000000" w:themeColor="text1"/>
          <w:sz w:val="24"/>
          <w:szCs w:val="24"/>
          <w14:textFill>
            <w14:solidFill>
              <w14:schemeClr w14:val="tx1"/>
            </w14:solidFill>
          </w14:textFill>
        </w:rPr>
        <w:t>《大气污染物综合排放标准》（</w:t>
      </w:r>
      <w:r>
        <w:rPr>
          <w:rFonts w:ascii="宋体" w:hAnsi="宋体" w:eastAsia="宋体" w:cs="Times New Roman"/>
          <w:color w:val="000000" w:themeColor="text1"/>
          <w:sz w:val="24"/>
          <w:szCs w:val="24"/>
          <w14:textFill>
            <w14:solidFill>
              <w14:schemeClr w14:val="tx1"/>
            </w14:solidFill>
          </w14:textFill>
        </w:rPr>
        <w:t>GB16297-1996</w:t>
      </w:r>
      <w:r>
        <w:rPr>
          <w:rFonts w:hint="eastAsia" w:ascii="宋体" w:hAnsi="宋体" w:eastAsia="宋体"/>
          <w:color w:val="000000" w:themeColor="text1"/>
          <w:sz w:val="24"/>
          <w:szCs w:val="24"/>
          <w14:textFill>
            <w14:solidFill>
              <w14:schemeClr w14:val="tx1"/>
            </w14:solidFill>
          </w14:textFill>
        </w:rPr>
        <w:t>）表</w:t>
      </w: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olor w:val="000000" w:themeColor="text1"/>
          <w:sz w:val="24"/>
          <w:szCs w:val="24"/>
          <w14:textFill>
            <w14:solidFill>
              <w14:schemeClr w14:val="tx1"/>
            </w14:solidFill>
          </w14:textFill>
        </w:rPr>
        <w:t>中无组织排放浓度限值要求，</w:t>
      </w:r>
      <w:r>
        <w:rPr>
          <w:rFonts w:hint="eastAsia" w:ascii="宋体" w:hAnsi="宋体" w:eastAsia="宋体"/>
          <w:color w:val="000000" w:themeColor="text1"/>
          <w:sz w:val="24"/>
          <w:szCs w:val="24"/>
          <w:lang w:eastAsia="zh-CN"/>
          <w14:textFill>
            <w14:solidFill>
              <w14:schemeClr w14:val="tx1"/>
            </w14:solidFill>
          </w14:textFill>
        </w:rPr>
        <w:t>为</w:t>
      </w:r>
      <w:r>
        <w:rPr>
          <w:rFonts w:hint="eastAsia" w:ascii="宋体" w:hAnsi="宋体" w:eastAsia="宋体" w:cs="Times New Roman"/>
          <w:color w:val="000000" w:themeColor="text1"/>
          <w:sz w:val="24"/>
          <w:szCs w:val="24"/>
          <w14:textFill>
            <w14:solidFill>
              <w14:schemeClr w14:val="tx1"/>
            </w14:solidFill>
          </w14:textFill>
        </w:rPr>
        <w:t>达标排放</w:t>
      </w:r>
      <w:r>
        <w:rPr>
          <w:rFonts w:ascii="Times New Roman" w:hAnsi="Times New Roman"/>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3.厂界噪声</w:t>
      </w:r>
    </w:p>
    <w:p>
      <w:pPr>
        <w:keepNext w:val="0"/>
        <w:keepLines w:val="0"/>
        <w:pageBreakBefore w:val="0"/>
        <w:widowControl/>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监测结果表明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ascii="宋体" w:hAnsi="宋体" w:cs="Times New Roman"/>
          <w:color w:val="000000" w:themeColor="text1"/>
          <w:sz w:val="24"/>
          <w:szCs w:val="24"/>
          <w14:textFill>
            <w14:solidFill>
              <w14:schemeClr w14:val="tx1"/>
            </w14:solidFill>
          </w14:textFill>
        </w:rPr>
        <w:t>该项目厂界昼间噪声</w:t>
      </w:r>
      <w:r>
        <w:rPr>
          <w:rFonts w:hint="eastAsia" w:ascii="宋体" w:hAnsi="宋体" w:cs="Times New Roman"/>
          <w:color w:val="000000" w:themeColor="text1"/>
          <w:sz w:val="24"/>
          <w:szCs w:val="24"/>
          <w14:textFill>
            <w14:solidFill>
              <w14:schemeClr w14:val="tx1"/>
            </w14:solidFill>
          </w14:textFill>
        </w:rPr>
        <w:t>、</w:t>
      </w:r>
      <w:r>
        <w:rPr>
          <w:rFonts w:ascii="宋体" w:hAnsi="宋体" w:cs="Times New Roman"/>
          <w:color w:val="000000" w:themeColor="text1"/>
          <w:sz w:val="24"/>
          <w:szCs w:val="24"/>
          <w14:textFill>
            <w14:solidFill>
              <w14:schemeClr w14:val="tx1"/>
            </w14:solidFill>
          </w14:textFill>
        </w:rPr>
        <w:t>厂界</w:t>
      </w:r>
      <w:r>
        <w:rPr>
          <w:rFonts w:hint="eastAsia" w:ascii="宋体" w:hAnsi="宋体" w:cs="Times New Roman"/>
          <w:color w:val="000000" w:themeColor="text1"/>
          <w:sz w:val="24"/>
          <w:szCs w:val="24"/>
          <w14:textFill>
            <w14:solidFill>
              <w14:schemeClr w14:val="tx1"/>
            </w14:solidFill>
          </w14:textFill>
        </w:rPr>
        <w:t>夜</w:t>
      </w:r>
      <w:r>
        <w:rPr>
          <w:rFonts w:ascii="宋体" w:hAnsi="宋体" w:cs="Times New Roman"/>
          <w:color w:val="000000" w:themeColor="text1"/>
          <w:sz w:val="24"/>
          <w:szCs w:val="24"/>
          <w14:textFill>
            <w14:solidFill>
              <w14:schemeClr w14:val="tx1"/>
            </w14:solidFill>
          </w14:textFill>
        </w:rPr>
        <w:t>间噪声</w:t>
      </w:r>
      <w:r>
        <w:rPr>
          <w:rFonts w:hint="eastAsia" w:ascii="宋体" w:hAnsi="宋体" w:cs="Times New Roman"/>
          <w:bCs/>
          <w:color w:val="000000" w:themeColor="text1"/>
          <w:sz w:val="24"/>
          <w:szCs w:val="24"/>
          <w14:textFill>
            <w14:solidFill>
              <w14:schemeClr w14:val="tx1"/>
            </w14:solidFill>
          </w14:textFill>
        </w:rPr>
        <w:t>满足</w:t>
      </w:r>
      <w:r>
        <w:rPr>
          <w:rFonts w:hint="eastAsia" w:ascii="宋体" w:hAnsi="宋体"/>
          <w:color w:val="000000" w:themeColor="text1"/>
          <w:sz w:val="24"/>
          <w:szCs w:val="24"/>
          <w14:textFill>
            <w14:solidFill>
              <w14:schemeClr w14:val="tx1"/>
            </w14:solidFill>
          </w14:textFill>
        </w:rPr>
        <w:t>业企业厂界环境噪声排放噪声标准</w:t>
      </w:r>
      <w:r>
        <w:rPr>
          <w:rFonts w:ascii="宋体" w:hAnsi="宋体" w:cs="Times New Roman"/>
          <w:color w:val="000000" w:themeColor="text1"/>
          <w:sz w:val="24"/>
          <w:szCs w:val="24"/>
          <w14:textFill>
            <w14:solidFill>
              <w14:schemeClr w14:val="tx1"/>
            </w14:solidFill>
          </w14:textFill>
        </w:rPr>
        <w:t>》（GB12348-</w:t>
      </w:r>
      <w:r>
        <w:rPr>
          <w:rFonts w:hint="eastAsia" w:ascii="宋体" w:hAnsi="宋体" w:cs="Times New Roman"/>
          <w:color w:val="000000" w:themeColor="text1"/>
          <w:sz w:val="24"/>
          <w:szCs w:val="24"/>
          <w14:textFill>
            <w14:solidFill>
              <w14:schemeClr w14:val="tx1"/>
            </w14:solidFill>
          </w14:textFill>
        </w:rPr>
        <w:t>2008</w:t>
      </w:r>
      <w:r>
        <w:rPr>
          <w:rFonts w:ascii="宋体" w:hAnsi="宋体" w:cs="Times New Roman"/>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ascii="宋体" w:hAnsi="宋体" w:cs="Times New Roman"/>
          <w:color w:val="000000" w:themeColor="text1"/>
          <w:sz w:val="24"/>
          <w:szCs w:val="24"/>
          <w14:textFill>
            <w14:solidFill>
              <w14:schemeClr w14:val="tx1"/>
            </w14:solidFill>
          </w14:textFill>
        </w:rPr>
        <w:t>类标准限值</w:t>
      </w:r>
      <w:r>
        <w:rPr>
          <w:rFonts w:hint="eastAsia" w:ascii="宋体" w:hAnsi="宋体" w:cs="Times New Roman"/>
          <w:color w:val="000000" w:themeColor="text1"/>
          <w:sz w:val="24"/>
          <w:szCs w:val="24"/>
          <w14:textFill>
            <w14:solidFill>
              <w14:schemeClr w14:val="tx1"/>
            </w14:solidFill>
          </w14:textFill>
        </w:rPr>
        <w:t>要求，为达标排放</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pStyle w:val="6"/>
        <w:keepNext w:val="0"/>
        <w:keepLines w:val="0"/>
        <w:pageBreakBefore w:val="0"/>
        <w:widowControl/>
        <w:kinsoku/>
        <w:wordWrap/>
        <w:overflowPunct/>
        <w:topLinePunct w:val="0"/>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4.固体废物</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目产生的固体废物主要为生活垃圾、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满足</w:t>
      </w:r>
      <w:r>
        <w:rPr>
          <w:rFonts w:hint="eastAsia" w:asciiTheme="minorEastAsia" w:hAnsiTheme="minorEastAsia" w:eastAsiaTheme="minorEastAsia" w:cstheme="minorEastAsia"/>
          <w:color w:val="000000" w:themeColor="text1"/>
          <w:sz w:val="24"/>
          <w:szCs w:val="24"/>
          <w14:textFill>
            <w14:solidFill>
              <w14:schemeClr w14:val="tx1"/>
            </w14:solidFill>
          </w14:textFill>
        </w:rPr>
        <w:t>固体废物治理设施的处理效果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pPr>
        <w:pStyle w:val="6"/>
        <w:keepNext w:val="0"/>
        <w:keepLines w:val="0"/>
        <w:pageBreakBefore w:val="0"/>
        <w:widowControl/>
        <w:kinsoku/>
        <w:wordWrap/>
        <w:overflowPunct/>
        <w:topLinePunct w:val="0"/>
        <w:autoSpaceDE/>
        <w:autoSpaceDN/>
        <w:bidi w:val="0"/>
        <w:spacing w:before="0" w:beforeAutospacing="0" w:after="0" w:afterAutospacing="0" w:line="360" w:lineRule="auto"/>
        <w:ind w:firstLine="480" w:firstLineChars="200"/>
        <w:jc w:val="both"/>
        <w:textAlignment w:val="auto"/>
        <w:outlineLvl w:val="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.污染物排放总量</w:t>
      </w:r>
    </w:p>
    <w:p>
      <w:pPr>
        <w:keepNext w:val="0"/>
        <w:keepLines w:val="0"/>
        <w:pageBreakBefore w:val="0"/>
        <w:widowControl/>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本项目无总量控制要求。</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五、工程建设对环境的影响</w:t>
      </w:r>
    </w:p>
    <w:p>
      <w:pPr>
        <w:keepNext w:val="0"/>
        <w:keepLines w:val="0"/>
        <w:pageBreakBefore w:val="0"/>
        <w:widowControl/>
        <w:tabs>
          <w:tab w:val="center" w:pos="4592"/>
        </w:tabs>
        <w:kinsoku/>
        <w:wordWrap/>
        <w:overflowPunct/>
        <w:topLinePunct w:val="0"/>
        <w:bidi w:val="0"/>
        <w:spacing w:line="360" w:lineRule="auto"/>
        <w:ind w:firstLine="360" w:firstLineChars="15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本</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项目废水</w:t>
      </w:r>
      <w:r>
        <w:rPr>
          <w:rFonts w:hint="eastAsia" w:asciiTheme="minorEastAsia" w:hAnsiTheme="minorEastAsia" w:cstheme="minorEastAsia"/>
          <w:color w:val="000000" w:themeColor="text1"/>
          <w:sz w:val="24"/>
          <w:szCs w:val="24"/>
          <w:lang w:eastAsia="zh-CN"/>
          <w14:textFill>
            <w14:solidFill>
              <w14:schemeClr w14:val="tx1"/>
            </w14:solidFill>
          </w14:textFill>
        </w:rPr>
        <w:t>主要有</w:t>
      </w:r>
      <w:r>
        <w:rPr>
          <w:rFonts w:hint="eastAsia" w:asciiTheme="minorEastAsia" w:hAnsiTheme="minorEastAsia" w:eastAsiaTheme="minorEastAsia" w:cstheme="minorEastAsia"/>
          <w:color w:val="000000" w:themeColor="text1"/>
          <w:sz w:val="24"/>
          <w:szCs w:val="24"/>
          <w14:textFill>
            <w14:solidFill>
              <w14:schemeClr w14:val="tx1"/>
            </w14:solidFill>
          </w14:textFill>
        </w:rPr>
        <w:t>和生活污水。根据现场勘察情况，</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生活</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污水经</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化粪池</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处理后</w:t>
      </w:r>
      <w:r>
        <w:rPr>
          <w:rFonts w:hint="eastAsia" w:asciiTheme="minorEastAsia" w:hAnsiTheme="minorEastAsia" w:cstheme="minorEastAsia"/>
          <w:bCs/>
          <w:color w:val="000000" w:themeColor="text1"/>
          <w:sz w:val="24"/>
          <w:szCs w:val="24"/>
          <w:lang w:eastAsia="zh-CN"/>
          <w14:textFill>
            <w14:solidFill>
              <w14:schemeClr w14:val="tx1"/>
            </w14:solidFill>
          </w14:textFill>
        </w:rPr>
        <w:t>排入城镇污水管网</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。项目的废气</w:t>
      </w:r>
      <w:r>
        <w:rPr>
          <w:rFonts w:hint="eastAsia" w:asciiTheme="minorEastAsia" w:hAnsiTheme="minorEastAsia" w:cstheme="minorEastAsia"/>
          <w:color w:val="000000" w:themeColor="text1"/>
          <w:sz w:val="24"/>
          <w:szCs w:val="24"/>
          <w:lang w:eastAsia="zh-CN"/>
          <w14:textFill>
            <w14:solidFill>
              <w14:schemeClr w14:val="tx1"/>
            </w14:solidFill>
          </w14:textFill>
        </w:rPr>
        <w:t>有</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生产工艺</w:t>
      </w:r>
      <w:r>
        <w:rPr>
          <w:rFonts w:hint="eastAsia" w:asciiTheme="minorEastAsia" w:hAnsiTheme="minorEastAsia" w:cstheme="minorEastAsia"/>
          <w:color w:val="000000" w:themeColor="text1"/>
          <w:sz w:val="24"/>
          <w:szCs w:val="24"/>
          <w:lang w:eastAsia="zh-CN"/>
          <w14:textFill>
            <w14:solidFill>
              <w14:schemeClr w14:val="tx1"/>
            </w14:solidFill>
          </w14:textFill>
        </w:rPr>
        <w:t>产生的无组织废气（颗粒物、非甲烷总烃</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000000" w:themeColor="text1"/>
          <w:sz w:val="24"/>
          <w:szCs w:val="24"/>
          <w:lang w:eastAsia="zh-CN"/>
          <w14:textFill>
            <w14:solidFill>
              <w14:schemeClr w14:val="tx1"/>
            </w14:solidFill>
          </w14:textFill>
        </w:rPr>
        <w:t>通过厂区通风成</w:t>
      </w:r>
      <w:r>
        <w:rPr>
          <w:rFonts w:hint="eastAsia" w:asciiTheme="minorEastAsia" w:hAnsiTheme="minorEastAsia" w:eastAsiaTheme="minorEastAsia" w:cstheme="minorEastAsia"/>
          <w:color w:val="000000" w:themeColor="text1"/>
          <w:sz w:val="24"/>
          <w:szCs w:val="24"/>
          <w14:textFill>
            <w14:solidFill>
              <w14:schemeClr w14:val="tx1"/>
            </w14:solidFill>
          </w14:textFill>
        </w:rPr>
        <w:t>无组织排放</w:t>
      </w:r>
      <w:r>
        <w:rPr>
          <w:rFonts w:hint="eastAsia" w:asciiTheme="minorEastAsia" w:hAnsiTheme="minorEastAsia" w:cstheme="minorEastAsia"/>
          <w:color w:val="000000" w:themeColor="text1"/>
          <w:sz w:val="24"/>
          <w:szCs w:val="24"/>
          <w:lang w:eastAsia="zh-CN"/>
          <w14:textFill>
            <w14:solidFill>
              <w14:schemeClr w14:val="tx1"/>
            </w14:solidFill>
          </w14:textFill>
        </w:rPr>
        <w:t>出去</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。项目无高音噪声源，主要噪声源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生产</w:t>
      </w:r>
      <w:r>
        <w:rPr>
          <w:rFonts w:hint="eastAsia" w:asciiTheme="minorEastAsia" w:hAnsiTheme="minorEastAsia" w:eastAsiaTheme="minorEastAsia" w:cstheme="minorEastAsia"/>
          <w:color w:val="000000" w:themeColor="text1"/>
          <w:sz w:val="24"/>
          <w:szCs w:val="24"/>
          <w14:textFill>
            <w14:solidFill>
              <w14:schemeClr w14:val="tx1"/>
            </w14:solidFill>
          </w14:textFill>
        </w:rPr>
        <w:t>运行时及来往车辆产生的噪声。选用了低噪声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设备</w:t>
      </w:r>
      <w:r>
        <w:rPr>
          <w:rFonts w:hint="eastAsia" w:asciiTheme="minorEastAsia" w:hAnsiTheme="minorEastAsia" w:eastAsiaTheme="minorEastAsia" w:cstheme="minorEastAsia"/>
          <w:color w:val="000000" w:themeColor="text1"/>
          <w:sz w:val="24"/>
          <w:szCs w:val="24"/>
          <w14:textFill>
            <w14:solidFill>
              <w14:schemeClr w14:val="tx1"/>
            </w14:solidFill>
          </w14:textFill>
        </w:rPr>
        <w:t>，并设置了减振垫，出入区域内来往的机动车减速、禁止鸣笛，减少站内噪声对周边环境的影响。项目产生的固体废物主要为生活垃圾、</w:t>
      </w:r>
      <w:r>
        <w:rPr>
          <w:rFonts w:hint="eastAsia" w:asciiTheme="minorEastAsia" w:hAnsiTheme="minorEastAsia" w:cstheme="minorEastAsia"/>
          <w:color w:val="000000" w:themeColor="text1"/>
          <w:sz w:val="24"/>
          <w:szCs w:val="24"/>
          <w:lang w:eastAsia="zh-CN"/>
          <w14:textFill>
            <w14:solidFill>
              <w14:schemeClr w14:val="tx1"/>
            </w14:solidFill>
          </w14:textFill>
        </w:rPr>
        <w:t>危险废物</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。根据现场调查，生活垃圾交由环卫部门处理，</w:t>
      </w:r>
      <w:r>
        <w:rPr>
          <w:rFonts w:hint="eastAsia" w:asciiTheme="minorEastAsia" w:hAnsiTheme="minorEastAsia" w:cstheme="minorEastAsia"/>
          <w:color w:val="000000" w:themeColor="text1"/>
          <w:sz w:val="24"/>
          <w:szCs w:val="24"/>
          <w:lang w:eastAsia="zh-CN"/>
          <w14:textFill>
            <w14:solidFill>
              <w14:schemeClr w14:val="tx1"/>
            </w14:solidFill>
          </w14:textFill>
        </w:rPr>
        <w:t>危险废物签有协议</w:t>
      </w:r>
      <w:r>
        <w:rPr>
          <w:rFonts w:hint="eastAsia" w:asciiTheme="minorEastAsia" w:hAnsiTheme="minorEastAsia" w:eastAsiaTheme="minorEastAsia" w:cstheme="minorEastAsia"/>
          <w:color w:val="000000" w:themeColor="text1"/>
          <w:sz w:val="24"/>
          <w:szCs w:val="24"/>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综合</w:t>
      </w:r>
      <w:r>
        <w:rPr>
          <w:rFonts w:hint="eastAsia" w:asciiTheme="minorEastAsia" w:hAnsiTheme="minorEastAsia" w:eastAsiaTheme="minorEastAsia" w:cstheme="minorEastAsia"/>
          <w:color w:val="000000" w:themeColor="text1"/>
          <w:sz w:val="24"/>
          <w:szCs w:val="24"/>
          <w14:textFill>
            <w14:solidFill>
              <w14:schemeClr w14:val="tx1"/>
            </w14:solidFill>
          </w14:textFill>
        </w:rPr>
        <w:t>监测结果</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，本项目工程建设对环境的影响较低。</w:t>
      </w:r>
    </w:p>
    <w:p>
      <w:pPr>
        <w:pStyle w:val="6"/>
        <w:keepNext w:val="0"/>
        <w:keepLines w:val="0"/>
        <w:pageBreakBefore w:val="0"/>
        <w:widowControl/>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六、验收结论</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根据</w:t>
      </w:r>
      <w:r>
        <w:rPr>
          <w:rFonts w:hint="eastAsia" w:asciiTheme="minorEastAsia" w:hAnsiTheme="minorEastAsia" w:eastAsiaTheme="minorEastAsia" w:cstheme="minorEastAsia"/>
          <w:color w:val="000000" w:themeColor="text1"/>
          <w:sz w:val="24"/>
          <w:szCs w:val="24"/>
          <w14:textFill>
            <w14:solidFill>
              <w14:schemeClr w14:val="tx1"/>
            </w14:solidFill>
          </w14:textFill>
        </w:rPr>
        <w:t>《建设项目竣工环境保护验收暂行办法》中所规定的验收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对是否</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合格情形对项目逐一对照核查，</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以及</w:t>
      </w:r>
      <w:r>
        <w:rPr>
          <w:rFonts w:hint="eastAsia" w:asciiTheme="minorEastAsia" w:hAnsiTheme="minorEastAsia" w:eastAsiaTheme="minorEastAsia" w:cstheme="minorEastAsia"/>
          <w:color w:val="000000" w:themeColor="text1"/>
          <w:sz w:val="24"/>
          <w:szCs w:val="24"/>
          <w14:textFill>
            <w14:solidFill>
              <w14:schemeClr w14:val="tx1"/>
            </w14:solidFill>
          </w14:textFill>
        </w:rPr>
        <w:t>与项目环境影响评价文件及审批文件相对照，该项目基本落实了环评文件中提出的各项污染防治措施，各项监测指标均满足标准要求，项目的实施在一定程度上促进了所在地区的经济发展，在项目保证现有环境保护设施正常运行的前提下，基本达到环境保护验收条件，可申请环保验收。</w:t>
      </w:r>
    </w:p>
    <w:p>
      <w:pPr>
        <w:pStyle w:val="6"/>
        <w:keepNext w:val="0"/>
        <w:keepLines w:val="0"/>
        <w:pageBreakBefore w:val="0"/>
        <w:widowControl/>
        <w:numPr>
          <w:ilvl w:val="0"/>
          <w:numId w:val="1"/>
        </w:numPr>
        <w:kinsoku/>
        <w:wordWrap/>
        <w:overflowPunct/>
        <w:topLinePunct w:val="0"/>
        <w:bidi w:val="0"/>
        <w:spacing w:before="0" w:beforeAutospacing="0" w:after="0" w:afterAutospacing="0" w:line="360" w:lineRule="auto"/>
        <w:ind w:firstLine="482" w:firstLineChars="200"/>
        <w:jc w:val="both"/>
        <w:textAlignment w:val="auto"/>
        <w:outlineLvl w:val="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后续要求</w:t>
      </w:r>
    </w:p>
    <w:p>
      <w:pPr>
        <w:keepNext w:val="0"/>
        <w:keepLines w:val="0"/>
        <w:pageBreakBefore w:val="0"/>
        <w:widowControl/>
        <w:kinsoku/>
        <w:wordWrap/>
        <w:overflowPunct/>
        <w:topLinePunct w:val="0"/>
        <w:bidi w:val="0"/>
        <w:spacing w:line="360" w:lineRule="auto"/>
        <w:textAlignment w:val="auto"/>
        <w:rPr>
          <w:rFonts w:ascii="宋体" w:hAnsi="宋体" w:eastAsia="宋体"/>
          <w:sz w:val="24"/>
          <w:szCs w:val="24"/>
        </w:rPr>
      </w:pPr>
      <w:r>
        <w:rPr>
          <w:rFonts w:hint="eastAsia" w:asciiTheme="minorEastAsia" w:hAnsiTheme="minorEastAsia" w:eastAsiaTheme="minorEastAsia" w:cstheme="minorEastAsia"/>
          <w:b/>
          <w:color w:val="FF0000"/>
          <w:sz w:val="24"/>
          <w:szCs w:val="24"/>
        </w:rPr>
        <w:t xml:space="preserve"> </w:t>
      </w:r>
      <w:r>
        <w:rPr>
          <w:rFonts w:hint="eastAsia" w:asciiTheme="minorEastAsia" w:hAnsiTheme="minorEastAsia" w:cstheme="minorEastAsia"/>
          <w:b/>
          <w:color w:val="FF0000"/>
          <w:sz w:val="24"/>
          <w:szCs w:val="24"/>
          <w:lang w:val="en-US" w:eastAsia="zh-CN"/>
        </w:rPr>
        <w:t xml:space="preserve">  </w:t>
      </w:r>
      <w:r>
        <w:rPr>
          <w:rFonts w:hint="eastAsia" w:asciiTheme="minorEastAsia" w:hAnsiTheme="minorEastAsia" w:eastAsiaTheme="minorEastAsia" w:cstheme="minorEastAsia"/>
          <w:b/>
          <w:color w:val="FF0000"/>
          <w:sz w:val="24"/>
          <w:szCs w:val="24"/>
        </w:rPr>
        <w:t xml:space="preserve"> </w:t>
      </w:r>
      <w:r>
        <w:rPr>
          <w:rFonts w:hint="eastAsia" w:ascii="宋体" w:hAnsi="宋体" w:eastAsia="宋体"/>
          <w:sz w:val="24"/>
          <w:szCs w:val="24"/>
        </w:rPr>
        <w:t>1、</w:t>
      </w:r>
      <w:r>
        <w:rPr>
          <w:rFonts w:hint="eastAsia" w:ascii="宋体" w:hAnsi="宋体" w:eastAsia="宋体"/>
          <w:sz w:val="24"/>
          <w:szCs w:val="24"/>
          <w:lang w:eastAsia="zh-CN"/>
        </w:rPr>
        <w:t>加强生产污水治理措施的运行管理，确保生活污水经处理后长期稳定达标排放</w:t>
      </w:r>
      <w:r>
        <w:rPr>
          <w:rFonts w:hint="eastAsia" w:cs="宋体" w:asciiTheme="minorEastAsia" w:hAnsiTheme="minorEastAsia" w:eastAsiaTheme="minorEastAsia"/>
          <w:kern w:val="0"/>
          <w:sz w:val="24"/>
          <w:szCs w:val="24"/>
        </w:rPr>
        <w:t>。</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、加强</w:t>
      </w:r>
      <w:r>
        <w:rPr>
          <w:rFonts w:hint="eastAsia" w:asciiTheme="minorEastAsia" w:hAnsiTheme="minorEastAsia" w:eastAsiaTheme="minorEastAsia" w:cstheme="minorEastAsia"/>
          <w:sz w:val="24"/>
          <w:szCs w:val="24"/>
          <w:lang w:eastAsia="zh-CN"/>
        </w:rPr>
        <w:t>废气</w:t>
      </w:r>
      <w:r>
        <w:rPr>
          <w:rFonts w:hint="eastAsia" w:ascii="宋体" w:hAnsi="宋体" w:eastAsia="宋体"/>
          <w:sz w:val="24"/>
          <w:szCs w:val="24"/>
          <w:lang w:eastAsia="zh-CN"/>
        </w:rPr>
        <w:t>治理措施的运行管理，加强车间通风、机械排放措施，减轻无组织废气对周边环境的影响</w:t>
      </w:r>
      <w:r>
        <w:rPr>
          <w:rFonts w:hint="eastAsia" w:cs="宋体" w:asciiTheme="minorEastAsia" w:hAnsiTheme="minorEastAsia" w:eastAsiaTheme="minorEastAsia"/>
          <w:kern w:val="0"/>
          <w:sz w:val="24"/>
          <w:szCs w:val="24"/>
        </w:rPr>
        <w:t>。</w:t>
      </w:r>
    </w:p>
    <w:p>
      <w:pPr>
        <w:keepNext w:val="0"/>
        <w:keepLines w:val="0"/>
        <w:pageBreakBefore w:val="0"/>
        <w:widowControl/>
        <w:kinsoku/>
        <w:wordWrap/>
        <w:overflowPunct/>
        <w:topLinePunct w:val="0"/>
        <w:bidi w:val="0"/>
        <w:spacing w:line="360" w:lineRule="auto"/>
        <w:ind w:firstLine="480" w:firstLineChars="200"/>
        <w:textAlignment w:val="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3</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kern w:val="0"/>
          <w:sz w:val="24"/>
          <w:szCs w:val="24"/>
          <w:lang w:eastAsia="zh-CN"/>
        </w:rPr>
        <w:t>严格执行各项环境管理制度，规范环保设施运行操作，完善运行期的废水、废气、固体废物等日常巡查和必要的监测工作，建立健全生产装置和环保设施日常运行维护、管理和台账记录，确保各项污染物长期稳定达标排放，杜绝跑、冒、漏、滴以及事故性排放</w:t>
      </w:r>
      <w:r>
        <w:rPr>
          <w:rFonts w:hint="eastAsia" w:cs="宋体" w:asciiTheme="minorEastAsia" w:hAnsiTheme="minorEastAsia" w:eastAsiaTheme="minorEastAsia"/>
          <w:kern w:val="0"/>
          <w:sz w:val="24"/>
          <w:szCs w:val="24"/>
        </w:rPr>
        <w:t>。</w:t>
      </w:r>
    </w:p>
    <w:p>
      <w:pPr>
        <w:pStyle w:val="2"/>
        <w:ind w:firstLine="482" w:firstLineChars="200"/>
        <w:rPr>
          <w:rFonts w:hint="eastAsia" w:cs="宋体" w:asciiTheme="minorEastAsia" w:hAnsiTheme="minorEastAsia" w:eastAsiaTheme="minorEastAsia"/>
          <w:kern w:val="0"/>
          <w:sz w:val="24"/>
          <w:szCs w:val="24"/>
          <w:lang w:eastAsia="zh-CN"/>
        </w:rPr>
      </w:pPr>
      <w:r>
        <w:rPr>
          <w:rFonts w:hint="eastAsia" w:cs="宋体" w:asciiTheme="minorEastAsia" w:hAnsiTheme="minorEastAsia"/>
          <w:b/>
          <w:bCs/>
          <w:kern w:val="0"/>
          <w:sz w:val="24"/>
          <w:szCs w:val="24"/>
          <w:lang w:eastAsia="zh-CN"/>
        </w:rPr>
        <w:t>附验收组名单：</w:t>
      </w: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2"/>
        <w:rPr>
          <w:rFonts w:hint="eastAsia" w:cs="宋体" w:asciiTheme="minorEastAsia" w:hAnsiTheme="minorEastAsia" w:eastAsiaTheme="minorEastAsia"/>
          <w:kern w:val="0"/>
          <w:sz w:val="24"/>
          <w:szCs w:val="24"/>
        </w:rPr>
      </w:pPr>
    </w:p>
    <w:p>
      <w:pPr>
        <w:pStyle w:val="7"/>
        <w:rPr>
          <w:rFonts w:hint="eastAsia" w:asciiTheme="minorEastAsia" w:hAnsiTheme="minorEastAsia" w:eastAsiaTheme="minorEastAsia" w:cstheme="minorEastAsia"/>
          <w:sz w:val="24"/>
          <w:szCs w:val="24"/>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2"/>
      </w:pPr>
      <w:bookmarkStart w:id="0" w:name="_GoBack"/>
      <w:r>
        <w:drawing>
          <wp:inline distT="0" distB="0" distL="114300" distR="114300">
            <wp:extent cx="8860155" cy="6296660"/>
            <wp:effectExtent l="0" t="0" r="1714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8860155" cy="6296660"/>
                    </a:xfrm>
                    <a:prstGeom prst="rect">
                      <a:avLst/>
                    </a:prstGeom>
                    <a:noFill/>
                    <a:ln>
                      <a:noFill/>
                    </a:ln>
                  </pic:spPr>
                </pic:pic>
              </a:graphicData>
            </a:graphic>
          </wp:inline>
        </w:drawing>
      </w:r>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2503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5030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tentative="0">
      <w:start w:val="7"/>
      <w:numFmt w:val="chineseCounting"/>
      <w:suff w:val="nothing"/>
      <w:lvlText w:val="%1、"/>
      <w:lvlJc w:val="left"/>
      <w:pPr>
        <w:ind w:left="0" w:firstLine="0"/>
      </w:pPr>
    </w:lvl>
  </w:abstractNum>
  <w:num w:numId="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92FFE"/>
    <w:rsid w:val="08251A5D"/>
    <w:rsid w:val="11492FFE"/>
    <w:rsid w:val="12E506EE"/>
    <w:rsid w:val="3DEA3899"/>
    <w:rsid w:val="3E184A59"/>
    <w:rsid w:val="5A0C2D89"/>
    <w:rsid w:val="5AD25D98"/>
    <w:rsid w:val="70EF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7">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Other|1"/>
    <w:basedOn w:val="1"/>
    <w:qFormat/>
    <w:uiPriority w:val="0"/>
    <w:pPr>
      <w:widowControl w:val="0"/>
      <w:shd w:val="clear" w:color="auto" w:fill="auto"/>
      <w:spacing w:line="254" w:lineRule="auto"/>
    </w:pPr>
    <w:rPr>
      <w:rFonts w:ascii="MingLiU" w:hAnsi="MingLiU" w:eastAsia="MingLiU" w:cs="MingLiU"/>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2020-07-28T01:53:00Z</dcterms:created>
  <dc:creator>庐陵四更半</dc:creator>
  <cp:lastModifiedBy>庐陵四更半</cp:lastModifiedBy>
  <dcterms:modified xsi:type="dcterms:W3CDTF">2020-09-28T00:59:51Z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