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bookmarkStart w:id="225" w:name="_GoBack"/>
      <w:bookmarkEnd w:id="225"/>
    </w:p>
    <w:p>
      <w:pPr>
        <w:pStyle w:val="7"/>
        <w:rPr>
          <w:rFonts w:ascii="Times New Roman"/>
          <w:sz w:val="20"/>
        </w:rPr>
      </w:pPr>
    </w:p>
    <w:p>
      <w:pPr>
        <w:pStyle w:val="7"/>
        <w:spacing w:before="10"/>
        <w:rPr>
          <w:rFonts w:ascii="Times New Roma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eastAsia="宋体"/>
          <w:b/>
          <w:sz w:val="48"/>
        </w:rPr>
      </w:pPr>
      <w:r>
        <w:rPr>
          <w:rFonts w:hint="default" w:ascii="Times New Roman" w:hAnsi="Times New Roman" w:eastAsia="宋体" w:cs="Times New Roman"/>
          <w:b/>
          <w:color w:val="auto"/>
          <w:sz w:val="52"/>
          <w:szCs w:val="52"/>
          <w:lang w:eastAsia="zh-CN"/>
        </w:rPr>
        <w:t>崇义县上堡人形水电站工程项目</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eastAsia="宋体"/>
          <w:b/>
          <w:sz w:val="48"/>
        </w:rPr>
      </w:pPr>
      <w:r>
        <w:rPr>
          <w:rFonts w:hint="eastAsia" w:ascii="宋体" w:eastAsia="宋体"/>
          <w:b/>
          <w:spacing w:val="-2"/>
          <w:sz w:val="48"/>
        </w:rPr>
        <w:t>竣工环境保护验收调查报告</w:t>
      </w:r>
    </w:p>
    <w:p>
      <w:pPr>
        <w:pStyle w:val="7"/>
        <w:ind w:left="617"/>
        <w:rPr>
          <w:rFonts w:hint="eastAsia" w:ascii="宋体" w:eastAsia="仿宋"/>
          <w:sz w:val="20"/>
          <w:lang w:eastAsia="zh-CN"/>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ind w:left="617"/>
        <w:rPr>
          <w:rFonts w:ascii="宋体"/>
          <w:sz w:val="20"/>
        </w:rPr>
      </w:pPr>
    </w:p>
    <w:p>
      <w:pPr>
        <w:pStyle w:val="7"/>
        <w:spacing w:before="10"/>
        <w:rPr>
          <w:rFonts w:ascii="宋体"/>
          <w:b/>
          <w:sz w:val="61"/>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eastAsia="宋体"/>
          <w:b/>
          <w:sz w:val="32"/>
        </w:rPr>
      </w:pPr>
      <w:r>
        <w:rPr>
          <w:rFonts w:hint="eastAsia" w:ascii="宋体" w:eastAsia="宋体"/>
          <w:b/>
          <w:sz w:val="32"/>
        </w:rPr>
        <w:t>建设单位：</w:t>
      </w:r>
      <w:r>
        <w:rPr>
          <w:rFonts w:hint="eastAsia" w:ascii="宋体" w:eastAsia="宋体"/>
          <w:b/>
          <w:sz w:val="32"/>
          <w:lang w:val="en-US" w:eastAsia="zh-CN"/>
        </w:rPr>
        <w:t>崇义县上堡人形水电站</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eastAsia="宋体"/>
          <w:b/>
          <w:sz w:val="32"/>
        </w:rPr>
      </w:pPr>
      <w:r>
        <w:rPr>
          <w:rFonts w:hint="eastAsia" w:ascii="宋体" w:eastAsia="宋体"/>
          <w:b/>
          <w:sz w:val="32"/>
        </w:rPr>
        <w:t>编制单位：江西</w:t>
      </w:r>
      <w:r>
        <w:rPr>
          <w:rFonts w:hint="eastAsia" w:ascii="宋体" w:eastAsia="宋体"/>
          <w:b/>
          <w:sz w:val="32"/>
          <w:lang w:eastAsia="zh-CN"/>
        </w:rPr>
        <w:t>中明环境检测</w:t>
      </w:r>
      <w:r>
        <w:rPr>
          <w:rFonts w:hint="eastAsia" w:ascii="宋体" w:eastAsia="宋体"/>
          <w:b/>
          <w:sz w:val="32"/>
        </w:rPr>
        <w:t>有限公司</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hAnsi="宋体" w:eastAsia="宋体"/>
          <w:b/>
          <w:sz w:val="32"/>
        </w:rPr>
      </w:pPr>
      <w:r>
        <w:rPr>
          <w:rFonts w:hint="eastAsia" w:ascii="宋体" w:hAnsi="宋体" w:eastAsia="宋体"/>
          <w:b/>
          <w:sz w:val="32"/>
        </w:rPr>
        <w:t>二</w:t>
      </w:r>
      <w:r>
        <w:rPr>
          <w:rFonts w:ascii="Times New Roman" w:hAnsi="Times New Roman" w:eastAsia="Times New Roman"/>
          <w:b/>
          <w:sz w:val="32"/>
        </w:rPr>
        <w:t>Ο</w:t>
      </w:r>
      <w:r>
        <w:rPr>
          <w:rFonts w:hint="eastAsia" w:ascii="宋体" w:hAnsi="宋体" w:eastAsia="宋体"/>
          <w:b/>
          <w:sz w:val="32"/>
        </w:rPr>
        <w:t>二</w:t>
      </w:r>
      <w:r>
        <w:rPr>
          <w:rFonts w:ascii="Times New Roman" w:hAnsi="Times New Roman" w:eastAsia="Times New Roman"/>
          <w:b/>
          <w:sz w:val="32"/>
        </w:rPr>
        <w:t>Ο</w:t>
      </w:r>
      <w:r>
        <w:rPr>
          <w:rFonts w:hint="eastAsia" w:ascii="宋体" w:hAnsi="宋体" w:eastAsia="宋体"/>
          <w:b/>
          <w:sz w:val="32"/>
        </w:rPr>
        <w:t>年</w:t>
      </w:r>
      <w:r>
        <w:rPr>
          <w:rFonts w:hint="eastAsia" w:ascii="宋体" w:hAnsi="宋体" w:eastAsia="宋体"/>
          <w:b/>
          <w:sz w:val="32"/>
          <w:lang w:eastAsia="zh-CN"/>
        </w:rPr>
        <w:t>九</w:t>
      </w:r>
      <w:r>
        <w:rPr>
          <w:rFonts w:hint="eastAsia" w:ascii="宋体" w:hAnsi="宋体" w:eastAsia="宋体"/>
          <w:b/>
          <w:sz w:val="32"/>
        </w:rPr>
        <w:t>月</w:t>
      </w: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spacing w:before="12"/>
        <w:rPr>
          <w:rFonts w:ascii="宋体"/>
          <w:b/>
          <w:sz w:val="19"/>
        </w:rPr>
      </w:pPr>
      <w:r>
        <mc:AlternateContent>
          <mc:Choice Requires="wps">
            <w:drawing>
              <wp:anchor distT="0" distB="0" distL="0" distR="0" simplePos="0" relativeHeight="251658240" behindDoc="1" locked="0" layoutInCell="1" allowOverlap="1">
                <wp:simplePos x="0" y="0"/>
                <wp:positionH relativeFrom="page">
                  <wp:posOffset>1140460</wp:posOffset>
                </wp:positionH>
                <wp:positionV relativeFrom="paragraph">
                  <wp:posOffset>189865</wp:posOffset>
                </wp:positionV>
                <wp:extent cx="5278120" cy="0"/>
                <wp:effectExtent l="0" t="0" r="0" b="0"/>
                <wp:wrapTopAndBottom/>
                <wp:docPr id="64" name="直线 2"/>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89.8pt;margin-top:14.95pt;height:0pt;width:415.6pt;mso-position-horizontal-relative:page;mso-wrap-distance-bottom:0pt;mso-wrap-distance-top:0pt;z-index:-251658240;mso-width-relative:page;mso-height-relative:page;" filled="f" stroked="t" coordsize="21600,21600" o:gfxdata="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mTv11wAAAAoBAAAPAAAAAAAAAAEAIAAAACIAAABk&#10;cnMvZG93bnJldi54bWxQSwECFAAUAAAACACHTuJA6B/3Uc4BAACOAwAADgAAAAAAAAABACAAAAAm&#10;AQAAZHJzL2Uyb0RvYy54bWxQSwUGAAAAAAYABgBZAQAAZgUAAAAA&#10;">
                <v:fill on="f" focussize="0,0"/>
                <v:stroke weight="0.48pt" color="#000000" joinstyle="round"/>
                <v:imagedata o:title=""/>
                <o:lock v:ext="edit" aspectratio="f"/>
                <w10:wrap type="topAndBottom"/>
              </v:line>
            </w:pict>
          </mc:Fallback>
        </mc:AlternateContent>
      </w:r>
    </w:p>
    <w:p>
      <w:pPr>
        <w:spacing w:after="0"/>
        <w:rPr>
          <w:rFonts w:ascii="宋体"/>
          <w:sz w:val="19"/>
        </w:rPr>
        <w:sectPr>
          <w:type w:val="continuous"/>
          <w:pgSz w:w="11910" w:h="16840"/>
          <w:pgMar w:top="1580" w:right="1160" w:bottom="280" w:left="1180" w:header="720" w:footer="720" w:gutter="0"/>
          <w:pgBorders>
            <w:top w:val="none" w:sz="0" w:space="0"/>
            <w:left w:val="none" w:sz="0" w:space="0"/>
            <w:bottom w:val="none" w:sz="0" w:space="0"/>
            <w:right w:val="none" w:sz="0" w:space="0"/>
          </w:pgBorders>
        </w:sectPr>
      </w:pPr>
    </w:p>
    <w:p>
      <w:pPr>
        <w:keepNext w:val="0"/>
        <w:keepLines w:val="0"/>
        <w:pageBreakBefore w:val="0"/>
        <w:widowControl w:val="0"/>
        <w:tabs>
          <w:tab w:val="left" w:pos="1219"/>
          <w:tab w:val="left" w:pos="1819"/>
          <w:tab w:val="left" w:pos="2424"/>
        </w:tabs>
        <w:kinsoku/>
        <w:wordWrap/>
        <w:overflowPunct/>
        <w:topLinePunct w:val="0"/>
        <w:autoSpaceDE w:val="0"/>
        <w:autoSpaceDN w:val="0"/>
        <w:bidi w:val="0"/>
        <w:adjustRightInd/>
        <w:snapToGrid/>
        <w:spacing w:before="0" w:line="360" w:lineRule="auto"/>
        <w:ind w:left="0" w:right="0" w:firstLine="0"/>
        <w:jc w:val="left"/>
        <w:textAlignment w:val="auto"/>
        <w:rPr>
          <w:rFonts w:hint="eastAsia" w:ascii="宋体" w:hAnsi="宋体" w:eastAsia="宋体" w:cs="宋体"/>
          <w:b w:val="0"/>
          <w:bCs/>
          <w:sz w:val="32"/>
          <w:szCs w:val="32"/>
        </w:rPr>
      </w:pPr>
      <w:r>
        <w:rPr>
          <w:rFonts w:hint="eastAsia" w:ascii="宋体" w:hAnsi="宋体" w:eastAsia="宋体" w:cs="宋体"/>
          <w:b w:val="0"/>
          <w:bCs/>
          <w:sz w:val="32"/>
          <w:szCs w:val="32"/>
        </w:rPr>
        <w:t>建设单位：</w:t>
      </w:r>
      <w:r>
        <w:rPr>
          <w:rFonts w:hint="eastAsia" w:ascii="宋体" w:hAnsi="宋体" w:eastAsia="宋体" w:cs="宋体"/>
          <w:b w:val="0"/>
          <w:bCs/>
          <w:sz w:val="32"/>
          <w:szCs w:val="32"/>
          <w:lang w:val="en-US" w:eastAsia="zh-CN"/>
        </w:rPr>
        <w:t>崇义县上堡人形水电站</w:t>
      </w:r>
    </w:p>
    <w:p>
      <w:pPr>
        <w:keepNext w:val="0"/>
        <w:keepLines w:val="0"/>
        <w:pageBreakBefore w:val="0"/>
        <w:widowControl w:val="0"/>
        <w:tabs>
          <w:tab w:val="left" w:pos="1219"/>
          <w:tab w:val="left" w:pos="1819"/>
          <w:tab w:val="left" w:pos="2424"/>
        </w:tabs>
        <w:kinsoku/>
        <w:wordWrap/>
        <w:overflowPunct/>
        <w:topLinePunct w:val="0"/>
        <w:autoSpaceDE w:val="0"/>
        <w:autoSpaceDN w:val="0"/>
        <w:bidi w:val="0"/>
        <w:adjustRightInd/>
        <w:snapToGrid/>
        <w:spacing w:before="0" w:line="360" w:lineRule="auto"/>
        <w:ind w:left="0" w:right="0" w:firstLine="0"/>
        <w:jc w:val="left"/>
        <w:textAlignment w:val="auto"/>
        <w:rPr>
          <w:rFonts w:hint="eastAsia" w:ascii="宋体" w:hAnsi="宋体" w:eastAsia="宋体" w:cs="宋体"/>
          <w:b w:val="0"/>
          <w:bCs/>
          <w:sz w:val="32"/>
          <w:szCs w:val="32"/>
        </w:rPr>
      </w:pPr>
      <w:r>
        <w:rPr>
          <w:rFonts w:hint="eastAsia" w:ascii="宋体" w:hAnsi="宋体" w:eastAsia="宋体" w:cs="宋体"/>
          <w:b w:val="0"/>
          <w:bCs/>
          <w:sz w:val="32"/>
          <w:szCs w:val="32"/>
        </w:rPr>
        <w:t>法人代表：奚晓莉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eastAsia" w:ascii="宋体" w:hAnsi="宋体" w:eastAsia="宋体" w:cs="宋体"/>
          <w:b w:val="0"/>
          <w:bCs/>
          <w:sz w:val="32"/>
          <w:szCs w:val="32"/>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eastAsia" w:ascii="宋体" w:hAnsi="宋体" w:eastAsia="宋体" w:cs="宋体"/>
          <w:b w:val="0"/>
          <w:bCs/>
          <w:sz w:val="32"/>
          <w:szCs w:val="32"/>
        </w:rPr>
      </w:pPr>
    </w:p>
    <w:p>
      <w:pPr>
        <w:keepNext w:val="0"/>
        <w:keepLines w:val="0"/>
        <w:pageBreakBefore w:val="0"/>
        <w:widowControl w:val="0"/>
        <w:tabs>
          <w:tab w:val="left" w:pos="1219"/>
          <w:tab w:val="left" w:pos="1819"/>
          <w:tab w:val="left" w:pos="2424"/>
        </w:tabs>
        <w:kinsoku/>
        <w:wordWrap/>
        <w:overflowPunct/>
        <w:topLinePunct w:val="0"/>
        <w:autoSpaceDE w:val="0"/>
        <w:autoSpaceDN w:val="0"/>
        <w:bidi w:val="0"/>
        <w:adjustRightInd/>
        <w:snapToGrid/>
        <w:spacing w:before="0" w:line="360" w:lineRule="auto"/>
        <w:ind w:left="0" w:right="0" w:firstLine="0"/>
        <w:jc w:val="left"/>
        <w:textAlignment w:val="auto"/>
        <w:rPr>
          <w:rFonts w:hint="eastAsia" w:ascii="宋体" w:hAnsi="宋体" w:eastAsia="宋体" w:cs="宋体"/>
          <w:b w:val="0"/>
          <w:bCs/>
          <w:spacing w:val="-14"/>
          <w:sz w:val="32"/>
          <w:szCs w:val="32"/>
        </w:rPr>
      </w:pPr>
      <w:r>
        <w:rPr>
          <w:rFonts w:hint="eastAsia" w:ascii="宋体" w:hAnsi="宋体" w:eastAsia="宋体" w:cs="宋体"/>
          <w:b w:val="0"/>
          <w:bCs/>
          <w:sz w:val="32"/>
          <w:szCs w:val="32"/>
        </w:rPr>
        <w:t>委托编制单位：江西</w:t>
      </w:r>
      <w:r>
        <w:rPr>
          <w:rFonts w:hint="eastAsia" w:ascii="宋体" w:hAnsi="宋体" w:eastAsia="宋体" w:cs="宋体"/>
          <w:b w:val="0"/>
          <w:bCs/>
          <w:sz w:val="32"/>
          <w:szCs w:val="32"/>
          <w:lang w:eastAsia="zh-CN"/>
        </w:rPr>
        <w:t>中明环境检测</w:t>
      </w:r>
      <w:r>
        <w:rPr>
          <w:rFonts w:hint="eastAsia" w:ascii="宋体" w:hAnsi="宋体" w:eastAsia="宋体" w:cs="宋体"/>
          <w:b w:val="0"/>
          <w:bCs/>
          <w:sz w:val="32"/>
          <w:szCs w:val="32"/>
        </w:rPr>
        <w:t>有限公</w:t>
      </w:r>
      <w:r>
        <w:rPr>
          <w:rFonts w:hint="eastAsia" w:ascii="宋体" w:hAnsi="宋体" w:eastAsia="宋体" w:cs="宋体"/>
          <w:b w:val="0"/>
          <w:bCs/>
          <w:spacing w:val="-14"/>
          <w:sz w:val="32"/>
          <w:szCs w:val="32"/>
        </w:rPr>
        <w:t>司</w:t>
      </w:r>
    </w:p>
    <w:p>
      <w:pPr>
        <w:keepNext w:val="0"/>
        <w:keepLines w:val="0"/>
        <w:pageBreakBefore w:val="0"/>
        <w:widowControl w:val="0"/>
        <w:tabs>
          <w:tab w:val="left" w:pos="1219"/>
          <w:tab w:val="left" w:pos="1819"/>
          <w:tab w:val="left" w:pos="2424"/>
        </w:tabs>
        <w:kinsoku/>
        <w:wordWrap/>
        <w:overflowPunct/>
        <w:topLinePunct w:val="0"/>
        <w:autoSpaceDE w:val="0"/>
        <w:autoSpaceDN w:val="0"/>
        <w:bidi w:val="0"/>
        <w:adjustRightInd/>
        <w:snapToGrid/>
        <w:spacing w:before="0" w:line="360" w:lineRule="auto"/>
        <w:ind w:left="0" w:right="0" w:firstLine="0"/>
        <w:jc w:val="left"/>
        <w:textAlignment w:val="auto"/>
        <w:rPr>
          <w:rFonts w:hint="eastAsia" w:ascii="宋体" w:hAnsi="宋体" w:eastAsia="宋体" w:cs="宋体"/>
          <w:b w:val="0"/>
          <w:bCs/>
          <w:sz w:val="32"/>
          <w:szCs w:val="32"/>
          <w:lang w:eastAsia="zh-CN"/>
        </w:rPr>
      </w:pPr>
      <w:r>
        <w:rPr>
          <w:rFonts w:hint="eastAsia" w:ascii="宋体" w:hAnsi="宋体" w:eastAsia="宋体" w:cs="宋体"/>
          <w:b w:val="0"/>
          <w:bCs/>
          <w:sz w:val="32"/>
          <w:szCs w:val="32"/>
        </w:rPr>
        <w:t>法人代表</w:t>
      </w:r>
      <w:r>
        <w:rPr>
          <w:rFonts w:hint="eastAsia" w:ascii="宋体" w:hAnsi="宋体" w:eastAsia="宋体" w:cs="宋体"/>
          <w:b w:val="0"/>
          <w:bCs/>
          <w:sz w:val="32"/>
          <w:szCs w:val="32"/>
          <w:lang w:val="en-US" w:eastAsia="zh-CN"/>
        </w:rPr>
        <w:t xml:space="preserve"> </w:t>
      </w:r>
      <w:r>
        <w:rPr>
          <w:rFonts w:hint="eastAsia" w:ascii="宋体" w:hAnsi="宋体" w:eastAsia="宋体" w:cs="宋体"/>
          <w:b w:val="0"/>
          <w:bCs/>
          <w:sz w:val="32"/>
          <w:szCs w:val="32"/>
        </w:rPr>
        <w:t>：</w:t>
      </w:r>
      <w:r>
        <w:rPr>
          <w:rFonts w:hint="eastAsia" w:ascii="宋体" w:hAnsi="宋体" w:eastAsia="宋体" w:cs="宋体"/>
          <w:b w:val="0"/>
          <w:bCs/>
          <w:sz w:val="32"/>
          <w:szCs w:val="32"/>
          <w:lang w:eastAsia="zh-CN"/>
        </w:rPr>
        <w:t>张家民</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eastAsia" w:ascii="宋体" w:hAnsi="宋体" w:eastAsia="宋体" w:cs="宋体"/>
          <w:b w:val="0"/>
          <w:bCs/>
          <w:sz w:val="32"/>
          <w:szCs w:val="32"/>
          <w:lang w:eastAsia="zh-CN"/>
        </w:rPr>
      </w:pPr>
      <w:r>
        <w:rPr>
          <w:rFonts w:hint="eastAsia" w:ascii="宋体" w:hAnsi="宋体" w:eastAsia="宋体" w:cs="宋体"/>
          <w:b w:val="0"/>
          <w:bCs/>
          <w:sz w:val="32"/>
          <w:szCs w:val="32"/>
        </w:rPr>
        <w:t>项目负责人：</w:t>
      </w:r>
      <w:r>
        <w:rPr>
          <w:rFonts w:hint="eastAsia" w:ascii="宋体" w:hAnsi="宋体" w:eastAsia="宋体" w:cs="宋体"/>
          <w:b w:val="0"/>
          <w:bCs/>
          <w:sz w:val="32"/>
          <w:szCs w:val="32"/>
          <w:lang w:eastAsia="zh-CN"/>
        </w:rPr>
        <w:t>何江峰</w:t>
      </w: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tbl>
      <w:tblPr>
        <w:tblStyle w:val="17"/>
        <w:tblW w:w="103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8"/>
        <w:gridCol w:w="5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4" w:hRule="atLeast"/>
        </w:trPr>
        <w:tc>
          <w:tcPr>
            <w:tcW w:w="5208" w:type="dxa"/>
            <w:vAlign w:val="center"/>
          </w:tcPr>
          <w:p>
            <w:pPr>
              <w:snapToGrid w:val="0"/>
              <w:ind w:left="0" w:leftChars="0" w:right="-312" w:rightChars="-142"/>
              <w:jc w:val="both"/>
              <w:rPr>
                <w:rFonts w:hint="eastAsia" w:ascii="宋体" w:hAnsi="宋体" w:eastAsia="宋体" w:cs="宋体"/>
                <w:color w:val="000000"/>
                <w:sz w:val="24"/>
                <w:szCs w:val="24"/>
                <w:lang w:val="zh-CN" w:eastAsia="zh-CN" w:bidi="zh-CN"/>
              </w:rPr>
            </w:pPr>
            <w:r>
              <w:rPr>
                <w:rFonts w:hint="eastAsia" w:ascii="宋体" w:hAnsi="宋体" w:eastAsia="宋体" w:cs="宋体"/>
                <w:color w:val="000000"/>
                <w:sz w:val="24"/>
                <w:szCs w:val="24"/>
              </w:rPr>
              <w:t>建设单位：崇义县上堡人形水电站</w:t>
            </w:r>
          </w:p>
        </w:tc>
        <w:tc>
          <w:tcPr>
            <w:tcW w:w="5150" w:type="dxa"/>
            <w:vAlign w:val="center"/>
          </w:tcPr>
          <w:p>
            <w:pPr>
              <w:snapToGrid w:val="0"/>
              <w:ind w:left="0" w:leftChars="0" w:right="-312" w:rightChars="-142"/>
              <w:jc w:val="both"/>
              <w:rPr>
                <w:rFonts w:hint="eastAsia" w:ascii="宋体" w:hAnsi="宋体" w:eastAsia="宋体" w:cs="宋体"/>
                <w:sz w:val="24"/>
                <w:szCs w:val="24"/>
                <w:lang w:val="zh-CN" w:eastAsia="zh-CN" w:bidi="zh-CN"/>
              </w:rPr>
            </w:pPr>
            <w:r>
              <w:rPr>
                <w:rFonts w:hint="eastAsia" w:ascii="宋体" w:hAnsi="宋体" w:eastAsia="宋体" w:cs="宋体"/>
                <w:sz w:val="24"/>
                <w:szCs w:val="24"/>
              </w:rPr>
              <w:t>编制单位：江西中明环境检测有限公司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208" w:type="dxa"/>
            <w:vAlign w:val="center"/>
          </w:tcPr>
          <w:p>
            <w:pPr>
              <w:snapToGrid w:val="0"/>
              <w:ind w:left="0" w:leftChars="0" w:right="-312" w:rightChars="-142"/>
              <w:jc w:val="both"/>
              <w:rPr>
                <w:rFonts w:hint="eastAsia" w:ascii="宋体" w:hAnsi="宋体" w:eastAsia="宋体" w:cs="宋体"/>
                <w:sz w:val="24"/>
                <w:szCs w:val="24"/>
                <w:lang w:val="zh-CN" w:eastAsia="zh-CN" w:bidi="zh-CN"/>
              </w:rPr>
            </w:pPr>
            <w:r>
              <w:rPr>
                <w:rFonts w:hint="eastAsia" w:ascii="宋体" w:hAnsi="宋体" w:eastAsia="宋体" w:cs="宋体"/>
                <w:sz w:val="24"/>
                <w:szCs w:val="24"/>
              </w:rPr>
              <w:t>电    话:</w:t>
            </w:r>
            <w:r>
              <w:rPr>
                <w:rFonts w:hint="eastAsia" w:ascii="宋体" w:hAnsi="宋体" w:eastAsia="宋体" w:cs="宋体"/>
                <w:sz w:val="24"/>
                <w:szCs w:val="24"/>
                <w:lang w:val="en-US" w:eastAsia="zh-CN"/>
              </w:rPr>
              <w:t>15870746185</w:t>
            </w:r>
          </w:p>
        </w:tc>
        <w:tc>
          <w:tcPr>
            <w:tcW w:w="5150" w:type="dxa"/>
            <w:vAlign w:val="center"/>
          </w:tcPr>
          <w:p>
            <w:pPr>
              <w:snapToGrid w:val="0"/>
              <w:ind w:left="0" w:leftChars="0" w:right="-312" w:rightChars="-142"/>
              <w:jc w:val="both"/>
              <w:rPr>
                <w:rFonts w:hint="eastAsia" w:ascii="宋体" w:hAnsi="宋体" w:eastAsia="宋体" w:cs="宋体"/>
                <w:sz w:val="24"/>
                <w:szCs w:val="24"/>
                <w:lang w:val="zh-CN" w:eastAsia="zh-CN" w:bidi="zh-CN"/>
              </w:rPr>
            </w:pPr>
            <w:r>
              <w:rPr>
                <w:rFonts w:hint="eastAsia" w:ascii="宋体" w:hAnsi="宋体" w:eastAsia="宋体" w:cs="宋体"/>
                <w:sz w:val="24"/>
                <w:szCs w:val="24"/>
              </w:rPr>
              <w:t>电    话:0796-7197438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208" w:type="dxa"/>
            <w:vAlign w:val="center"/>
          </w:tcPr>
          <w:p>
            <w:pPr>
              <w:snapToGrid w:val="0"/>
              <w:ind w:left="0" w:leftChars="0" w:right="-312" w:rightChars="-142"/>
              <w:jc w:val="both"/>
              <w:rPr>
                <w:rFonts w:hint="eastAsia" w:ascii="宋体" w:hAnsi="宋体" w:eastAsia="宋体" w:cs="宋体"/>
                <w:sz w:val="24"/>
                <w:szCs w:val="24"/>
                <w:lang w:val="zh-CN" w:eastAsia="zh-CN" w:bidi="zh-CN"/>
              </w:rPr>
            </w:pPr>
            <w:r>
              <w:rPr>
                <w:rFonts w:hint="eastAsia" w:ascii="宋体" w:hAnsi="宋体" w:eastAsia="宋体" w:cs="宋体"/>
                <w:sz w:val="24"/>
                <w:szCs w:val="24"/>
              </w:rPr>
              <w:t>邮    编:</w:t>
            </w:r>
          </w:p>
        </w:tc>
        <w:tc>
          <w:tcPr>
            <w:tcW w:w="5150" w:type="dxa"/>
            <w:vAlign w:val="center"/>
          </w:tcPr>
          <w:p>
            <w:pPr>
              <w:snapToGrid w:val="0"/>
              <w:ind w:left="0" w:leftChars="0" w:right="-312" w:rightChars="-142"/>
              <w:jc w:val="both"/>
              <w:rPr>
                <w:rFonts w:hint="eastAsia" w:ascii="宋体" w:hAnsi="宋体" w:eastAsia="宋体" w:cs="宋体"/>
                <w:sz w:val="24"/>
                <w:szCs w:val="24"/>
                <w:lang w:val="zh-CN" w:eastAsia="zh-CN" w:bidi="zh-CN"/>
              </w:rPr>
            </w:pPr>
            <w:r>
              <w:rPr>
                <w:rFonts w:hint="eastAsia" w:ascii="宋体" w:hAnsi="宋体" w:eastAsia="宋体" w:cs="宋体"/>
                <w:sz w:val="24"/>
                <w:szCs w:val="24"/>
              </w:rPr>
              <w:t>邮    编:343000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208" w:type="dxa"/>
            <w:vAlign w:val="center"/>
          </w:tcPr>
          <w:p>
            <w:pPr>
              <w:snapToGrid w:val="0"/>
              <w:ind w:left="0" w:leftChars="0" w:right="-312" w:rightChars="-142"/>
              <w:jc w:val="both"/>
              <w:rPr>
                <w:rFonts w:hint="eastAsia" w:ascii="宋体" w:hAnsi="宋体" w:eastAsia="宋体" w:cs="宋体"/>
                <w:sz w:val="24"/>
                <w:szCs w:val="24"/>
                <w:lang w:val="zh-CN" w:eastAsia="zh-CN" w:bidi="zh-CN"/>
              </w:rPr>
            </w:pPr>
            <w:r>
              <w:rPr>
                <w:rFonts w:hint="eastAsia" w:ascii="宋体" w:hAnsi="宋体" w:eastAsia="宋体" w:cs="宋体"/>
                <w:sz w:val="24"/>
                <w:szCs w:val="24"/>
              </w:rPr>
              <w:t>地    址:江西省赣州市崇义县上堡乡正井村</w:t>
            </w:r>
          </w:p>
        </w:tc>
        <w:tc>
          <w:tcPr>
            <w:tcW w:w="5150" w:type="dxa"/>
            <w:vAlign w:val="center"/>
          </w:tcPr>
          <w:p>
            <w:pPr>
              <w:snapToGrid w:val="0"/>
              <w:ind w:right="-440" w:rightChars="-200"/>
              <w:jc w:val="both"/>
              <w:rPr>
                <w:rFonts w:hint="eastAsia" w:ascii="宋体" w:hAnsi="宋体" w:eastAsia="宋体" w:cs="宋体"/>
                <w:sz w:val="24"/>
                <w:szCs w:val="24"/>
              </w:rPr>
            </w:pPr>
            <w:r>
              <w:rPr>
                <w:rFonts w:hint="eastAsia" w:ascii="宋体" w:hAnsi="宋体" w:eastAsia="宋体" w:cs="宋体"/>
                <w:sz w:val="24"/>
                <w:szCs w:val="24"/>
              </w:rPr>
              <w:t>地    址:江西省吉安市井冈山经济</w:t>
            </w:r>
          </w:p>
          <w:p>
            <w:pPr>
              <w:snapToGrid w:val="0"/>
              <w:ind w:right="-440" w:rightChars="-200"/>
              <w:jc w:val="both"/>
              <w:rPr>
                <w:rFonts w:hint="eastAsia" w:ascii="宋体" w:hAnsi="宋体" w:eastAsia="宋体" w:cs="宋体"/>
                <w:sz w:val="24"/>
                <w:szCs w:val="24"/>
                <w:lang w:val="zh-CN" w:eastAsia="zh-CN" w:bidi="zh-CN"/>
              </w:rPr>
            </w:pPr>
            <w:r>
              <w:rPr>
                <w:rFonts w:hint="eastAsia" w:ascii="宋体" w:hAnsi="宋体" w:eastAsia="宋体" w:cs="宋体"/>
                <w:sz w:val="24"/>
                <w:szCs w:val="24"/>
              </w:rPr>
              <w:t>开发区河东新工业园腾飞路2号</w:t>
            </w:r>
          </w:p>
        </w:tc>
      </w:tr>
    </w:tbl>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pStyle w:val="7"/>
        <w:spacing w:before="2"/>
        <w:rPr>
          <w:b/>
          <w:sz w:val="17"/>
        </w:rPr>
      </w:pPr>
    </w:p>
    <w:p>
      <w:pPr>
        <w:tabs>
          <w:tab w:val="left" w:pos="880"/>
        </w:tabs>
        <w:spacing w:before="37"/>
        <w:ind w:left="0" w:right="20" w:firstLine="0"/>
        <w:jc w:val="center"/>
        <w:rPr>
          <w:rFonts w:hint="eastAsia" w:ascii="宋体" w:eastAsia="宋体"/>
          <w:b/>
          <w:sz w:val="44"/>
        </w:rPr>
      </w:pPr>
      <w:r>
        <w:rPr>
          <w:rFonts w:hint="eastAsia" w:ascii="宋体" w:eastAsia="宋体"/>
          <w:b/>
          <w:sz w:val="44"/>
        </w:rPr>
        <w:t>目</w:t>
      </w:r>
      <w:r>
        <w:rPr>
          <w:rFonts w:hint="eastAsia" w:ascii="宋体" w:eastAsia="宋体"/>
          <w:b/>
          <w:sz w:val="44"/>
        </w:rPr>
        <w:tab/>
      </w:r>
      <w:r>
        <w:rPr>
          <w:rFonts w:hint="eastAsia" w:ascii="宋体" w:eastAsia="宋体"/>
          <w:b/>
          <w:sz w:val="44"/>
        </w:rPr>
        <w:t>录</w:t>
      </w:r>
    </w:p>
    <w:p>
      <w:pPr>
        <w:spacing w:after="0"/>
        <w:jc w:val="center"/>
        <w:rPr>
          <w:rFonts w:hint="eastAsia" w:ascii="宋体" w:eastAsia="宋体"/>
          <w:sz w:val="44"/>
        </w:rPr>
        <w:sectPr>
          <w:footerReference r:id="rId3" w:type="default"/>
          <w:pgSz w:w="11910" w:h="16840"/>
          <w:pgMar w:top="1580" w:right="1160" w:bottom="1765" w:left="1180" w:header="0" w:footer="991" w:gutter="0"/>
          <w:pgBorders>
            <w:top w:val="none" w:sz="0" w:space="0"/>
            <w:left w:val="none" w:sz="0" w:space="0"/>
            <w:bottom w:val="none" w:sz="0" w:space="0"/>
            <w:right w:val="none" w:sz="0" w:space="0"/>
          </w:pgBorders>
          <w:pgNumType w:fmt="decimal" w:start="2"/>
        </w:sectPr>
      </w:pPr>
    </w:p>
    <w:sdt>
      <w:sdtPr>
        <w:id w:val="0"/>
        <w:docPartObj>
          <w:docPartGallery w:val="Table of Contents"/>
          <w:docPartUnique/>
        </w:docPartObj>
      </w:sdtPr>
      <w:sdtContent>
        <w:p>
          <w:pPr>
            <w:pStyle w:val="13"/>
            <w:numPr>
              <w:ilvl w:val="0"/>
              <w:numId w:val="1"/>
            </w:numPr>
            <w:tabs>
              <w:tab w:val="left" w:pos="1218"/>
              <w:tab w:val="right" w:leader="dot" w:pos="8927"/>
            </w:tabs>
            <w:spacing w:before="706" w:after="0" w:line="240" w:lineRule="auto"/>
            <w:ind w:left="1217" w:right="0" w:hanging="202"/>
            <w:jc w:val="left"/>
            <w:rPr>
              <w:rFonts w:ascii="Times New Roman" w:eastAsia="Times New Roman"/>
            </w:rPr>
          </w:pPr>
          <w:r>
            <w:fldChar w:fldCharType="begin"/>
          </w:r>
          <w:r>
            <w:instrText xml:space="preserve"> HYPERLINK \l "_bookmark0" </w:instrText>
          </w:r>
          <w:r>
            <w:fldChar w:fldCharType="separate"/>
          </w:r>
          <w:r>
            <w:t>综述</w:t>
          </w:r>
          <w:r>
            <w:tab/>
          </w:r>
          <w:r>
            <w:rPr>
              <w:rFonts w:ascii="Times New Roman" w:eastAsia="Times New Roman"/>
            </w:rPr>
            <w:t>4</w:t>
          </w:r>
          <w:r>
            <w:rPr>
              <w:rFonts w:ascii="Times New Roman" w:eastAsia="Times New Roman"/>
            </w:rPr>
            <w:fldChar w:fldCharType="end"/>
          </w:r>
        </w:p>
        <w:p>
          <w:pPr>
            <w:pStyle w:val="14"/>
            <w:numPr>
              <w:ilvl w:val="1"/>
              <w:numId w:val="1"/>
            </w:numPr>
            <w:tabs>
              <w:tab w:val="left" w:pos="1367"/>
              <w:tab w:val="right" w:leader="dot" w:pos="8927"/>
            </w:tabs>
            <w:spacing w:before="133" w:after="0" w:line="240" w:lineRule="auto"/>
            <w:ind w:left="1366" w:right="0" w:hanging="351"/>
            <w:jc w:val="left"/>
            <w:rPr>
              <w:rFonts w:ascii="Times New Roman" w:eastAsia="Times New Roman"/>
            </w:rPr>
          </w:pPr>
          <w:r>
            <w:fldChar w:fldCharType="begin"/>
          </w:r>
          <w:r>
            <w:instrText xml:space="preserve"> HYPERLINK \l "_bookmark1" </w:instrText>
          </w:r>
          <w:r>
            <w:fldChar w:fldCharType="separate"/>
          </w:r>
          <w:r>
            <w:t>项目由来</w:t>
          </w:r>
          <w:r>
            <w:tab/>
          </w:r>
          <w:r>
            <w:rPr>
              <w:rFonts w:ascii="Times New Roman" w:eastAsia="Times New Roman"/>
            </w:rPr>
            <w:t>4</w:t>
          </w:r>
          <w:r>
            <w:rPr>
              <w:rFonts w:ascii="Times New Roman" w:eastAsia="Times New Roman"/>
            </w:rPr>
            <w:fldChar w:fldCharType="end"/>
          </w:r>
        </w:p>
        <w:p>
          <w:pPr>
            <w:pStyle w:val="14"/>
            <w:numPr>
              <w:ilvl w:val="1"/>
              <w:numId w:val="1"/>
            </w:numPr>
            <w:tabs>
              <w:tab w:val="left" w:pos="1367"/>
              <w:tab w:val="right" w:leader="dot" w:pos="8927"/>
            </w:tabs>
            <w:spacing w:before="132" w:after="0" w:line="240" w:lineRule="auto"/>
            <w:ind w:left="1366" w:right="0" w:hanging="351"/>
            <w:jc w:val="left"/>
            <w:rPr>
              <w:rFonts w:ascii="Times New Roman" w:eastAsia="Times New Roman"/>
            </w:rPr>
          </w:pPr>
          <w:r>
            <w:fldChar w:fldCharType="begin"/>
          </w:r>
          <w:r>
            <w:instrText xml:space="preserve"> HYPERLINK \l "_bookmark2" </w:instrText>
          </w:r>
          <w:r>
            <w:fldChar w:fldCharType="separate"/>
          </w:r>
          <w:r>
            <w:t>编制依据</w:t>
          </w:r>
          <w:r>
            <w:tab/>
          </w:r>
          <w:r>
            <w:rPr>
              <w:rFonts w:ascii="Times New Roman" w:eastAsia="Times New Roman"/>
            </w:rPr>
            <w:t>6</w:t>
          </w:r>
          <w:r>
            <w:rPr>
              <w:rFonts w:ascii="Times New Roman" w:eastAsia="Times New Roman"/>
            </w:rPr>
            <w:fldChar w:fldCharType="end"/>
          </w:r>
        </w:p>
        <w:p>
          <w:pPr>
            <w:pStyle w:val="14"/>
            <w:numPr>
              <w:ilvl w:val="1"/>
              <w:numId w:val="1"/>
            </w:numPr>
            <w:tabs>
              <w:tab w:val="left" w:pos="1367"/>
              <w:tab w:val="right" w:leader="dot" w:pos="8927"/>
            </w:tabs>
            <w:spacing w:before="135" w:after="0" w:line="240" w:lineRule="auto"/>
            <w:ind w:left="1366" w:right="0" w:hanging="351"/>
            <w:jc w:val="left"/>
            <w:rPr>
              <w:rFonts w:ascii="Times New Roman" w:eastAsia="Times New Roman"/>
            </w:rPr>
          </w:pPr>
          <w:r>
            <w:fldChar w:fldCharType="begin"/>
          </w:r>
          <w:r>
            <w:instrText xml:space="preserve"> HYPERLINK \l "_bookmark3" </w:instrText>
          </w:r>
          <w:r>
            <w:fldChar w:fldCharType="separate"/>
          </w:r>
          <w:r>
            <w:t>调查目的和调查原则</w:t>
          </w:r>
          <w:r>
            <w:tab/>
          </w:r>
          <w:r>
            <w:rPr>
              <w:rFonts w:ascii="Times New Roman" w:eastAsia="Times New Roman"/>
            </w:rPr>
            <w:t>7</w:t>
          </w:r>
          <w:r>
            <w:rPr>
              <w:rFonts w:ascii="Times New Roman" w:eastAsia="Times New Roman"/>
            </w:rPr>
            <w:fldChar w:fldCharType="end"/>
          </w:r>
        </w:p>
        <w:p>
          <w:pPr>
            <w:pStyle w:val="14"/>
            <w:numPr>
              <w:ilvl w:val="1"/>
              <w:numId w:val="1"/>
            </w:numPr>
            <w:tabs>
              <w:tab w:val="left" w:pos="1367"/>
              <w:tab w:val="right" w:leader="dot" w:pos="8927"/>
            </w:tabs>
            <w:spacing w:before="133" w:after="0" w:line="240" w:lineRule="auto"/>
            <w:ind w:left="1366" w:right="0" w:hanging="351"/>
            <w:jc w:val="left"/>
            <w:rPr>
              <w:rFonts w:ascii="Times New Roman" w:eastAsia="Times New Roman"/>
            </w:rPr>
          </w:pPr>
          <w:r>
            <w:fldChar w:fldCharType="begin"/>
          </w:r>
          <w:r>
            <w:instrText xml:space="preserve"> HYPERLINK \l "_bookmark4" </w:instrText>
          </w:r>
          <w:r>
            <w:fldChar w:fldCharType="separate"/>
          </w:r>
          <w:r>
            <w:t>调查方法</w:t>
          </w:r>
          <w:r>
            <w:tab/>
          </w:r>
          <w:r>
            <w:rPr>
              <w:rFonts w:ascii="Times New Roman" w:eastAsia="Times New Roman"/>
            </w:rPr>
            <w:t>8</w:t>
          </w:r>
          <w:r>
            <w:rPr>
              <w:rFonts w:ascii="Times New Roman" w:eastAsia="Times New Roman"/>
            </w:rPr>
            <w:fldChar w:fldCharType="end"/>
          </w:r>
        </w:p>
        <w:p>
          <w:pPr>
            <w:pStyle w:val="14"/>
            <w:numPr>
              <w:ilvl w:val="1"/>
              <w:numId w:val="1"/>
            </w:numPr>
            <w:tabs>
              <w:tab w:val="left" w:pos="1367"/>
              <w:tab w:val="right" w:leader="dot" w:pos="8927"/>
            </w:tabs>
            <w:spacing w:before="132" w:after="0" w:line="240" w:lineRule="auto"/>
            <w:ind w:left="1366" w:right="0" w:hanging="351"/>
            <w:jc w:val="left"/>
            <w:rPr>
              <w:rFonts w:ascii="Times New Roman" w:eastAsia="Times New Roman"/>
            </w:rPr>
          </w:pPr>
          <w:r>
            <w:fldChar w:fldCharType="begin"/>
          </w:r>
          <w:r>
            <w:instrText xml:space="preserve"> HYPERLINK \l "_bookmark5" </w:instrText>
          </w:r>
          <w:r>
            <w:fldChar w:fldCharType="separate"/>
          </w:r>
          <w:r>
            <w:t>调查范围</w:t>
          </w:r>
          <w:r>
            <w:tab/>
          </w:r>
          <w:r>
            <w:rPr>
              <w:rFonts w:ascii="Times New Roman" w:eastAsia="Times New Roman"/>
            </w:rPr>
            <w:t>8</w:t>
          </w:r>
          <w:r>
            <w:rPr>
              <w:rFonts w:ascii="Times New Roman" w:eastAsia="Times New Roman"/>
            </w:rPr>
            <w:fldChar w:fldCharType="end"/>
          </w:r>
        </w:p>
        <w:p>
          <w:pPr>
            <w:pStyle w:val="14"/>
            <w:numPr>
              <w:ilvl w:val="1"/>
              <w:numId w:val="1"/>
            </w:numPr>
            <w:tabs>
              <w:tab w:val="left" w:pos="1367"/>
              <w:tab w:val="right" w:leader="dot" w:pos="8927"/>
            </w:tabs>
            <w:spacing w:before="133" w:after="0" w:line="240" w:lineRule="auto"/>
            <w:ind w:left="1366" w:right="0" w:hanging="351"/>
            <w:jc w:val="left"/>
            <w:rPr>
              <w:rFonts w:ascii="Times New Roman" w:eastAsia="Times New Roman"/>
            </w:rPr>
          </w:pPr>
          <w:r>
            <w:fldChar w:fldCharType="begin"/>
          </w:r>
          <w:r>
            <w:instrText xml:space="preserve"> HYPERLINK \l "_bookmark6" </w:instrText>
          </w:r>
          <w:r>
            <w:fldChar w:fldCharType="separate"/>
          </w:r>
          <w:r>
            <w:t>调查因子</w:t>
          </w:r>
          <w:r>
            <w:tab/>
          </w:r>
          <w:r>
            <w:rPr>
              <w:rFonts w:ascii="Times New Roman" w:eastAsia="Times New Roman"/>
            </w:rPr>
            <w:t>8</w:t>
          </w:r>
          <w:r>
            <w:rPr>
              <w:rFonts w:ascii="Times New Roman" w:eastAsia="Times New Roman"/>
            </w:rPr>
            <w:fldChar w:fldCharType="end"/>
          </w:r>
        </w:p>
        <w:p>
          <w:pPr>
            <w:pStyle w:val="14"/>
            <w:numPr>
              <w:ilvl w:val="1"/>
              <w:numId w:val="1"/>
            </w:numPr>
            <w:tabs>
              <w:tab w:val="left" w:pos="1367"/>
              <w:tab w:val="right" w:leader="dot" w:pos="8927"/>
            </w:tabs>
            <w:spacing w:before="132" w:after="0" w:line="240" w:lineRule="auto"/>
            <w:ind w:left="1366" w:right="0" w:hanging="351"/>
            <w:jc w:val="left"/>
            <w:rPr>
              <w:rFonts w:ascii="Times New Roman" w:eastAsia="Times New Roman"/>
            </w:rPr>
          </w:pPr>
          <w:r>
            <w:fldChar w:fldCharType="begin"/>
          </w:r>
          <w:r>
            <w:instrText xml:space="preserve"> HYPERLINK \l "_bookmark7" </w:instrText>
          </w:r>
          <w:r>
            <w:fldChar w:fldCharType="separate"/>
          </w:r>
          <w:r>
            <w:t>调查重点和环境保护目标</w:t>
          </w:r>
          <w:r>
            <w:tab/>
          </w:r>
          <w:r>
            <w:rPr>
              <w:rFonts w:ascii="Times New Roman" w:eastAsia="Times New Roman"/>
            </w:rPr>
            <w:t>9</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eastAsia="Times New Roman"/>
            </w:rPr>
          </w:pPr>
          <w:r>
            <w:fldChar w:fldCharType="begin"/>
          </w:r>
          <w:r>
            <w:instrText xml:space="preserve"> HYPERLINK \l "_bookmark8" </w:instrText>
          </w:r>
          <w:r>
            <w:fldChar w:fldCharType="separate"/>
          </w:r>
          <w:r>
            <w:t>验收标准</w:t>
          </w:r>
          <w:r>
            <w:tab/>
          </w:r>
          <w:r>
            <w:rPr>
              <w:rFonts w:ascii="Times New Roman" w:eastAsia="Times New Roman"/>
            </w:rPr>
            <w:t>10</w:t>
          </w:r>
          <w:r>
            <w:rPr>
              <w:rFonts w:ascii="Times New Roman" w:eastAsia="Times New Roman"/>
            </w:rPr>
            <w:fldChar w:fldCharType="end"/>
          </w:r>
        </w:p>
        <w:p>
          <w:pPr>
            <w:pStyle w:val="13"/>
            <w:numPr>
              <w:ilvl w:val="0"/>
              <w:numId w:val="1"/>
            </w:numPr>
            <w:tabs>
              <w:tab w:val="left" w:pos="1218"/>
              <w:tab w:val="right" w:leader="dot" w:pos="8929"/>
            </w:tabs>
            <w:spacing w:before="132" w:after="0" w:line="240" w:lineRule="auto"/>
            <w:ind w:left="1217" w:right="0" w:hanging="202"/>
            <w:jc w:val="left"/>
            <w:rPr>
              <w:rFonts w:ascii="Times New Roman" w:eastAsia="Times New Roman"/>
            </w:rPr>
          </w:pPr>
          <w:r>
            <w:fldChar w:fldCharType="begin"/>
          </w:r>
          <w:r>
            <w:instrText xml:space="preserve"> HYPERLINK \l "_bookmark9" </w:instrText>
          </w:r>
          <w:r>
            <w:fldChar w:fldCharType="separate"/>
          </w:r>
          <w:r>
            <w:t>工程调查</w:t>
          </w:r>
          <w:r>
            <w:tab/>
          </w:r>
          <w:r>
            <w:rPr>
              <w:rFonts w:ascii="Times New Roman" w:eastAsia="Times New Roman"/>
            </w:rPr>
            <w:t>14</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eastAsia="Times New Roman"/>
            </w:rPr>
          </w:pPr>
          <w:r>
            <w:fldChar w:fldCharType="begin"/>
          </w:r>
          <w:r>
            <w:instrText xml:space="preserve"> HYPERLINK \l "_bookmark10" </w:instrText>
          </w:r>
          <w:r>
            <w:fldChar w:fldCharType="separate"/>
          </w:r>
          <w:r>
            <w:t>工程立项、设计与审批</w:t>
          </w:r>
          <w:r>
            <w:tab/>
          </w:r>
          <w:r>
            <w:rPr>
              <w:rFonts w:ascii="Times New Roman" w:eastAsia="Times New Roman"/>
            </w:rPr>
            <w:t>14</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eastAsia="Times New Roman"/>
            </w:rPr>
          </w:pPr>
          <w:r>
            <w:fldChar w:fldCharType="begin"/>
          </w:r>
          <w:r>
            <w:instrText xml:space="preserve"> HYPERLINK \l "_bookmark11" </w:instrText>
          </w:r>
          <w:r>
            <w:fldChar w:fldCharType="separate"/>
          </w:r>
          <w:r>
            <w:t>工程概况</w:t>
          </w:r>
          <w:r>
            <w:tab/>
          </w:r>
          <w:r>
            <w:rPr>
              <w:rFonts w:ascii="Times New Roman" w:eastAsia="Times New Roman"/>
            </w:rPr>
            <w:t>15</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"_bookmark12" </w:instrText>
          </w:r>
          <w:r>
            <w:fldChar w:fldCharType="separate"/>
          </w:r>
          <w:r>
            <w:t>工程变更及调整</w:t>
          </w:r>
          <w:r>
            <w:tab/>
          </w:r>
          <w:r>
            <w:rPr>
              <w:rFonts w:ascii="Times New Roman" w:eastAsia="Times New Roman"/>
            </w:rPr>
            <w:t>18</w:t>
          </w:r>
          <w:r>
            <w:rPr>
              <w:rFonts w:ascii="Times New Roman" w:eastAsia="Times New Roman"/>
            </w:rPr>
            <w:fldChar w:fldCharType="end"/>
          </w:r>
        </w:p>
        <w:p>
          <w:pPr>
            <w:pStyle w:val="13"/>
            <w:numPr>
              <w:ilvl w:val="0"/>
              <w:numId w:val="1"/>
            </w:numPr>
            <w:tabs>
              <w:tab w:val="left" w:pos="1218"/>
              <w:tab w:val="right" w:leader="dot" w:pos="8929"/>
            </w:tabs>
            <w:spacing w:before="133" w:after="0" w:line="240" w:lineRule="auto"/>
            <w:ind w:left="1217" w:right="0" w:hanging="202"/>
            <w:jc w:val="left"/>
            <w:rPr>
              <w:rFonts w:ascii="Times New Roman" w:eastAsia="Times New Roman"/>
            </w:rPr>
          </w:pPr>
          <w:r>
            <w:fldChar w:fldCharType="begin"/>
          </w:r>
          <w:r>
            <w:instrText xml:space="preserve"> HYPERLINK \l "_bookmark13" </w:instrText>
          </w:r>
          <w:r>
            <w:fldChar w:fldCharType="separate"/>
          </w:r>
          <w:r>
            <w:t>环境影响评价及相关批复要求回顾</w:t>
          </w:r>
          <w:r>
            <w:tab/>
          </w:r>
          <w:r>
            <w:rPr>
              <w:rFonts w:ascii="Times New Roman" w:eastAsia="Times New Roman"/>
            </w:rPr>
            <w:t>22</w:t>
          </w:r>
          <w:r>
            <w:rPr>
              <w:rFonts w:ascii="Times New Roman" w:eastAsia="Times New Roman"/>
            </w:rPr>
            <w:fldChar w:fldCharType="end"/>
          </w:r>
        </w:p>
        <w:p>
          <w:pPr>
            <w:pStyle w:val="14"/>
            <w:numPr>
              <w:ilvl w:val="1"/>
              <w:numId w:val="1"/>
            </w:numPr>
            <w:tabs>
              <w:tab w:val="left" w:pos="1367"/>
              <w:tab w:val="right" w:leader="dot" w:pos="8929"/>
            </w:tabs>
            <w:spacing w:before="135" w:after="0" w:line="240" w:lineRule="auto"/>
            <w:ind w:left="1366" w:right="0" w:hanging="351"/>
            <w:jc w:val="left"/>
            <w:rPr>
              <w:rFonts w:ascii="Times New Roman" w:eastAsia="Times New Roman"/>
            </w:rPr>
          </w:pPr>
          <w:r>
            <w:fldChar w:fldCharType="begin"/>
          </w:r>
          <w:r>
            <w:instrText xml:space="preserve"> HYPERLINK \l "_bookmark14" </w:instrText>
          </w:r>
          <w:r>
            <w:fldChar w:fldCharType="separate"/>
          </w:r>
          <w:r>
            <w:t>环境影响报告书内容回顾</w:t>
          </w:r>
          <w:r>
            <w:tab/>
          </w:r>
          <w:r>
            <w:rPr>
              <w:rFonts w:ascii="Times New Roman" w:eastAsia="Times New Roman"/>
            </w:rPr>
            <w:t>22</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"_bookmark15" </w:instrText>
          </w:r>
          <w:r>
            <w:fldChar w:fldCharType="separate"/>
          </w:r>
          <w:r>
            <w:t>环境影响报告书审批意见</w:t>
          </w:r>
          <w:r>
            <w:tab/>
          </w:r>
          <w:r>
            <w:rPr>
              <w:rFonts w:ascii="Times New Roman" w:eastAsia="Times New Roman"/>
            </w:rPr>
            <w:t>29</w:t>
          </w:r>
          <w:r>
            <w:rPr>
              <w:rFonts w:ascii="Times New Roman" w:eastAsia="Times New Roman"/>
            </w:rPr>
            <w:fldChar w:fldCharType="end"/>
          </w:r>
        </w:p>
        <w:p>
          <w:pPr>
            <w:pStyle w:val="13"/>
            <w:numPr>
              <w:ilvl w:val="0"/>
              <w:numId w:val="1"/>
            </w:numPr>
            <w:tabs>
              <w:tab w:val="left" w:pos="1218"/>
              <w:tab w:val="right" w:leader="dot" w:pos="8929"/>
            </w:tabs>
            <w:spacing w:before="133" w:after="0" w:line="240" w:lineRule="auto"/>
            <w:ind w:left="1217" w:right="0" w:hanging="202"/>
            <w:jc w:val="left"/>
            <w:rPr>
              <w:rFonts w:ascii="Times New Roman" w:eastAsia="Times New Roman"/>
            </w:rPr>
          </w:pPr>
          <w:r>
            <w:fldChar w:fldCharType="begin"/>
          </w:r>
          <w:r>
            <w:instrText xml:space="preserve"> HYPERLINK \l "_bookmark16" </w:instrText>
          </w:r>
          <w:r>
            <w:fldChar w:fldCharType="separate"/>
          </w:r>
          <w:r>
            <w:t>环境保护措施落实情况调查</w:t>
          </w:r>
          <w:r>
            <w:tab/>
          </w:r>
          <w:r>
            <w:rPr>
              <w:rFonts w:ascii="Times New Roman" w:eastAsia="Times New Roman"/>
            </w:rPr>
            <w:t>31</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"_bookmark17" </w:instrText>
          </w:r>
          <w:r>
            <w:fldChar w:fldCharType="separate"/>
          </w:r>
          <w:r>
            <w:t>环保措施落实情况</w:t>
          </w:r>
          <w:r>
            <w:tab/>
          </w:r>
          <w:r>
            <w:rPr>
              <w:rFonts w:ascii="Times New Roman" w:eastAsia="Times New Roman"/>
            </w:rPr>
            <w:t>31</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hAnsi="Times New Roman" w:eastAsia="Times New Roman"/>
            </w:rPr>
          </w:pPr>
          <w:r>
            <w:fldChar w:fldCharType="begin"/>
          </w:r>
          <w:r>
            <w:instrText xml:space="preserve"> HYPERLINK \l "_bookmark18" </w:instrText>
          </w:r>
          <w:r>
            <w:fldChar w:fldCharType="separate"/>
          </w:r>
          <w:r>
            <w:t>环保设施投资及“三同时”落实情况</w:t>
          </w:r>
          <w:r>
            <w:tab/>
          </w:r>
          <w:r>
            <w:rPr>
              <w:rFonts w:ascii="Times New Roman" w:hAnsi="Times New Roman" w:eastAsia="Times New Roman"/>
            </w:rPr>
            <w:t>33</w:t>
          </w:r>
          <w:r>
            <w:rPr>
              <w:rFonts w:ascii="Times New Roman" w:hAnsi="Times New Roman" w:eastAsia="Times New Roman"/>
            </w:rPr>
            <w:fldChar w:fldCharType="end"/>
          </w:r>
        </w:p>
        <w:p>
          <w:pPr>
            <w:pStyle w:val="13"/>
            <w:numPr>
              <w:ilvl w:val="0"/>
              <w:numId w:val="1"/>
            </w:numPr>
            <w:tabs>
              <w:tab w:val="left" w:pos="1218"/>
              <w:tab w:val="right" w:leader="dot" w:pos="8929"/>
            </w:tabs>
            <w:spacing w:before="132" w:after="0" w:line="240" w:lineRule="auto"/>
            <w:ind w:left="1217" w:right="0" w:hanging="202"/>
            <w:jc w:val="left"/>
            <w:rPr>
              <w:rFonts w:ascii="Times New Roman" w:eastAsia="Times New Roman"/>
            </w:rPr>
          </w:pPr>
          <w:r>
            <w:fldChar w:fldCharType="begin"/>
          </w:r>
          <w:r>
            <w:instrText xml:space="preserve"> HYPERLINK \l "_bookmark19" </w:instrText>
          </w:r>
          <w:r>
            <w:fldChar w:fldCharType="separate"/>
          </w:r>
          <w:r>
            <w:t>环境影响调查</w:t>
          </w:r>
          <w:r>
            <w:tab/>
          </w:r>
          <w:r>
            <w:rPr>
              <w:rFonts w:ascii="Times New Roman" w:eastAsia="Times New Roman"/>
            </w:rPr>
            <w:t>37</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eastAsia="Times New Roman"/>
            </w:rPr>
          </w:pPr>
          <w:r>
            <w:fldChar w:fldCharType="begin"/>
          </w:r>
          <w:r>
            <w:instrText xml:space="preserve"> HYPERLINK \l "_bookmark20" </w:instrText>
          </w:r>
          <w:r>
            <w:fldChar w:fldCharType="separate"/>
          </w:r>
          <w:r>
            <w:t>生态环境影响调查</w:t>
          </w:r>
          <w:r>
            <w:tab/>
          </w:r>
          <w:r>
            <w:rPr>
              <w:rFonts w:ascii="Times New Roman" w:eastAsia="Times New Roman"/>
            </w:rPr>
            <w:t>37</w:t>
          </w:r>
          <w:r>
            <w:rPr>
              <w:rFonts w:ascii="Times New Roman" w:eastAsia="Times New Roman"/>
            </w:rPr>
            <w:fldChar w:fldCharType="end"/>
          </w:r>
        </w:p>
        <w:p>
          <w:pPr>
            <w:pStyle w:val="14"/>
            <w:numPr>
              <w:ilvl w:val="1"/>
              <w:numId w:val="1"/>
            </w:numPr>
            <w:tabs>
              <w:tab w:val="left" w:pos="1367"/>
              <w:tab w:val="right" w:leader="dot" w:pos="8929"/>
            </w:tabs>
            <w:spacing w:before="135" w:after="0" w:line="240" w:lineRule="auto"/>
            <w:ind w:left="1366" w:right="0" w:hanging="351"/>
            <w:jc w:val="left"/>
            <w:rPr>
              <w:rFonts w:ascii="Times New Roman" w:eastAsia="Times New Roman"/>
            </w:rPr>
          </w:pPr>
          <w:r>
            <w:fldChar w:fldCharType="begin"/>
          </w:r>
          <w:r>
            <w:instrText xml:space="preserve"> HYPERLINK \l "_bookmark21" </w:instrText>
          </w:r>
          <w:r>
            <w:fldChar w:fldCharType="separate"/>
          </w:r>
          <w:r>
            <w:t>水文情势影响调查</w:t>
          </w:r>
          <w:r>
            <w:tab/>
          </w:r>
          <w:r>
            <w:rPr>
              <w:rFonts w:ascii="Times New Roman" w:eastAsia="Times New Roman"/>
            </w:rPr>
            <w:t>38</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"_bookmark22" </w:instrText>
          </w:r>
          <w:r>
            <w:fldChar w:fldCharType="separate"/>
          </w:r>
          <w:r>
            <w:t>环境污染影响调查</w:t>
          </w:r>
          <w:r>
            <w:tab/>
          </w:r>
          <w:r>
            <w:rPr>
              <w:rFonts w:ascii="Times New Roman" w:eastAsia="Times New Roman"/>
            </w:rPr>
            <w:t>39</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eastAsia="Times New Roman"/>
            </w:rPr>
          </w:pPr>
          <w:r>
            <w:fldChar w:fldCharType="begin"/>
          </w:r>
          <w:r>
            <w:instrText xml:space="preserve"> HYPERLINK \l "_bookmark23" </w:instrText>
          </w:r>
          <w:r>
            <w:fldChar w:fldCharType="separate"/>
          </w:r>
          <w:r>
            <w:t>社会环境影响调查</w:t>
          </w:r>
          <w:r>
            <w:tab/>
          </w:r>
          <w:r>
            <w:rPr>
              <w:rFonts w:ascii="Times New Roman" w:eastAsia="Times New Roman"/>
            </w:rPr>
            <w:t>42</w:t>
          </w:r>
          <w:r>
            <w:rPr>
              <w:rFonts w:ascii="Times New Roman" w:eastAsia="Times New Roman"/>
            </w:rPr>
            <w:fldChar w:fldCharType="end"/>
          </w:r>
        </w:p>
        <w:p>
          <w:pPr>
            <w:pStyle w:val="13"/>
            <w:numPr>
              <w:ilvl w:val="0"/>
              <w:numId w:val="1"/>
            </w:numPr>
            <w:tabs>
              <w:tab w:val="left" w:pos="1218"/>
              <w:tab w:val="right" w:leader="dot" w:pos="8929"/>
            </w:tabs>
            <w:spacing w:before="133" w:after="0" w:line="240" w:lineRule="auto"/>
            <w:ind w:left="1217" w:right="0" w:hanging="202"/>
            <w:jc w:val="left"/>
            <w:rPr>
              <w:rFonts w:ascii="Times New Roman" w:eastAsia="Times New Roman"/>
            </w:rPr>
          </w:pPr>
          <w:r>
            <w:fldChar w:fldCharType="begin"/>
          </w:r>
          <w:r>
            <w:instrText xml:space="preserve"> HYPERLINK \l "_bookmark24" </w:instrText>
          </w:r>
          <w:r>
            <w:fldChar w:fldCharType="separate"/>
          </w:r>
          <w:r>
            <w:t>环境风险事故防范及应急措施调查</w:t>
          </w:r>
          <w:r>
            <w:tab/>
          </w:r>
          <w:r>
            <w:rPr>
              <w:rFonts w:ascii="Times New Roman" w:eastAsia="Times New Roman"/>
            </w:rPr>
            <w:t>43</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"_bookmark25" </w:instrText>
          </w:r>
          <w:r>
            <w:fldChar w:fldCharType="separate"/>
          </w:r>
          <w:r>
            <w:t>电站存在的环境风险</w:t>
          </w:r>
          <w:r>
            <w:tab/>
          </w:r>
          <w:r>
            <w:rPr>
              <w:rFonts w:ascii="Times New Roman" w:eastAsia="Times New Roman"/>
            </w:rPr>
            <w:t>43</w:t>
          </w:r>
          <w:r>
            <w:rPr>
              <w:rFonts w:ascii="Times New Roman" w:eastAsia="Times New Roman"/>
            </w:rPr>
            <w:fldChar w:fldCharType="end"/>
          </w:r>
        </w:p>
        <w:p>
          <w:pPr>
            <w:pStyle w:val="14"/>
            <w:numPr>
              <w:ilvl w:val="1"/>
              <w:numId w:val="1"/>
            </w:numPr>
            <w:tabs>
              <w:tab w:val="left" w:pos="1367"/>
              <w:tab w:val="right" w:leader="dot" w:pos="8929"/>
            </w:tabs>
            <w:spacing w:before="133" w:after="0" w:line="240" w:lineRule="auto"/>
            <w:ind w:left="1366" w:right="0" w:hanging="351"/>
            <w:jc w:val="left"/>
            <w:rPr>
              <w:rFonts w:ascii="Times New Roman" w:eastAsia="Times New Roman"/>
            </w:rPr>
          </w:pPr>
          <w:r>
            <w:fldChar w:fldCharType="begin"/>
          </w:r>
          <w:r>
            <w:instrText xml:space="preserve"> HYPERLINK \l "_bookmark26" </w:instrText>
          </w:r>
          <w:r>
            <w:fldChar w:fldCharType="separate"/>
          </w:r>
          <w:r>
            <w:t>电站开工建设以来发生的环境风险事故调查</w:t>
          </w:r>
          <w:r>
            <w:tab/>
          </w:r>
          <w:r>
            <w:rPr>
              <w:rFonts w:ascii="Times New Roman" w:eastAsia="Times New Roman"/>
            </w:rPr>
            <w:t>43</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"_bookmark27" </w:instrText>
          </w:r>
          <w:r>
            <w:fldChar w:fldCharType="separate"/>
          </w:r>
          <w:r>
            <w:t>电站环境风险事故应急预案的机构设置</w:t>
          </w:r>
          <w:r>
            <w:tab/>
          </w:r>
          <w:r>
            <w:rPr>
              <w:rFonts w:ascii="Times New Roman" w:eastAsia="Times New Roman"/>
            </w:rPr>
            <w:t>43</w:t>
          </w:r>
          <w:r>
            <w:rPr>
              <w:rFonts w:ascii="Times New Roman" w:eastAsia="Times New Roman"/>
            </w:rPr>
            <w:fldChar w:fldCharType="end"/>
          </w:r>
        </w:p>
        <w:p>
          <w:pPr>
            <w:pStyle w:val="13"/>
            <w:numPr>
              <w:ilvl w:val="0"/>
              <w:numId w:val="1"/>
            </w:numPr>
            <w:tabs>
              <w:tab w:val="left" w:pos="1218"/>
              <w:tab w:val="right" w:leader="dot" w:pos="8929"/>
            </w:tabs>
            <w:spacing w:before="133" w:after="0" w:line="240" w:lineRule="auto"/>
            <w:ind w:left="1217" w:right="0" w:hanging="202"/>
            <w:jc w:val="left"/>
            <w:rPr>
              <w:rFonts w:ascii="Times New Roman" w:eastAsia="Times New Roman"/>
            </w:rPr>
          </w:pPr>
          <w:r>
            <w:fldChar w:fldCharType="begin"/>
          </w:r>
          <w:r>
            <w:instrText xml:space="preserve"> HYPERLINK \l "_bookmark28" </w:instrText>
          </w:r>
          <w:r>
            <w:fldChar w:fldCharType="separate"/>
          </w:r>
          <w:r>
            <w:t>环境管理检查调查</w:t>
          </w:r>
          <w:r>
            <w:tab/>
          </w:r>
          <w:r>
            <w:rPr>
              <w:rFonts w:ascii="Times New Roman" w:eastAsia="Times New Roman"/>
            </w:rPr>
            <w:t>45</w:t>
          </w:r>
          <w:r>
            <w:rPr>
              <w:rFonts w:ascii="Times New Roman" w:eastAsia="Times New Roman"/>
            </w:rPr>
            <w:fldChar w:fldCharType="end"/>
          </w:r>
        </w:p>
        <w:p>
          <w:pPr>
            <w:pStyle w:val="14"/>
            <w:numPr>
              <w:ilvl w:val="1"/>
              <w:numId w:val="1"/>
            </w:numPr>
            <w:tabs>
              <w:tab w:val="left" w:pos="1367"/>
              <w:tab w:val="right" w:leader="dot" w:pos="8929"/>
            </w:tabs>
            <w:spacing w:before="132" w:after="0" w:line="240" w:lineRule="auto"/>
            <w:ind w:left="1366" w:right="0" w:hanging="351"/>
            <w:jc w:val="left"/>
            <w:rPr>
              <w:rFonts w:ascii="Times New Roman" w:eastAsia="Times New Roman"/>
            </w:rPr>
          </w:pPr>
          <w:r>
            <w:fldChar w:fldCharType="begin"/>
          </w:r>
          <w:r>
            <w:instrText xml:space="preserve"> HYPERLINK \l "_bookmark29" </w:instrText>
          </w:r>
          <w:r>
            <w:fldChar w:fldCharType="separate"/>
          </w:r>
          <w:r>
            <w:t>环境管理</w:t>
          </w:r>
          <w:r>
            <w:tab/>
          </w:r>
          <w:r>
            <w:rPr>
              <w:rFonts w:ascii="Times New Roman" w:eastAsia="Times New Roman"/>
            </w:rPr>
            <w:t>45</w:t>
          </w:r>
          <w:r>
            <w:rPr>
              <w:rFonts w:ascii="Times New Roman" w:eastAsia="Times New Roman"/>
            </w:rPr>
            <w:fldChar w:fldCharType="end"/>
          </w:r>
        </w:p>
        <w:p>
          <w:pPr>
            <w:pStyle w:val="14"/>
            <w:numPr>
              <w:ilvl w:val="1"/>
              <w:numId w:val="1"/>
            </w:numPr>
            <w:tabs>
              <w:tab w:val="left" w:pos="1367"/>
              <w:tab w:val="right" w:leader="dot" w:pos="8929"/>
            </w:tabs>
            <w:spacing w:before="133" w:after="20" w:line="240" w:lineRule="auto"/>
            <w:ind w:left="1366" w:right="0" w:hanging="351"/>
            <w:jc w:val="left"/>
            <w:rPr>
              <w:rFonts w:ascii="Times New Roman" w:eastAsia="Times New Roman"/>
            </w:rPr>
          </w:pPr>
          <w:r>
            <w:fldChar w:fldCharType="begin"/>
          </w:r>
          <w:r>
            <w:instrText xml:space="preserve"> HYPERLINK \l "_bookmark30" </w:instrText>
          </w:r>
          <w:r>
            <w:fldChar w:fldCharType="separate"/>
          </w:r>
          <w:r>
            <w:t>环境监理、监察</w:t>
          </w:r>
          <w:r>
            <w:tab/>
          </w:r>
          <w:r>
            <w:rPr>
              <w:rFonts w:ascii="Times New Roman" w:eastAsia="Times New Roman"/>
            </w:rPr>
            <w:t>46</w:t>
          </w:r>
          <w:r>
            <w:rPr>
              <w:rFonts w:ascii="Times New Roman" w:eastAsia="Times New Roman"/>
            </w:rPr>
            <w:fldChar w:fldCharType="end"/>
          </w:r>
        </w:p>
        <w:p>
          <w:pPr>
            <w:pStyle w:val="13"/>
            <w:numPr>
              <w:ilvl w:val="0"/>
              <w:numId w:val="1"/>
            </w:numPr>
            <w:tabs>
              <w:tab w:val="left" w:pos="1218"/>
              <w:tab w:val="left" w:leader="dot" w:pos="8729"/>
            </w:tabs>
            <w:spacing w:before="64" w:after="0" w:line="240" w:lineRule="auto"/>
            <w:ind w:left="1217" w:right="0" w:hanging="202"/>
            <w:jc w:val="left"/>
            <w:rPr>
              <w:rFonts w:ascii="Times New Roman" w:eastAsia="Times New Roman"/>
            </w:rPr>
          </w:pPr>
          <w:r>
            <w:fldChar w:fldCharType="begin"/>
          </w:r>
          <w:r>
            <w:instrText xml:space="preserve"> HYPERLINK \l "_bookmark31" </w:instrText>
          </w:r>
          <w:r>
            <w:fldChar w:fldCharType="separate"/>
          </w:r>
          <w:r>
            <w:t>公众意见调查</w:t>
          </w:r>
          <w:r>
            <w:tab/>
          </w:r>
          <w:r>
            <w:rPr>
              <w:rFonts w:ascii="Times New Roman" w:eastAsia="Times New Roman"/>
            </w:rPr>
            <w:t>47</w:t>
          </w:r>
          <w:r>
            <w:rPr>
              <w:rFonts w:ascii="Times New Roman" w:eastAsia="Times New Roman"/>
            </w:rPr>
            <w:fldChar w:fldCharType="end"/>
          </w:r>
        </w:p>
        <w:p>
          <w:pPr>
            <w:pStyle w:val="13"/>
            <w:numPr>
              <w:ilvl w:val="0"/>
              <w:numId w:val="1"/>
            </w:numPr>
            <w:tabs>
              <w:tab w:val="left" w:pos="1218"/>
              <w:tab w:val="left" w:leader="dot" w:pos="8729"/>
            </w:tabs>
            <w:spacing w:before="133" w:after="0" w:line="240" w:lineRule="auto"/>
            <w:ind w:left="1217" w:right="0" w:hanging="202"/>
            <w:jc w:val="left"/>
            <w:rPr>
              <w:rFonts w:ascii="Times New Roman" w:eastAsia="Times New Roman"/>
            </w:rPr>
          </w:pPr>
          <w:r>
            <w:fldChar w:fldCharType="begin"/>
          </w:r>
          <w:r>
            <w:instrText xml:space="preserve"> HYPERLINK \l "_bookmark32" </w:instrText>
          </w:r>
          <w:r>
            <w:fldChar w:fldCharType="separate"/>
          </w:r>
          <w:r>
            <w:t>调查结论和建议</w:t>
          </w:r>
          <w:r>
            <w:tab/>
          </w:r>
          <w:r>
            <w:rPr>
              <w:rFonts w:ascii="Times New Roman" w:eastAsia="Times New Roman"/>
            </w:rPr>
            <w:t>48</w:t>
          </w:r>
          <w:r>
            <w:rPr>
              <w:rFonts w:ascii="Times New Roman" w:eastAsia="Times New Roman"/>
            </w:rPr>
            <w:fldChar w:fldCharType="end"/>
          </w:r>
        </w:p>
        <w:p>
          <w:pPr>
            <w:pStyle w:val="14"/>
            <w:numPr>
              <w:ilvl w:val="1"/>
              <w:numId w:val="1"/>
            </w:numPr>
            <w:tabs>
              <w:tab w:val="left" w:pos="1367"/>
              <w:tab w:val="left" w:leader="dot" w:pos="8729"/>
            </w:tabs>
            <w:spacing w:before="132" w:after="0" w:line="240" w:lineRule="auto"/>
            <w:ind w:left="1366" w:right="0" w:hanging="351"/>
            <w:jc w:val="left"/>
            <w:rPr>
              <w:rFonts w:ascii="Times New Roman" w:eastAsia="Times New Roman"/>
            </w:rPr>
          </w:pPr>
          <w:r>
            <w:fldChar w:fldCharType="begin"/>
          </w:r>
          <w:r>
            <w:instrText xml:space="preserve"> HYPERLINK \l "_bookmark33" </w:instrText>
          </w:r>
          <w:r>
            <w:fldChar w:fldCharType="separate"/>
          </w:r>
          <w:r>
            <w:t>基本结论</w:t>
          </w:r>
          <w:r>
            <w:tab/>
          </w:r>
          <w:r>
            <w:rPr>
              <w:rFonts w:ascii="Times New Roman" w:eastAsia="Times New Roman"/>
            </w:rPr>
            <w:t>48</w:t>
          </w:r>
          <w:r>
            <w:rPr>
              <w:rFonts w:ascii="Times New Roman" w:eastAsia="Times New Roman"/>
            </w:rPr>
            <w:fldChar w:fldCharType="end"/>
          </w:r>
        </w:p>
        <w:p>
          <w:pPr>
            <w:pStyle w:val="14"/>
            <w:numPr>
              <w:ilvl w:val="1"/>
              <w:numId w:val="1"/>
            </w:numPr>
            <w:tabs>
              <w:tab w:val="left" w:pos="1367"/>
              <w:tab w:val="left" w:leader="dot" w:pos="8729"/>
            </w:tabs>
            <w:spacing w:before="133" w:after="0" w:line="240" w:lineRule="auto"/>
            <w:ind w:left="1366" w:right="0" w:hanging="351"/>
            <w:jc w:val="left"/>
            <w:rPr>
              <w:rFonts w:ascii="Times New Roman" w:eastAsia="Times New Roman"/>
            </w:rPr>
          </w:pPr>
          <w:r>
            <w:fldChar w:fldCharType="begin"/>
          </w:r>
          <w:r>
            <w:instrText xml:space="preserve"> HYPERLINK \l "_bookmark34" </w:instrText>
          </w:r>
          <w:r>
            <w:fldChar w:fldCharType="separate"/>
          </w:r>
          <w:r>
            <w:t>后续建议</w:t>
          </w:r>
          <w:r>
            <w:tab/>
          </w:r>
          <w:r>
            <w:rPr>
              <w:rFonts w:ascii="Times New Roman" w:eastAsia="Times New Roman"/>
            </w:rPr>
            <w:t>51</w:t>
          </w:r>
          <w:r>
            <w:rPr>
              <w:rFonts w:ascii="Times New Roman" w:eastAsia="Times New Roman"/>
            </w:rPr>
            <w:fldChar w:fldCharType="end"/>
          </w:r>
        </w:p>
        <w:p>
          <w:pPr>
            <w:pStyle w:val="14"/>
            <w:numPr>
              <w:ilvl w:val="1"/>
              <w:numId w:val="1"/>
            </w:numPr>
            <w:tabs>
              <w:tab w:val="left" w:pos="1367"/>
              <w:tab w:val="left" w:leader="dot" w:pos="8729"/>
            </w:tabs>
            <w:spacing w:before="132" w:after="0" w:line="240" w:lineRule="auto"/>
            <w:ind w:left="1366" w:right="0" w:hanging="351"/>
            <w:jc w:val="left"/>
            <w:rPr>
              <w:rFonts w:ascii="Times New Roman" w:eastAsia="Times New Roman"/>
            </w:rPr>
          </w:pPr>
          <w:r>
            <w:fldChar w:fldCharType="begin"/>
          </w:r>
          <w:r>
            <w:instrText xml:space="preserve"> HYPERLINK \l "_bookmark35" </w:instrText>
          </w:r>
          <w:r>
            <w:fldChar w:fldCharType="separate"/>
          </w:r>
          <w:r>
            <w:t>验收结论</w:t>
          </w:r>
          <w:r>
            <w:tab/>
          </w:r>
          <w:r>
            <w:rPr>
              <w:rFonts w:ascii="Times New Roman" w:eastAsia="Times New Roman"/>
            </w:rPr>
            <w:t>51</w:t>
          </w:r>
          <w:r>
            <w:rPr>
              <w:rFonts w:ascii="Times New Roman" w:eastAsia="Times New Roman"/>
            </w:rPr>
            <w:fldChar w:fldCharType="end"/>
          </w:r>
        </w:p>
        <w:p>
          <w:pPr>
            <w:pStyle w:val="13"/>
            <w:tabs>
              <w:tab w:val="left" w:leader="dot" w:pos="8729"/>
            </w:tabs>
            <w:spacing w:before="133"/>
            <w:rPr>
              <w:rFonts w:ascii="Times New Roman" w:hAnsi="Times New Roman" w:eastAsia="Times New Roman"/>
            </w:rPr>
          </w:pPr>
          <w:r>
            <w:fldChar w:fldCharType="begin"/>
          </w:r>
          <w:r>
            <w:instrText xml:space="preserve"> HYPERLINK \l "_bookmark36" </w:instrText>
          </w:r>
          <w:r>
            <w:fldChar w:fldCharType="separate"/>
          </w:r>
          <w:r>
            <w:t>建设项目竣工环境保护“三同时”验收登记表</w:t>
          </w:r>
          <w:r>
            <w:tab/>
          </w:r>
          <w:r>
            <w:rPr>
              <w:rFonts w:ascii="Times New Roman" w:hAnsi="Times New Roman" w:eastAsia="Times New Roman"/>
            </w:rPr>
            <w:t>52</w:t>
          </w:r>
          <w:r>
            <w:rPr>
              <w:rFonts w:ascii="Times New Roman" w:hAnsi="Times New Roman" w:eastAsia="Times New Roman"/>
            </w:rPr>
            <w:fldChar w:fldCharType="end"/>
          </w:r>
        </w:p>
        <w:p>
          <w:pPr>
            <w:pStyle w:val="13"/>
            <w:tabs>
              <w:tab w:val="left" w:leader="dot" w:pos="8729"/>
            </w:tabs>
            <w:spacing w:before="133"/>
            <w:rPr>
              <w:rFonts w:ascii="Times New Roman" w:eastAsia="Times New Roman"/>
            </w:rPr>
          </w:pPr>
          <w:r>
            <w:fldChar w:fldCharType="begin"/>
          </w:r>
          <w:r>
            <w:instrText xml:space="preserve"> HYPERLINK \l "_bookmark37" </w:instrText>
          </w:r>
          <w:r>
            <w:fldChar w:fldCharType="separate"/>
          </w:r>
          <w:r>
            <w:t>附件</w:t>
          </w:r>
          <w:r>
            <w:rPr>
              <w:spacing w:val="-53"/>
            </w:rPr>
            <w:t xml:space="preserve"> </w:t>
          </w:r>
          <w:r>
            <w:rPr>
              <w:rFonts w:ascii="Times New Roman" w:eastAsia="Times New Roman"/>
            </w:rPr>
            <w:t xml:space="preserve">1 </w:t>
          </w:r>
          <w:r>
            <w:t>验收委托书</w:t>
          </w:r>
          <w:r>
            <w:tab/>
          </w:r>
          <w:r>
            <w:rPr>
              <w:rFonts w:ascii="Times New Roman" w:eastAsia="Times New Roman"/>
            </w:rPr>
            <w:t>53</w:t>
          </w:r>
          <w:r>
            <w:rPr>
              <w:rFonts w:ascii="Times New Roman" w:eastAsia="Times New Roman"/>
            </w:rPr>
            <w:fldChar w:fldCharType="end"/>
          </w:r>
        </w:p>
        <w:p>
          <w:pPr>
            <w:pStyle w:val="13"/>
            <w:tabs>
              <w:tab w:val="left" w:leader="dot" w:pos="8729"/>
            </w:tabs>
            <w:spacing w:line="364" w:lineRule="auto"/>
            <w:ind w:left="617" w:right="610" w:firstLine="398"/>
            <w:rPr>
              <w:rFonts w:ascii="Times New Roman" w:eastAsia="Times New Roman"/>
            </w:rPr>
          </w:pPr>
          <w:r>
            <w:fldChar w:fldCharType="begin"/>
          </w:r>
          <w:r>
            <w:instrText xml:space="preserve"> HYPERLINK \l "_bookmark38" </w:instrText>
          </w:r>
          <w:r>
            <w:fldChar w:fldCharType="separate"/>
          </w:r>
          <w:r>
            <w:t>附</w:t>
          </w:r>
          <w:r>
            <w:fldChar w:fldCharType="end"/>
          </w:r>
          <w:r>
            <w:fldChar w:fldCharType="begin"/>
          </w:r>
          <w:r>
            <w:instrText xml:space="preserve"> HYPERLINK \l "_bookmark38" </w:instrText>
          </w:r>
          <w:r>
            <w:fldChar w:fldCharType="separate"/>
          </w:r>
          <w:r>
            <w:t>件</w:t>
          </w:r>
          <w:r>
            <w:rPr>
              <w:spacing w:val="-52"/>
            </w:rPr>
            <w:t xml:space="preserve"> </w:t>
          </w:r>
          <w:r>
            <w:rPr>
              <w:rFonts w:ascii="Times New Roman" w:eastAsia="Times New Roman"/>
            </w:rPr>
            <w:t>2</w:t>
          </w:r>
          <w:r>
            <w:rPr>
              <w:rFonts w:ascii="Times New Roman" w:eastAsia="Times New Roman"/>
              <w:spacing w:val="-2"/>
            </w:rPr>
            <w:t xml:space="preserve"> </w:t>
          </w:r>
          <w:r>
            <w:rPr>
              <w:rFonts w:hint="eastAsia"/>
              <w:lang w:eastAsia="zh-CN"/>
            </w:rPr>
            <w:t>赣州市崇义生态环境</w:t>
          </w:r>
          <w:r>
            <w:rPr>
              <w:spacing w:val="-39"/>
            </w:rPr>
            <w:t>局</w:t>
          </w:r>
          <w:r>
            <w:rPr>
              <w:rFonts w:hint="eastAsia"/>
              <w:b/>
              <w:bCs/>
              <w:spacing w:val="0"/>
            </w:rPr>
            <w:t>《关于</w:t>
          </w:r>
          <w:r>
            <w:rPr>
              <w:rFonts w:hint="eastAsia"/>
              <w:b/>
              <w:bCs/>
              <w:spacing w:val="0"/>
              <w:lang w:eastAsia="zh-CN"/>
            </w:rPr>
            <w:t>崇义县上堡人形水电站工程</w:t>
          </w:r>
          <w:r>
            <w:rPr>
              <w:rFonts w:hint="eastAsia"/>
              <w:b/>
              <w:bCs/>
              <w:spacing w:val="0"/>
            </w:rPr>
            <w:t>项目环境影响报告书的批复》（</w:t>
          </w:r>
          <w:r>
            <w:rPr>
              <w:rFonts w:hint="eastAsia"/>
              <w:b/>
              <w:bCs/>
              <w:spacing w:val="0"/>
              <w:lang w:eastAsia="zh-CN"/>
            </w:rPr>
            <w:t>崇</w:t>
          </w:r>
          <w:r>
            <w:rPr>
              <w:rFonts w:hint="eastAsia"/>
              <w:b/>
              <w:bCs/>
              <w:spacing w:val="0"/>
            </w:rPr>
            <w:t>环</w:t>
          </w:r>
          <w:r>
            <w:rPr>
              <w:rFonts w:hint="eastAsia"/>
              <w:b/>
              <w:bCs/>
              <w:spacing w:val="0"/>
              <w:lang w:eastAsia="zh-CN"/>
            </w:rPr>
            <w:t>审</w:t>
          </w:r>
          <w:r>
            <w:rPr>
              <w:rFonts w:hint="eastAsia"/>
              <w:b/>
              <w:bCs/>
              <w:spacing w:val="0"/>
            </w:rPr>
            <w:t>字[2020]</w:t>
          </w:r>
          <w:r>
            <w:rPr>
              <w:rFonts w:hint="eastAsia"/>
              <w:b/>
              <w:bCs/>
              <w:spacing w:val="0"/>
              <w:lang w:val="en-US" w:eastAsia="zh-CN"/>
            </w:rPr>
            <w:t>74</w:t>
          </w:r>
          <w:r>
            <w:rPr>
              <w:rFonts w:hint="eastAsia"/>
              <w:b/>
              <w:bCs/>
              <w:spacing w:val="0"/>
            </w:rPr>
            <w:t>号）</w:t>
          </w:r>
          <w:r>
            <w:fldChar w:fldCharType="end"/>
          </w:r>
          <w:r>
            <w:tab/>
          </w:r>
          <w:r>
            <w:rPr>
              <w:rFonts w:ascii="Times New Roman" w:eastAsia="Times New Roman"/>
            </w:rPr>
            <w:t>54</w:t>
          </w:r>
        </w:p>
        <w:p>
          <w:pPr>
            <w:pStyle w:val="13"/>
            <w:tabs>
              <w:tab w:val="left" w:leader="dot" w:pos="8729"/>
            </w:tabs>
            <w:spacing w:before="0" w:line="255" w:lineRule="exact"/>
            <w:rPr>
              <w:rFonts w:ascii="Times New Roman" w:eastAsia="Times New Roman"/>
            </w:rPr>
          </w:pPr>
          <w:r>
            <w:fldChar w:fldCharType="begin"/>
          </w:r>
          <w:r>
            <w:instrText xml:space="preserve"> HYPERLINK \l "_bookmark39" </w:instrText>
          </w:r>
          <w:r>
            <w:fldChar w:fldCharType="separate"/>
          </w:r>
          <w:r>
            <w:t>附件</w:t>
          </w:r>
          <w:r>
            <w:rPr>
              <w:spacing w:val="-53"/>
            </w:rPr>
            <w:t xml:space="preserve"> </w:t>
          </w:r>
          <w:r>
            <w:rPr>
              <w:rFonts w:ascii="Times New Roman" w:eastAsia="Times New Roman"/>
            </w:rPr>
            <w:t xml:space="preserve">3 </w:t>
          </w:r>
          <w:r>
            <w:t>工况证明</w:t>
          </w:r>
          <w:r>
            <w:tab/>
          </w:r>
          <w:r>
            <w:rPr>
              <w:rFonts w:ascii="Times New Roman" w:eastAsia="Times New Roman"/>
            </w:rPr>
            <w:t>57</w:t>
          </w:r>
          <w:r>
            <w:rPr>
              <w:rFonts w:ascii="Times New Roman" w:eastAsia="Times New Roman"/>
            </w:rPr>
            <w:fldChar w:fldCharType="end"/>
          </w:r>
        </w:p>
        <w:p>
          <w:pPr>
            <w:pStyle w:val="13"/>
            <w:tabs>
              <w:tab w:val="left" w:leader="dot" w:pos="8729"/>
            </w:tabs>
            <w:spacing w:before="135"/>
            <w:rPr>
              <w:rFonts w:ascii="Times New Roman" w:eastAsia="Times New Roman"/>
            </w:rPr>
          </w:pPr>
          <w:r>
            <w:fldChar w:fldCharType="begin"/>
          </w:r>
          <w:r>
            <w:instrText xml:space="preserve"> HYPERLINK \l "_bookmark40" </w:instrText>
          </w:r>
          <w:r>
            <w:fldChar w:fldCharType="separate"/>
          </w:r>
          <w:r>
            <w:t>附件</w:t>
          </w:r>
          <w:r>
            <w:rPr>
              <w:spacing w:val="-53"/>
            </w:rPr>
            <w:t xml:space="preserve"> </w:t>
          </w:r>
          <w:r>
            <w:rPr>
              <w:rFonts w:ascii="Times New Roman" w:eastAsia="Times New Roman"/>
            </w:rPr>
            <w:t xml:space="preserve">4 </w:t>
          </w:r>
          <w:r>
            <w:t>检测报告</w:t>
          </w:r>
          <w:r>
            <w:tab/>
          </w:r>
          <w:r>
            <w:rPr>
              <w:rFonts w:ascii="Times New Roman" w:eastAsia="Times New Roman"/>
            </w:rPr>
            <w:t>58</w:t>
          </w:r>
          <w:r>
            <w:rPr>
              <w:rFonts w:ascii="Times New Roman" w:eastAsia="Times New Roman"/>
            </w:rPr>
            <w:fldChar w:fldCharType="end"/>
          </w:r>
        </w:p>
        <w:p>
          <w:pPr>
            <w:pStyle w:val="13"/>
            <w:tabs>
              <w:tab w:val="left" w:leader="dot" w:pos="8729"/>
            </w:tabs>
            <w:rPr>
              <w:rFonts w:ascii="Times New Roman" w:eastAsia="Times New Roman"/>
            </w:rPr>
          </w:pPr>
          <w:r>
            <w:fldChar w:fldCharType="begin"/>
          </w:r>
          <w:r>
            <w:instrText xml:space="preserve"> HYPERLINK \l "_bookmark42" </w:instrText>
          </w:r>
          <w:r>
            <w:fldChar w:fldCharType="separate"/>
          </w:r>
          <w:r>
            <w:t>附图</w:t>
          </w:r>
          <w:r>
            <w:rPr>
              <w:spacing w:val="-53"/>
            </w:rPr>
            <w:t xml:space="preserve"> </w:t>
          </w:r>
          <w:r>
            <w:rPr>
              <w:rFonts w:ascii="Times New Roman" w:eastAsia="Times New Roman"/>
            </w:rPr>
            <w:t xml:space="preserve">1 </w:t>
          </w:r>
          <w:r>
            <w:t>项目地理位置图</w:t>
          </w:r>
          <w:r>
            <w:tab/>
          </w:r>
          <w:r>
            <w:rPr>
              <w:rFonts w:ascii="Times New Roman" w:eastAsia="Times New Roman"/>
            </w:rPr>
            <w:t>66</w:t>
          </w:r>
          <w:r>
            <w:rPr>
              <w:rFonts w:ascii="Times New Roman" w:eastAsia="Times New Roman"/>
            </w:rPr>
            <w:fldChar w:fldCharType="end"/>
          </w:r>
        </w:p>
        <w:p>
          <w:pPr>
            <w:pStyle w:val="13"/>
            <w:tabs>
              <w:tab w:val="left" w:leader="dot" w:pos="8729"/>
            </w:tabs>
            <w:spacing w:before="133"/>
            <w:rPr>
              <w:rFonts w:ascii="Times New Roman" w:eastAsia="Times New Roman"/>
            </w:rPr>
          </w:pPr>
          <w:r>
            <w:fldChar w:fldCharType="begin"/>
          </w:r>
          <w:r>
            <w:instrText xml:space="preserve"> HYPERLINK \l "_bookmark43" </w:instrText>
          </w:r>
          <w:r>
            <w:fldChar w:fldCharType="separate"/>
          </w:r>
          <w:r>
            <w:t>附图</w:t>
          </w:r>
          <w:r>
            <w:rPr>
              <w:spacing w:val="-54"/>
            </w:rPr>
            <w:t xml:space="preserve"> </w:t>
          </w:r>
          <w:r>
            <w:rPr>
              <w:rFonts w:ascii="Times New Roman" w:eastAsia="Times New Roman"/>
            </w:rPr>
            <w:t>2</w:t>
          </w:r>
          <w:r>
            <w:rPr>
              <w:rFonts w:ascii="Times New Roman" w:eastAsia="Times New Roman"/>
              <w:spacing w:val="-1"/>
            </w:rPr>
            <w:t xml:space="preserve"> </w:t>
          </w:r>
          <w:r>
            <w:t>项目工程总体平面布置图</w:t>
          </w:r>
          <w:r>
            <w:tab/>
          </w:r>
          <w:r>
            <w:rPr>
              <w:rFonts w:ascii="Times New Roman" w:eastAsia="Times New Roman"/>
            </w:rPr>
            <w:t>67</w:t>
          </w:r>
          <w:r>
            <w:rPr>
              <w:rFonts w:ascii="Times New Roman" w:eastAsia="Times New Roman"/>
            </w:rPr>
            <w:fldChar w:fldCharType="end"/>
          </w:r>
        </w:p>
        <w:p>
          <w:pPr>
            <w:pStyle w:val="13"/>
            <w:tabs>
              <w:tab w:val="left" w:leader="dot" w:pos="8729"/>
            </w:tabs>
            <w:rPr>
              <w:rFonts w:ascii="Times New Roman" w:eastAsia="Times New Roman"/>
            </w:rPr>
          </w:pPr>
          <w:r>
            <w:fldChar w:fldCharType="begin"/>
          </w:r>
          <w:r>
            <w:instrText xml:space="preserve"> HYPERLINK \l "_bookmark44" </w:instrText>
          </w:r>
          <w:r>
            <w:fldChar w:fldCharType="separate"/>
          </w:r>
          <w:r>
            <w:t>附图</w:t>
          </w:r>
          <w:r>
            <w:rPr>
              <w:spacing w:val="-53"/>
            </w:rPr>
            <w:t xml:space="preserve"> </w:t>
          </w:r>
          <w:r>
            <w:rPr>
              <w:rFonts w:ascii="Times New Roman" w:eastAsia="Times New Roman"/>
            </w:rPr>
            <w:t>3</w:t>
          </w:r>
          <w:r>
            <w:rPr>
              <w:rFonts w:ascii="Times New Roman" w:eastAsia="Times New Roman"/>
              <w:spacing w:val="-1"/>
            </w:rPr>
            <w:t xml:space="preserve"> </w:t>
          </w:r>
          <w:r>
            <w:t>项目周边敏感点分布图</w:t>
          </w:r>
          <w:r>
            <w:tab/>
          </w:r>
          <w:r>
            <w:rPr>
              <w:rFonts w:ascii="Times New Roman" w:eastAsia="Times New Roman"/>
            </w:rPr>
            <w:t>68</w:t>
          </w:r>
          <w:r>
            <w:rPr>
              <w:rFonts w:ascii="Times New Roman" w:eastAsia="Times New Roman"/>
            </w:rPr>
            <w:fldChar w:fldCharType="end"/>
          </w:r>
        </w:p>
        <w:p>
          <w:pPr>
            <w:pStyle w:val="13"/>
            <w:tabs>
              <w:tab w:val="left" w:leader="dot" w:pos="8729"/>
            </w:tabs>
            <w:spacing w:before="133"/>
            <w:rPr>
              <w:rFonts w:ascii="Times New Roman" w:eastAsia="Times New Roman"/>
            </w:rPr>
          </w:pPr>
          <w:r>
            <w:fldChar w:fldCharType="begin"/>
          </w:r>
          <w:r>
            <w:instrText xml:space="preserve"> HYPERLINK \l "_bookmark45" </w:instrText>
          </w:r>
          <w:r>
            <w:fldChar w:fldCharType="separate"/>
          </w:r>
          <w:r>
            <w:t>附图</w:t>
          </w:r>
          <w:r>
            <w:rPr>
              <w:spacing w:val="-53"/>
            </w:rPr>
            <w:t xml:space="preserve"> </w:t>
          </w:r>
          <w:r>
            <w:rPr>
              <w:rFonts w:ascii="Times New Roman" w:eastAsia="Times New Roman"/>
            </w:rPr>
            <w:t>4</w:t>
          </w:r>
          <w:r>
            <w:rPr>
              <w:rFonts w:ascii="Times New Roman" w:eastAsia="Times New Roman"/>
              <w:spacing w:val="-1"/>
            </w:rPr>
            <w:t xml:space="preserve"> </w:t>
          </w:r>
          <w:r>
            <w:t>项目土地利用规划图</w:t>
          </w:r>
          <w:r>
            <w:tab/>
          </w:r>
          <w:r>
            <w:rPr>
              <w:rFonts w:ascii="Times New Roman" w:eastAsia="Times New Roman"/>
            </w:rPr>
            <w:t>69</w:t>
          </w:r>
          <w:r>
            <w:rPr>
              <w:rFonts w:ascii="Times New Roman" w:eastAsia="Times New Roman"/>
            </w:rPr>
            <w:fldChar w:fldCharType="end"/>
          </w:r>
        </w:p>
        <w:p>
          <w:pPr>
            <w:pStyle w:val="13"/>
            <w:tabs>
              <w:tab w:val="left" w:leader="dot" w:pos="8729"/>
            </w:tabs>
            <w:rPr>
              <w:rFonts w:ascii="Times New Roman" w:eastAsia="Times New Roman"/>
            </w:rPr>
          </w:pPr>
          <w:r>
            <w:fldChar w:fldCharType="begin"/>
          </w:r>
          <w:r>
            <w:instrText xml:space="preserve"> HYPERLINK \l "_bookmark46" </w:instrText>
          </w:r>
          <w:r>
            <w:fldChar w:fldCharType="separate"/>
          </w:r>
          <w:r>
            <w:t>附图</w:t>
          </w:r>
          <w:r>
            <w:rPr>
              <w:spacing w:val="-53"/>
            </w:rPr>
            <w:t xml:space="preserve"> </w:t>
          </w:r>
          <w:r>
            <w:rPr>
              <w:rFonts w:ascii="Times New Roman" w:eastAsia="Times New Roman"/>
            </w:rPr>
            <w:t xml:space="preserve">5 </w:t>
          </w:r>
          <w:r>
            <w:t>项目所在地现状图</w:t>
          </w:r>
          <w:r>
            <w:tab/>
          </w:r>
          <w:r>
            <w:rPr>
              <w:rFonts w:ascii="Times New Roman" w:eastAsia="Times New Roman"/>
            </w:rPr>
            <w:t>70</w:t>
          </w:r>
          <w:r>
            <w:rPr>
              <w:rFonts w:ascii="Times New Roman" w:eastAsia="Times New Roman"/>
            </w:rPr>
            <w:fldChar w:fldCharType="end"/>
          </w:r>
        </w:p>
      </w:sdtContent>
    </w:sdt>
    <w:p>
      <w:pPr>
        <w:spacing w:after="0"/>
        <w:rPr>
          <w:rFonts w:ascii="Times New Roman" w:eastAsia="Times New Roman"/>
        </w:rPr>
        <w:sectPr>
          <w:type w:val="continuous"/>
          <w:pgSz w:w="11910" w:h="16840"/>
          <w:pgMar w:top="1380" w:right="1160" w:bottom="1765" w:left="1180" w:header="720" w:footer="720" w:gutter="0"/>
          <w:pgBorders>
            <w:top w:val="none" w:sz="0" w:space="0"/>
            <w:left w:val="none" w:sz="0" w:space="0"/>
            <w:bottom w:val="none" w:sz="0" w:space="0"/>
            <w:right w:val="none" w:sz="0" w:space="0"/>
          </w:pgBorders>
          <w:pgNumType w:fmt="decimal"/>
        </w:sectPr>
      </w:pPr>
    </w:p>
    <w:p>
      <w:pPr>
        <w:pStyle w:val="3"/>
        <w:keepNext w:val="0"/>
        <w:keepLines w:val="0"/>
        <w:pageBreakBefore w:val="0"/>
        <w:widowControl w:val="0"/>
        <w:numPr>
          <w:ilvl w:val="0"/>
          <w:numId w:val="2"/>
        </w:numPr>
        <w:tabs>
          <w:tab w:val="left" w:pos="978"/>
        </w:tabs>
        <w:kinsoku/>
        <w:wordWrap/>
        <w:overflowPunct/>
        <w:topLinePunct w:val="0"/>
        <w:autoSpaceDE w:val="0"/>
        <w:autoSpaceDN w:val="0"/>
        <w:bidi w:val="0"/>
        <w:adjustRightInd/>
        <w:snapToGrid/>
        <w:spacing w:before="0" w:after="0" w:line="360" w:lineRule="auto"/>
        <w:ind w:left="0" w:right="0" w:hanging="361"/>
        <w:jc w:val="both"/>
        <w:textAlignment w:val="auto"/>
        <w:rPr>
          <w:rFonts w:hint="eastAsia" w:ascii="宋体" w:hAnsi="宋体" w:eastAsia="宋体" w:cs="宋体"/>
          <w:sz w:val="24"/>
          <w:szCs w:val="24"/>
        </w:rPr>
      </w:pPr>
      <w:bookmarkStart w:id="0" w:name="_bookmark0"/>
      <w:bookmarkEnd w:id="0"/>
      <w:bookmarkStart w:id="1" w:name="_bookmark0"/>
      <w:bookmarkEnd w:id="1"/>
      <w:bookmarkStart w:id="2" w:name="1综述"/>
      <w:bookmarkEnd w:id="2"/>
      <w:r>
        <w:rPr>
          <w:rFonts w:hint="eastAsia" w:ascii="宋体" w:hAnsi="宋体" w:eastAsia="宋体" w:cs="宋体"/>
          <w:sz w:val="24"/>
          <w:szCs w:val="24"/>
        </w:rPr>
        <w:t>综述</w:t>
      </w:r>
    </w:p>
    <w:p>
      <w:pPr>
        <w:pStyle w:val="4"/>
        <w:keepNext w:val="0"/>
        <w:keepLines w:val="0"/>
        <w:pageBreakBefore w:val="0"/>
        <w:widowControl w:val="0"/>
        <w:numPr>
          <w:ilvl w:val="1"/>
          <w:numId w:val="2"/>
        </w:numPr>
        <w:tabs>
          <w:tab w:val="left" w:pos="1220"/>
        </w:tabs>
        <w:kinsoku/>
        <w:wordWrap/>
        <w:overflowPunct/>
        <w:topLinePunct w:val="0"/>
        <w:autoSpaceDE w:val="0"/>
        <w:autoSpaceDN w:val="0"/>
        <w:bidi w:val="0"/>
        <w:adjustRightInd/>
        <w:snapToGrid/>
        <w:spacing w:before="0" w:after="0" w:line="360" w:lineRule="auto"/>
        <w:ind w:left="0" w:right="0" w:hanging="603"/>
        <w:jc w:val="left"/>
        <w:textAlignment w:val="auto"/>
        <w:rPr>
          <w:rFonts w:hint="eastAsia" w:ascii="宋体" w:hAnsi="宋体" w:eastAsia="宋体" w:cs="宋体"/>
          <w:sz w:val="24"/>
          <w:szCs w:val="24"/>
        </w:rPr>
      </w:pPr>
      <w:bookmarkStart w:id="3" w:name="_bookmark1"/>
      <w:bookmarkEnd w:id="3"/>
      <w:bookmarkStart w:id="4" w:name="1.1项目由来"/>
      <w:bookmarkEnd w:id="4"/>
      <w:bookmarkStart w:id="5" w:name="_bookmark1"/>
      <w:bookmarkEnd w:id="5"/>
      <w:r>
        <w:rPr>
          <w:rFonts w:hint="eastAsia" w:ascii="宋体" w:hAnsi="宋体" w:eastAsia="宋体" w:cs="宋体"/>
          <w:sz w:val="24"/>
          <w:szCs w:val="24"/>
        </w:rPr>
        <w:t>项目由来</w:t>
      </w:r>
    </w:p>
    <w:p>
      <w:pPr>
        <w:pStyle w:val="4"/>
        <w:keepNext w:val="0"/>
        <w:keepLines w:val="0"/>
        <w:pageBreakBefore w:val="0"/>
        <w:widowControl w:val="0"/>
        <w:numPr>
          <w:ilvl w:val="0"/>
          <w:numId w:val="0"/>
        </w:numPr>
        <w:tabs>
          <w:tab w:val="left" w:pos="1220"/>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项目名称：崇义县上堡人形水电站工程</w:t>
      </w:r>
    </w:p>
    <w:p>
      <w:pPr>
        <w:pStyle w:val="4"/>
        <w:keepNext w:val="0"/>
        <w:keepLines w:val="0"/>
        <w:pageBreakBefore w:val="0"/>
        <w:widowControl w:val="0"/>
        <w:numPr>
          <w:ilvl w:val="0"/>
          <w:numId w:val="0"/>
        </w:numPr>
        <w:tabs>
          <w:tab w:val="left" w:pos="1220"/>
        </w:tabs>
        <w:kinsoku/>
        <w:wordWrap/>
        <w:overflowPunct/>
        <w:topLinePunct w:val="0"/>
        <w:autoSpaceDE w:val="0"/>
        <w:autoSpaceDN w:val="0"/>
        <w:bidi w:val="0"/>
        <w:adjustRightInd/>
        <w:snapToGrid/>
        <w:spacing w:before="0" w:after="0" w:line="360" w:lineRule="auto"/>
        <w:ind w:left="0" w:leftChars="0"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项目性质：新建</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建设单位：崇义县上堡人形水电站</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textAlignment w:val="auto"/>
        <w:rPr>
          <w:rFonts w:hint="eastAsia" w:ascii="宋体" w:hAnsi="宋体" w:eastAsia="宋体" w:cs="宋体"/>
          <w:sz w:val="24"/>
          <w:szCs w:val="24"/>
        </w:rPr>
      </w:pPr>
      <w:r>
        <w:rPr>
          <w:rFonts w:hint="eastAsia" w:ascii="宋体" w:hAnsi="宋体" w:eastAsia="宋体" w:cs="宋体"/>
          <w:spacing w:val="-10"/>
          <w:sz w:val="24"/>
          <w:szCs w:val="24"/>
        </w:rPr>
        <w:t>建设地点：</w:t>
      </w:r>
      <w:r>
        <w:rPr>
          <w:rFonts w:hint="default" w:ascii="Times New Roman" w:hAnsi="Times New Roman" w:eastAsia="宋体" w:cs="Times New Roman"/>
          <w:snapToGrid w:val="0"/>
          <w:color w:val="auto"/>
          <w:lang w:eastAsia="zh-CN"/>
        </w:rPr>
        <w:t>本项目</w:t>
      </w:r>
      <w:r>
        <w:rPr>
          <w:rFonts w:hint="default" w:ascii="Times New Roman" w:hAnsi="Times New Roman" w:eastAsia="宋体" w:cs="Times New Roman"/>
          <w:color w:val="auto"/>
        </w:rPr>
        <w:t>位于</w:t>
      </w:r>
      <w:r>
        <w:rPr>
          <w:rFonts w:hint="default" w:ascii="Times New Roman" w:hAnsi="Times New Roman" w:eastAsia="宋体" w:cs="Times New Roman"/>
          <w:color w:val="auto"/>
          <w:lang w:eastAsia="zh-CN"/>
        </w:rPr>
        <w:t>江西省赣州市崇义县上堡乡正井村。</w:t>
      </w:r>
      <w:r>
        <w:rPr>
          <w:rFonts w:hint="default" w:ascii="Times New Roman" w:hAnsi="Times New Roman" w:eastAsia="宋体" w:cs="Times New Roman"/>
          <w:snapToGrid w:val="0"/>
          <w:color w:val="auto"/>
          <w:sz w:val="24"/>
          <w:szCs w:val="24"/>
          <w:highlight w:val="none"/>
          <w:u w:val="none"/>
        </w:rPr>
        <w:t>距</w:t>
      </w:r>
      <w:r>
        <w:rPr>
          <w:rFonts w:hint="default" w:ascii="Times New Roman" w:hAnsi="Times New Roman" w:eastAsia="宋体" w:cs="Times New Roman"/>
          <w:color w:val="auto"/>
          <w:sz w:val="24"/>
          <w:szCs w:val="24"/>
          <w:u w:val="none"/>
          <w:lang w:eastAsia="zh-CN"/>
        </w:rPr>
        <w:t>崇义县城</w:t>
      </w:r>
      <w:r>
        <w:rPr>
          <w:rFonts w:hint="default" w:ascii="Times New Roman" w:hAnsi="Times New Roman" w:eastAsia="宋体" w:cs="Times New Roman"/>
          <w:color w:val="auto"/>
          <w:sz w:val="24"/>
          <w:szCs w:val="24"/>
          <w:u w:val="none"/>
        </w:rPr>
        <w:t>约</w:t>
      </w: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5km，</w:t>
      </w:r>
      <w:r>
        <w:rPr>
          <w:rFonts w:hint="default" w:ascii="Times New Roman" w:hAnsi="Times New Roman" w:eastAsia="宋体" w:cs="Times New Roman"/>
          <w:color w:val="auto"/>
          <w:sz w:val="24"/>
          <w:szCs w:val="24"/>
          <w:u w:val="none"/>
          <w:lang w:eastAsia="zh-CN"/>
        </w:rPr>
        <w:t>均源河</w:t>
      </w:r>
      <w:r>
        <w:rPr>
          <w:rFonts w:hint="default" w:ascii="Times New Roman" w:hAnsi="Times New Roman" w:eastAsia="宋体" w:cs="Times New Roman"/>
          <w:color w:val="auto"/>
          <w:sz w:val="24"/>
          <w:szCs w:val="24"/>
          <w:lang w:val="en-US" w:eastAsia="zh-CN"/>
        </w:rPr>
        <w:t>属古亭水二级支流上堡河一级支流，拦河</w:t>
      </w:r>
      <w:r>
        <w:rPr>
          <w:rFonts w:hint="default" w:ascii="Times New Roman" w:hAnsi="Times New Roman" w:eastAsia="宋体" w:cs="Times New Roman"/>
          <w:snapToGrid w:val="0"/>
          <w:color w:val="auto"/>
          <w:sz w:val="24"/>
          <w:szCs w:val="24"/>
          <w:u w:val="none"/>
          <w:lang w:eastAsia="zh-CN"/>
        </w:rPr>
        <w:t>坝中心地理位置坐标为</w:t>
      </w:r>
      <w:r>
        <w:rPr>
          <w:rFonts w:hint="default" w:ascii="Times New Roman" w:hAnsi="Times New Roman" w:eastAsia="宋体" w:cs="Times New Roman"/>
          <w:color w:val="auto"/>
          <w:highlight w:val="none"/>
          <w:lang w:eastAsia="zh-CN"/>
        </w:rPr>
        <w:t>东经</w:t>
      </w:r>
      <w:r>
        <w:rPr>
          <w:rFonts w:hint="default" w:ascii="Times New Roman" w:hAnsi="Times New Roman" w:eastAsia="宋体" w:cs="Times New Roman"/>
          <w:snapToGrid w:val="0"/>
          <w:color w:val="auto"/>
          <w:sz w:val="24"/>
          <w:szCs w:val="24"/>
          <w:highlight w:val="none"/>
          <w:u w:val="none"/>
          <w:lang w:eastAsia="zh-CN"/>
        </w:rPr>
        <w:t>113°57'</w:t>
      </w:r>
      <w:r>
        <w:rPr>
          <w:rFonts w:hint="default" w:ascii="Times New Roman" w:hAnsi="Times New Roman" w:eastAsia="宋体" w:cs="Times New Roman"/>
          <w:snapToGrid w:val="0"/>
          <w:color w:val="auto"/>
          <w:sz w:val="24"/>
          <w:szCs w:val="24"/>
          <w:highlight w:val="none"/>
          <w:u w:val="none"/>
          <w:lang w:val="en-US" w:eastAsia="zh-CN"/>
        </w:rPr>
        <w:t>06.48</w:t>
      </w:r>
      <w:r>
        <w:rPr>
          <w:rFonts w:hint="default" w:ascii="Times New Roman" w:hAnsi="Times New Roman" w:eastAsia="宋体" w:cs="Times New Roman"/>
          <w:snapToGrid w:val="0"/>
          <w:color w:val="auto"/>
          <w:sz w:val="24"/>
          <w:szCs w:val="24"/>
          <w:highlight w:val="none"/>
          <w:u w:val="none"/>
          <w:lang w:eastAsia="zh-CN"/>
        </w:rPr>
        <w:t>"，北纬25°43'</w:t>
      </w:r>
      <w:r>
        <w:rPr>
          <w:rFonts w:hint="default" w:ascii="Times New Roman" w:hAnsi="Times New Roman" w:eastAsia="宋体" w:cs="Times New Roman"/>
          <w:snapToGrid w:val="0"/>
          <w:color w:val="auto"/>
          <w:sz w:val="24"/>
          <w:szCs w:val="24"/>
          <w:highlight w:val="none"/>
          <w:u w:val="none"/>
          <w:lang w:val="en-US" w:eastAsia="zh-CN"/>
        </w:rPr>
        <w:t>09.69</w:t>
      </w:r>
      <w:r>
        <w:rPr>
          <w:rFonts w:hint="default" w:ascii="Times New Roman" w:hAnsi="Times New Roman" w:eastAsia="宋体" w:cs="Times New Roman"/>
          <w:snapToGrid w:val="0"/>
          <w:color w:val="auto"/>
          <w:sz w:val="24"/>
          <w:szCs w:val="24"/>
          <w:highlight w:val="none"/>
          <w:u w:val="none"/>
          <w:lang w:eastAsia="zh-CN"/>
        </w:rPr>
        <w:t>"，电站厂房中心地理位置坐标为东经113°57'48.02"，北纬25°43'58.01"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napToGrid w:val="0"/>
          <w:color w:val="auto"/>
          <w:sz w:val="24"/>
          <w:lang w:val="en-US" w:eastAsia="zh-CN"/>
        </w:rPr>
        <w:t>水电站始建于2005年8月，2006年9月基本建成并发挥效益，是单一发电的无调节径流式电站，建成投入运行已超过10年之久；</w:t>
      </w:r>
      <w:r>
        <w:rPr>
          <w:rFonts w:hint="default" w:ascii="Times New Roman" w:hAnsi="Times New Roman" w:eastAsia="宋体" w:cs="Times New Roman"/>
          <w:bCs/>
          <w:snapToGrid w:val="0"/>
          <w:color w:val="auto"/>
          <w:lang w:eastAsia="zh-CN"/>
        </w:rPr>
        <w:t>本项目</w:t>
      </w:r>
      <w:r>
        <w:rPr>
          <w:rFonts w:hint="default" w:ascii="Times New Roman" w:hAnsi="Times New Roman" w:eastAsia="宋体" w:cs="Times New Roman"/>
          <w:bCs/>
          <w:snapToGrid w:val="0"/>
          <w:color w:val="auto"/>
        </w:rPr>
        <w:t>总装机容量为</w:t>
      </w:r>
      <w:r>
        <w:rPr>
          <w:rFonts w:hint="default" w:ascii="Times New Roman" w:hAnsi="Times New Roman" w:eastAsia="宋体" w:cs="Times New Roman"/>
          <w:bCs/>
          <w:snapToGrid w:val="0"/>
          <w:color w:val="auto"/>
          <w:lang w:val="en-US" w:eastAsia="zh-CN"/>
        </w:rPr>
        <w:t>500</w:t>
      </w:r>
      <w:r>
        <w:rPr>
          <w:rFonts w:hint="default" w:ascii="Times New Roman" w:hAnsi="Times New Roman" w:eastAsia="宋体" w:cs="Times New Roman"/>
          <w:bCs/>
          <w:snapToGrid w:val="0"/>
          <w:color w:val="auto"/>
        </w:rPr>
        <w:t>kw，</w:t>
      </w:r>
      <w:r>
        <w:rPr>
          <w:rFonts w:hint="default" w:ascii="Times New Roman" w:hAnsi="Times New Roman" w:eastAsia="宋体" w:cs="Times New Roman"/>
          <w:bCs/>
          <w:snapToGrid w:val="0"/>
          <w:color w:val="auto"/>
          <w:lang w:eastAsia="zh-CN"/>
        </w:rPr>
        <w:t>设置两台</w:t>
      </w:r>
      <w:r>
        <w:rPr>
          <w:rFonts w:hint="default" w:ascii="Times New Roman" w:hAnsi="Times New Roman" w:eastAsia="宋体" w:cs="Times New Roman"/>
          <w:bCs/>
          <w:snapToGrid w:val="0"/>
          <w:color w:val="auto"/>
          <w:lang w:val="en-US" w:eastAsia="zh-CN"/>
        </w:rPr>
        <w:t>250</w:t>
      </w:r>
      <w:r>
        <w:rPr>
          <w:rFonts w:hint="default" w:ascii="Times New Roman" w:hAnsi="Times New Roman" w:eastAsia="宋体" w:cs="Times New Roman"/>
          <w:bCs/>
          <w:snapToGrid w:val="0"/>
          <w:color w:val="auto"/>
        </w:rPr>
        <w:t>kw</w:t>
      </w:r>
      <w:r>
        <w:rPr>
          <w:rFonts w:hint="default" w:ascii="Times New Roman" w:hAnsi="Times New Roman" w:eastAsia="宋体" w:cs="Times New Roman"/>
          <w:bCs/>
          <w:snapToGrid w:val="0"/>
          <w:color w:val="auto"/>
          <w:lang w:eastAsia="zh-CN"/>
        </w:rPr>
        <w:t>发电机。设计发电量为</w:t>
      </w:r>
      <w:r>
        <w:rPr>
          <w:rFonts w:hint="default" w:ascii="Times New Roman" w:hAnsi="Times New Roman" w:eastAsia="宋体" w:cs="Times New Roman"/>
          <w:bCs/>
          <w:snapToGrid w:val="0"/>
          <w:color w:val="auto"/>
          <w:lang w:val="en-US" w:eastAsia="zh-CN"/>
        </w:rPr>
        <w:t>170万kw·h，</w:t>
      </w:r>
      <w:r>
        <w:rPr>
          <w:rFonts w:hint="default" w:ascii="Times New Roman" w:hAnsi="Times New Roman" w:eastAsia="宋体" w:cs="Times New Roman"/>
          <w:bCs/>
          <w:snapToGrid w:val="0"/>
          <w:color w:val="auto"/>
        </w:rPr>
        <w:t>多年平均发电量</w:t>
      </w:r>
      <w:r>
        <w:rPr>
          <w:rFonts w:hint="default" w:ascii="Times New Roman" w:hAnsi="Times New Roman" w:eastAsia="宋体" w:cs="Times New Roman"/>
          <w:bCs/>
          <w:snapToGrid w:val="0"/>
          <w:color w:val="auto"/>
          <w:lang w:val="en-US" w:eastAsia="zh-CN"/>
        </w:rPr>
        <w:t>162</w:t>
      </w:r>
      <w:r>
        <w:rPr>
          <w:rFonts w:hint="default" w:ascii="Times New Roman" w:hAnsi="Times New Roman" w:eastAsia="宋体" w:cs="Times New Roman"/>
          <w:bCs/>
          <w:snapToGrid w:val="0"/>
          <w:color w:val="auto"/>
        </w:rPr>
        <w:t>万kw·h，年利用小时数</w:t>
      </w:r>
      <w:r>
        <w:rPr>
          <w:rFonts w:hint="default" w:ascii="Times New Roman" w:hAnsi="Times New Roman" w:eastAsia="宋体" w:cs="Times New Roman"/>
          <w:bCs/>
          <w:snapToGrid w:val="0"/>
          <w:color w:val="auto"/>
          <w:highlight w:val="none"/>
          <w:lang w:val="en-US" w:eastAsia="zh-CN"/>
        </w:rPr>
        <w:t>3240</w:t>
      </w:r>
      <w:r>
        <w:rPr>
          <w:rFonts w:hint="default" w:ascii="Times New Roman" w:hAnsi="Times New Roman" w:eastAsia="宋体" w:cs="Times New Roman"/>
          <w:bCs/>
          <w:snapToGrid w:val="0"/>
          <w:color w:val="auto"/>
          <w:highlight w:val="none"/>
        </w:rPr>
        <w:t>h</w:t>
      </w:r>
      <w:r>
        <w:rPr>
          <w:rFonts w:hint="eastAsia" w:ascii="宋体" w:hAnsi="宋体" w:eastAsia="宋体" w:cs="宋体"/>
          <w:spacing w:val="-10"/>
          <w:sz w:val="24"/>
          <w:szCs w:val="24"/>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z w:val="24"/>
          <w:szCs w:val="24"/>
        </w:rPr>
      </w:pPr>
      <w:r>
        <w:rPr>
          <w:rFonts w:hint="eastAsia" w:ascii="Times New Roman" w:hAnsi="Times New Roman" w:eastAsia="宋体" w:cs="Times New Roman"/>
          <w:spacing w:val="-10"/>
          <w:sz w:val="24"/>
          <w:szCs w:val="24"/>
        </w:rPr>
        <w:t>20</w:t>
      </w:r>
      <w:r>
        <w:rPr>
          <w:rFonts w:hint="eastAsia" w:ascii="Times New Roman" w:hAnsi="Times New Roman" w:eastAsia="宋体" w:cs="Times New Roman"/>
          <w:spacing w:val="-10"/>
          <w:sz w:val="24"/>
          <w:szCs w:val="24"/>
          <w:lang w:val="en-US" w:eastAsia="zh-CN"/>
        </w:rPr>
        <w:t>20</w:t>
      </w:r>
      <w:r>
        <w:rPr>
          <w:rFonts w:hint="eastAsia" w:ascii="Times New Roman" w:hAnsi="Times New Roman" w:eastAsia="宋体" w:cs="Times New Roman"/>
          <w:spacing w:val="-10"/>
          <w:sz w:val="24"/>
          <w:szCs w:val="24"/>
        </w:rPr>
        <w:t xml:space="preserve"> </w:t>
      </w:r>
      <w:r>
        <w:rPr>
          <w:rFonts w:hint="eastAsia" w:ascii="宋体" w:hAnsi="宋体" w:eastAsia="宋体" w:cs="宋体"/>
          <w:sz w:val="24"/>
          <w:szCs w:val="24"/>
        </w:rPr>
        <w:t>年</w:t>
      </w:r>
      <w:r>
        <w:rPr>
          <w:rFonts w:hint="eastAsia" w:ascii="Times New Roman" w:hAnsi="Times New Roman" w:eastAsia="宋体" w:cs="Times New Roman"/>
          <w:spacing w:val="-10"/>
          <w:sz w:val="24"/>
          <w:szCs w:val="24"/>
          <w:lang w:val="en-US" w:eastAsia="zh-CN"/>
        </w:rPr>
        <w:t>6</w:t>
      </w:r>
      <w:r>
        <w:rPr>
          <w:rFonts w:hint="eastAsia" w:ascii="宋体" w:hAnsi="宋体" w:eastAsia="宋体" w:cs="宋体"/>
          <w:sz w:val="24"/>
          <w:szCs w:val="24"/>
        </w:rPr>
        <w:t>月，崇义县上堡人形水电站委托</w:t>
      </w:r>
      <w:r>
        <w:rPr>
          <w:rFonts w:hint="eastAsia" w:ascii="Times New Roman" w:hAnsi="Times New Roman" w:eastAsia="宋体" w:cs="Times New Roman"/>
          <w:caps w:val="0"/>
          <w:smallCaps w:val="0"/>
          <w:snapToGrid/>
          <w:spacing w:val="0"/>
          <w:w w:val="100"/>
          <w:kern w:val="2"/>
          <w:position w:val="0"/>
          <w:sz w:val="24"/>
          <w:szCs w:val="22"/>
          <w:lang w:val="en-US" w:eastAsia="zh-CN"/>
        </w:rPr>
        <w:t>赣州市辉昂环保科技有限公司</w:t>
      </w:r>
      <w:r>
        <w:rPr>
          <w:rFonts w:hint="eastAsia" w:ascii="宋体" w:hAnsi="宋体" w:eastAsia="宋体" w:cs="宋体"/>
          <w:spacing w:val="-10"/>
          <w:sz w:val="24"/>
          <w:szCs w:val="24"/>
        </w:rPr>
        <w:t>编制完成《</w:t>
      </w:r>
      <w:r>
        <w:rPr>
          <w:rFonts w:hint="eastAsia" w:ascii="宋体" w:hAnsi="宋体" w:eastAsia="宋体" w:cs="宋体"/>
          <w:sz w:val="24"/>
          <w:szCs w:val="24"/>
        </w:rPr>
        <w:t>崇义县上堡人形水电站</w:t>
      </w:r>
      <w:r>
        <w:rPr>
          <w:rFonts w:hint="eastAsia" w:ascii="宋体" w:hAnsi="宋体" w:eastAsia="宋体" w:cs="宋体"/>
          <w:spacing w:val="-10"/>
          <w:sz w:val="24"/>
          <w:szCs w:val="24"/>
        </w:rPr>
        <w:t>工程项目环境影响报告书》</w:t>
      </w:r>
      <w:r>
        <w:rPr>
          <w:rFonts w:hint="eastAsia" w:ascii="宋体" w:hAnsi="宋体" w:eastAsia="宋体" w:cs="宋体"/>
          <w:spacing w:val="-10"/>
          <w:sz w:val="24"/>
          <w:szCs w:val="24"/>
          <w:highlight w:val="none"/>
        </w:rPr>
        <w:t>，并于</w:t>
      </w:r>
      <w:r>
        <w:rPr>
          <w:rFonts w:hint="eastAsia" w:ascii="Times New Roman" w:hAnsi="Times New Roman" w:eastAsia="宋体" w:cs="Times New Roman"/>
          <w:spacing w:val="-10"/>
          <w:sz w:val="24"/>
          <w:szCs w:val="24"/>
          <w:highlight w:val="none"/>
        </w:rPr>
        <w:t xml:space="preserve"> 20</w:t>
      </w:r>
      <w:r>
        <w:rPr>
          <w:rFonts w:hint="eastAsia" w:ascii="Times New Roman" w:hAnsi="Times New Roman" w:eastAsia="宋体" w:cs="Times New Roman"/>
          <w:spacing w:val="-10"/>
          <w:sz w:val="24"/>
          <w:szCs w:val="24"/>
          <w:highlight w:val="none"/>
          <w:lang w:val="en-US" w:eastAsia="zh-CN"/>
        </w:rPr>
        <w:t>20</w:t>
      </w:r>
      <w:r>
        <w:rPr>
          <w:rFonts w:hint="eastAsia" w:ascii="Times New Roman" w:hAnsi="Times New Roman" w:eastAsia="宋体" w:cs="Times New Roman"/>
          <w:spacing w:val="-10"/>
          <w:sz w:val="24"/>
          <w:szCs w:val="24"/>
          <w:highlight w:val="none"/>
        </w:rPr>
        <w:t xml:space="preserve"> </w:t>
      </w:r>
      <w:r>
        <w:rPr>
          <w:rFonts w:hint="eastAsia" w:ascii="宋体" w:hAnsi="宋体" w:eastAsia="宋体" w:cs="宋体"/>
          <w:spacing w:val="-30"/>
          <w:sz w:val="24"/>
          <w:szCs w:val="24"/>
          <w:highlight w:val="none"/>
        </w:rPr>
        <w:t>年</w:t>
      </w:r>
      <w:r>
        <w:rPr>
          <w:rFonts w:hint="eastAsia" w:ascii="Times New Roman" w:hAnsi="Times New Roman" w:eastAsia="宋体" w:cs="Times New Roman"/>
          <w:spacing w:val="-10"/>
          <w:sz w:val="24"/>
          <w:szCs w:val="24"/>
          <w:highlight w:val="none"/>
          <w:lang w:val="en-US" w:eastAsia="zh-CN"/>
        </w:rPr>
        <w:t>08</w:t>
      </w:r>
      <w:r>
        <w:rPr>
          <w:rFonts w:hint="eastAsia" w:ascii="宋体" w:hAnsi="宋体" w:eastAsia="宋体" w:cs="宋体"/>
          <w:spacing w:val="-30"/>
          <w:sz w:val="24"/>
          <w:szCs w:val="24"/>
          <w:highlight w:val="none"/>
        </w:rPr>
        <w:t>月</w:t>
      </w:r>
      <w:r>
        <w:rPr>
          <w:rFonts w:hint="eastAsia" w:ascii="Times New Roman" w:hAnsi="Times New Roman" w:eastAsia="宋体" w:cs="Times New Roman"/>
          <w:spacing w:val="-10"/>
          <w:sz w:val="24"/>
          <w:szCs w:val="24"/>
          <w:highlight w:val="none"/>
          <w:lang w:val="en-US" w:eastAsia="zh-CN"/>
        </w:rPr>
        <w:t>31</w:t>
      </w:r>
      <w:r>
        <w:rPr>
          <w:rFonts w:hint="eastAsia" w:ascii="宋体" w:hAnsi="宋体" w:eastAsia="宋体" w:cs="宋体"/>
          <w:spacing w:val="-7"/>
          <w:sz w:val="24"/>
          <w:szCs w:val="24"/>
          <w:highlight w:val="none"/>
        </w:rPr>
        <w:t>日取</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eastAsia="zh-CN"/>
        </w:rPr>
        <w:t>赣州市崇义生态环境局</w:t>
      </w:r>
      <w:r>
        <w:rPr>
          <w:rFonts w:hint="eastAsia" w:ascii="宋体" w:hAnsi="宋体" w:eastAsia="宋体" w:cs="宋体"/>
          <w:sz w:val="24"/>
          <w:szCs w:val="24"/>
          <w:highlight w:val="none"/>
        </w:rPr>
        <w:t>《关于</w:t>
      </w:r>
      <w:r>
        <w:rPr>
          <w:rFonts w:hint="eastAsia" w:ascii="宋体" w:hAnsi="宋体" w:eastAsia="宋体" w:cs="宋体"/>
          <w:sz w:val="24"/>
          <w:szCs w:val="24"/>
        </w:rPr>
        <w:t>崇义县上堡人形水电站</w:t>
      </w:r>
      <w:r>
        <w:rPr>
          <w:rFonts w:hint="eastAsia" w:ascii="宋体" w:hAnsi="宋体" w:eastAsia="宋体" w:cs="宋体"/>
          <w:sz w:val="24"/>
          <w:szCs w:val="24"/>
          <w:lang w:eastAsia="zh-CN"/>
        </w:rPr>
        <w:t>工程</w:t>
      </w:r>
      <w:r>
        <w:rPr>
          <w:rFonts w:hint="eastAsia" w:ascii="宋体" w:hAnsi="宋体" w:eastAsia="宋体" w:cs="宋体"/>
          <w:sz w:val="24"/>
          <w:szCs w:val="24"/>
          <w:highlight w:val="none"/>
          <w:lang w:eastAsia="zh-CN"/>
        </w:rPr>
        <w:t>项目</w:t>
      </w:r>
      <w:r>
        <w:rPr>
          <w:rFonts w:hint="eastAsia" w:ascii="宋体" w:hAnsi="宋体" w:eastAsia="宋体" w:cs="宋体"/>
          <w:sz w:val="24"/>
          <w:szCs w:val="24"/>
          <w:highlight w:val="none"/>
        </w:rPr>
        <w:t>环境影响报告书</w:t>
      </w:r>
      <w:r>
        <w:rPr>
          <w:rFonts w:hint="eastAsia" w:ascii="宋体" w:hAnsi="宋体" w:eastAsia="宋体" w:cs="宋体"/>
          <w:sz w:val="24"/>
          <w:szCs w:val="24"/>
          <w:highlight w:val="none"/>
          <w:lang w:eastAsia="zh-CN"/>
        </w:rPr>
        <w:t>的批复</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崇环审</w:t>
      </w:r>
      <w:r>
        <w:rPr>
          <w:rFonts w:hint="eastAsia" w:ascii="宋体" w:hAnsi="宋体" w:eastAsia="宋体" w:cs="宋体"/>
          <w:sz w:val="24"/>
          <w:szCs w:val="24"/>
          <w:highlight w:val="none"/>
        </w:rPr>
        <w:t>字</w:t>
      </w:r>
      <w:r>
        <w:rPr>
          <w:rFonts w:hint="eastAsia" w:ascii="Times New Roman" w:hAnsi="Times New Roman" w:eastAsia="宋体" w:cs="Times New Roman"/>
          <w:spacing w:val="-10"/>
          <w:sz w:val="24"/>
          <w:szCs w:val="24"/>
          <w:highlight w:val="none"/>
        </w:rPr>
        <w:t>[20</w:t>
      </w:r>
      <w:r>
        <w:rPr>
          <w:rFonts w:hint="eastAsia" w:ascii="Times New Roman" w:hAnsi="Times New Roman" w:eastAsia="宋体" w:cs="Times New Roman"/>
          <w:spacing w:val="-10"/>
          <w:sz w:val="24"/>
          <w:szCs w:val="24"/>
          <w:highlight w:val="none"/>
          <w:lang w:val="en-US" w:eastAsia="zh-CN"/>
        </w:rPr>
        <w:t>20</w:t>
      </w:r>
      <w:r>
        <w:rPr>
          <w:rFonts w:hint="eastAsia" w:ascii="Times New Roman" w:hAnsi="Times New Roman" w:eastAsia="宋体" w:cs="Times New Roman"/>
          <w:spacing w:val="-10"/>
          <w:sz w:val="24"/>
          <w:szCs w:val="24"/>
          <w:highlight w:val="none"/>
        </w:rPr>
        <w:t>]</w:t>
      </w:r>
      <w:r>
        <w:rPr>
          <w:rFonts w:hint="eastAsia" w:ascii="Times New Roman" w:hAnsi="Times New Roman" w:eastAsia="宋体" w:cs="Times New Roman"/>
          <w:spacing w:val="-10"/>
          <w:sz w:val="24"/>
          <w:szCs w:val="24"/>
          <w:highlight w:val="none"/>
          <w:lang w:val="en-US" w:eastAsia="zh-CN"/>
        </w:rPr>
        <w:t>74</w:t>
      </w:r>
      <w:r>
        <w:rPr>
          <w:rFonts w:hint="eastAsia" w:ascii="宋体" w:hAnsi="宋体" w:eastAsia="宋体" w:cs="宋体"/>
          <w:sz w:val="24"/>
          <w:szCs w:val="24"/>
          <w:highlight w:val="none"/>
        </w:rPr>
        <w:t xml:space="preserve"> 号）。</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已经建成并运行多年，电站现状情况如下：①主要组成部分为拦河坝、引水渠道、引水隧洞、压力钢管、发电厂房、升压站和输电线路及附属住房等。②大坝为溢流式浆砌石重力坝，坝顶总长度为20m，坝高为6.2m，坝顶高程197.6m，坝底高程191.4m。③电站总装机容量为500kw，设计年平均发电量为170万kw·h，年利用小时数为3240h。电站目前调试工况稳定、环保设施运行正常，符合验收条件。</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宋体" w:hAnsi="宋体" w:eastAsia="宋体" w:cs="宋体"/>
          <w:sz w:val="24"/>
          <w:szCs w:val="24"/>
        </w:rPr>
        <w:sectPr>
          <w:pgSz w:w="11910" w:h="16840"/>
          <w:pgMar w:top="1580" w:right="1160" w:bottom="1180" w:left="1180" w:header="0" w:footer="991" w:gutter="0"/>
          <w:pgBorders>
            <w:top w:val="none" w:sz="0" w:space="0"/>
            <w:left w:val="none" w:sz="0" w:space="0"/>
            <w:bottom w:val="none" w:sz="0" w:space="0"/>
            <w:right w:val="none" w:sz="0" w:space="0"/>
          </w:pgBorders>
          <w:pgNumType w:fmt="decimal"/>
        </w:sect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spacing w:val="-11"/>
          <w:sz w:val="24"/>
          <w:szCs w:val="24"/>
        </w:rPr>
        <w:t>为此，受</w:t>
      </w:r>
      <w:r>
        <w:rPr>
          <w:rFonts w:hint="eastAsia" w:ascii="宋体" w:hAnsi="宋体" w:eastAsia="宋体" w:cs="宋体"/>
          <w:sz w:val="24"/>
          <w:szCs w:val="24"/>
        </w:rPr>
        <w:t>崇义县上堡人形水电站</w:t>
      </w:r>
      <w:r>
        <w:rPr>
          <w:rFonts w:hint="eastAsia" w:ascii="宋体" w:hAnsi="宋体" w:eastAsia="宋体" w:cs="宋体"/>
          <w:spacing w:val="-11"/>
          <w:sz w:val="24"/>
          <w:szCs w:val="24"/>
        </w:rPr>
        <w:t>委托，江西</w:t>
      </w:r>
      <w:r>
        <w:rPr>
          <w:rFonts w:hint="eastAsia" w:ascii="宋体" w:hAnsi="宋体" w:eastAsia="宋体" w:cs="宋体"/>
          <w:spacing w:val="-11"/>
          <w:sz w:val="24"/>
          <w:szCs w:val="24"/>
          <w:lang w:eastAsia="zh-CN"/>
        </w:rPr>
        <w:t>中明环境检测</w:t>
      </w:r>
      <w:r>
        <w:rPr>
          <w:rFonts w:hint="eastAsia" w:ascii="宋体" w:hAnsi="宋体" w:eastAsia="宋体" w:cs="宋体"/>
          <w:spacing w:val="-11"/>
          <w:sz w:val="24"/>
          <w:szCs w:val="24"/>
        </w:rPr>
        <w:t>有限公司承担了该公司</w:t>
      </w:r>
      <w:r>
        <w:rPr>
          <w:rFonts w:hint="eastAsia" w:ascii="宋体" w:hAnsi="宋体" w:eastAsia="宋体" w:cs="宋体"/>
          <w:sz w:val="24"/>
          <w:szCs w:val="24"/>
        </w:rPr>
        <w:t>崇义县上堡人形水电站工程项目环境保护设施竣工验收调查工作及环境保护设施竣</w:t>
      </w:r>
      <w:r>
        <w:rPr>
          <w:rFonts w:hint="eastAsia" w:ascii="宋体" w:hAnsi="宋体" w:eastAsia="宋体" w:cs="宋体"/>
          <w:spacing w:val="-5"/>
          <w:sz w:val="24"/>
          <w:szCs w:val="24"/>
        </w:rPr>
        <w:t>工验收监测工作。企业于</w:t>
      </w:r>
      <w:r>
        <w:rPr>
          <w:rFonts w:hint="eastAsia" w:ascii="Times New Roman" w:hAnsi="Times New Roman" w:eastAsia="宋体" w:cs="Times New Roman"/>
          <w:spacing w:val="-26"/>
          <w:sz w:val="24"/>
          <w:szCs w:val="24"/>
          <w:lang w:val="en-US" w:eastAsia="zh-CN"/>
        </w:rPr>
        <w:t>2020</w:t>
      </w:r>
      <w:r>
        <w:rPr>
          <w:rFonts w:hint="eastAsia" w:ascii="宋体" w:hAnsi="宋体" w:eastAsia="宋体" w:cs="宋体"/>
          <w:spacing w:val="-28"/>
          <w:sz w:val="24"/>
          <w:szCs w:val="24"/>
        </w:rPr>
        <w:t>年</w:t>
      </w:r>
      <w:r>
        <w:rPr>
          <w:rFonts w:hint="eastAsia" w:ascii="Times New Roman" w:hAnsi="Times New Roman" w:eastAsia="宋体" w:cs="Times New Roman"/>
          <w:spacing w:val="-26"/>
          <w:sz w:val="24"/>
          <w:szCs w:val="24"/>
          <w:lang w:val="en-US" w:eastAsia="zh-CN"/>
        </w:rPr>
        <w:t>9</w:t>
      </w:r>
      <w:r>
        <w:rPr>
          <w:rFonts w:hint="eastAsia" w:ascii="宋体" w:hAnsi="宋体" w:eastAsia="宋体" w:cs="宋体"/>
          <w:spacing w:val="-1"/>
          <w:sz w:val="24"/>
          <w:szCs w:val="24"/>
        </w:rPr>
        <w:t>月组织验收工作，根据国家有关环境保护法</w:t>
      </w:r>
      <w:r>
        <w:rPr>
          <w:rFonts w:hint="eastAsia" w:ascii="宋体" w:hAnsi="宋体" w:eastAsia="宋体" w:cs="宋体"/>
          <w:spacing w:val="-7"/>
          <w:sz w:val="24"/>
          <w:szCs w:val="24"/>
        </w:rPr>
        <w:t>规规定，我单位于</w:t>
      </w:r>
      <w:r>
        <w:rPr>
          <w:rFonts w:hint="eastAsia" w:ascii="Times New Roman" w:hAnsi="Times New Roman" w:eastAsia="宋体" w:cs="Times New Roman"/>
          <w:spacing w:val="-26"/>
          <w:sz w:val="24"/>
          <w:szCs w:val="24"/>
          <w:lang w:val="en-US" w:eastAsia="zh-CN"/>
        </w:rPr>
        <w:t>2020</w:t>
      </w:r>
      <w:r>
        <w:rPr>
          <w:rFonts w:hint="eastAsia" w:ascii="宋体" w:hAnsi="宋体" w:eastAsia="宋体" w:cs="宋体"/>
          <w:spacing w:val="-26"/>
          <w:sz w:val="24"/>
          <w:szCs w:val="24"/>
        </w:rPr>
        <w:t>年</w:t>
      </w:r>
      <w:r>
        <w:rPr>
          <w:rFonts w:hint="default" w:ascii="Times New Roman" w:hAnsi="Times New Roman" w:eastAsia="宋体" w:cs="Times New Roman"/>
          <w:spacing w:val="-26"/>
          <w:sz w:val="24"/>
          <w:szCs w:val="24"/>
          <w:lang w:val="en-US" w:eastAsia="zh-CN"/>
        </w:rPr>
        <w:t>9</w:t>
      </w:r>
      <w:r>
        <w:rPr>
          <w:rFonts w:hint="eastAsia" w:ascii="宋体" w:hAnsi="宋体" w:eastAsia="宋体" w:cs="宋体"/>
          <w:spacing w:val="-1"/>
          <w:sz w:val="24"/>
          <w:szCs w:val="24"/>
        </w:rPr>
        <w:t>月派</w:t>
      </w:r>
      <w:r>
        <w:rPr>
          <w:rFonts w:hint="eastAsia" w:ascii="宋体" w:hAnsi="宋体" w:eastAsia="宋体" w:cs="宋体"/>
          <w:spacing w:val="-1"/>
          <w:sz w:val="24"/>
          <w:szCs w:val="24"/>
          <w:lang w:eastAsia="zh-CN"/>
        </w:rPr>
        <w:t>人</w:t>
      </w:r>
      <w:r>
        <w:rPr>
          <w:rFonts w:hint="eastAsia" w:ascii="宋体" w:hAnsi="宋体" w:eastAsia="宋体" w:cs="宋体"/>
          <w:spacing w:val="-1"/>
          <w:sz w:val="24"/>
          <w:szCs w:val="24"/>
        </w:rPr>
        <w:t>员对该项目进行现场勘察及资料收集，确定项</w:t>
      </w:r>
      <w:r>
        <w:rPr>
          <w:rFonts w:hint="eastAsia" w:ascii="宋体" w:hAnsi="宋体" w:eastAsia="宋体" w:cs="宋体"/>
          <w:spacing w:val="-5"/>
          <w:sz w:val="24"/>
          <w:szCs w:val="24"/>
        </w:rPr>
        <w:t>目验收范围为</w:t>
      </w:r>
      <w:r>
        <w:rPr>
          <w:rFonts w:hint="eastAsia" w:ascii="宋体" w:hAnsi="宋体" w:eastAsia="宋体" w:cs="宋体"/>
          <w:sz w:val="24"/>
          <w:szCs w:val="24"/>
        </w:rPr>
        <w:t>崇义县上堡人形水电站</w:t>
      </w:r>
      <w:r>
        <w:rPr>
          <w:rFonts w:hint="eastAsia" w:ascii="宋体" w:hAnsi="宋体" w:eastAsia="宋体" w:cs="宋体"/>
          <w:spacing w:val="-5"/>
          <w:sz w:val="24"/>
          <w:szCs w:val="24"/>
        </w:rPr>
        <w:t>工程及其配套环保设施。后根据现场调查和资料</w:t>
      </w:r>
      <w:r>
        <w:rPr>
          <w:rFonts w:hint="eastAsia" w:ascii="宋体" w:hAnsi="宋体" w:eastAsia="宋体" w:cs="宋体"/>
          <w:spacing w:val="-3"/>
          <w:sz w:val="24"/>
          <w:szCs w:val="24"/>
        </w:rPr>
        <w:t>收集情况编制监测方案，江西</w:t>
      </w:r>
      <w:r>
        <w:rPr>
          <w:rFonts w:hint="eastAsia" w:ascii="宋体" w:hAnsi="宋体" w:eastAsia="宋体" w:cs="宋体"/>
          <w:spacing w:val="-3"/>
          <w:sz w:val="24"/>
          <w:szCs w:val="24"/>
          <w:lang w:eastAsia="zh-CN"/>
        </w:rPr>
        <w:t>中明环境检测</w:t>
      </w:r>
      <w:r>
        <w:rPr>
          <w:rFonts w:hint="eastAsia" w:ascii="宋体" w:hAnsi="宋体" w:eastAsia="宋体" w:cs="宋体"/>
          <w:spacing w:val="-3"/>
          <w:sz w:val="24"/>
          <w:szCs w:val="24"/>
        </w:rPr>
        <w:t>有限公司于</w:t>
      </w:r>
      <w:r>
        <w:rPr>
          <w:rFonts w:hint="eastAsia" w:ascii="Times New Roman" w:hAnsi="Times New Roman" w:eastAsia="宋体" w:cs="Times New Roman"/>
          <w:spacing w:val="0"/>
          <w:sz w:val="24"/>
          <w:szCs w:val="24"/>
          <w:highlight w:val="none"/>
          <w:lang w:val="en-US" w:eastAsia="zh-CN"/>
        </w:rPr>
        <w:t>2020 年09月09日-09月</w:t>
      </w:r>
      <w:r>
        <w:rPr>
          <w:rFonts w:hint="eastAsia" w:ascii="宋体" w:hAnsi="宋体" w:eastAsia="宋体" w:cs="宋体"/>
          <w:spacing w:val="0"/>
          <w:sz w:val="24"/>
          <w:szCs w:val="24"/>
          <w:highlight w:val="none"/>
          <w:lang w:val="en-US" w:eastAsia="zh-CN"/>
        </w:rPr>
        <w:t>10</w:t>
      </w:r>
      <w:r>
        <w:rPr>
          <w:rFonts w:hint="eastAsia" w:ascii="宋体" w:hAnsi="宋体" w:eastAsia="宋体" w:cs="宋体"/>
          <w:spacing w:val="0"/>
          <w:sz w:val="24"/>
          <w:szCs w:val="24"/>
          <w:highlight w:val="none"/>
        </w:rPr>
        <w:t>日</w:t>
      </w:r>
      <w:r>
        <w:rPr>
          <w:rFonts w:hint="eastAsia" w:ascii="宋体" w:hAnsi="宋体" w:eastAsia="宋体" w:cs="宋体"/>
          <w:sz w:val="24"/>
          <w:szCs w:val="24"/>
        </w:rPr>
        <w:t>对电站及坝址所在区域噪声、生活污水进行了现场监测和调查，我单位在</w:t>
      </w:r>
      <w:r>
        <w:rPr>
          <w:rFonts w:hint="eastAsia" w:ascii="宋体" w:hAnsi="宋体" w:eastAsia="宋体" w:cs="宋体"/>
          <w:spacing w:val="-8"/>
          <w:sz w:val="24"/>
          <w:szCs w:val="24"/>
        </w:rPr>
        <w:t>此基础上编制了《</w:t>
      </w:r>
      <w:r>
        <w:rPr>
          <w:rFonts w:hint="eastAsia" w:ascii="宋体" w:hAnsi="宋体" w:eastAsia="宋体" w:cs="宋体"/>
          <w:sz w:val="24"/>
          <w:szCs w:val="24"/>
        </w:rPr>
        <w:t>崇义县上堡人形水电站</w:t>
      </w:r>
      <w:r>
        <w:rPr>
          <w:rFonts w:hint="eastAsia" w:ascii="宋体" w:hAnsi="宋体" w:eastAsia="宋体" w:cs="宋体"/>
          <w:spacing w:val="-8"/>
          <w:sz w:val="24"/>
          <w:szCs w:val="24"/>
        </w:rPr>
        <w:t>工程竣工环境保护验收调查报告》。企业现</w:t>
      </w:r>
      <w:r>
        <w:rPr>
          <w:rFonts w:hint="eastAsia" w:ascii="宋体" w:hAnsi="宋体" w:eastAsia="宋体" w:cs="宋体"/>
          <w:sz w:val="24"/>
          <w:szCs w:val="24"/>
        </w:rPr>
        <w:t>状情况见</w:t>
      </w:r>
      <w:r>
        <w:rPr>
          <w:rFonts w:hint="eastAsia" w:ascii="宋体" w:hAnsi="宋体" w:eastAsia="宋体" w:cs="宋体"/>
          <w:b w:val="0"/>
          <w:bCs/>
          <w:spacing w:val="-1"/>
          <w:sz w:val="24"/>
          <w:szCs w:val="24"/>
        </w:rPr>
        <w:t xml:space="preserve">表 </w:t>
      </w:r>
      <w:r>
        <w:rPr>
          <w:rFonts w:hint="eastAsia" w:ascii="宋体" w:hAnsi="宋体" w:eastAsia="宋体" w:cs="宋体"/>
          <w:b w:val="0"/>
          <w:bCs/>
          <w:sz w:val="24"/>
          <w:szCs w:val="24"/>
        </w:rPr>
        <w:t>1</w:t>
      </w:r>
      <w:r>
        <w:rPr>
          <w:rFonts w:hint="eastAsia" w:ascii="宋体" w:hAnsi="宋体" w:eastAsia="宋体" w:cs="宋体"/>
          <w:b w:val="0"/>
          <w:bCs/>
          <w:spacing w:val="-11"/>
          <w:sz w:val="24"/>
          <w:szCs w:val="24"/>
        </w:rPr>
        <w:t xml:space="preserve">- </w:t>
      </w:r>
      <w:r>
        <w:rPr>
          <w:rFonts w:hint="eastAsia" w:ascii="宋体" w:hAnsi="宋体" w:eastAsia="宋体" w:cs="宋体"/>
          <w:b w:val="0"/>
          <w:bCs/>
          <w:spacing w:val="3"/>
          <w:sz w:val="24"/>
          <w:szCs w:val="24"/>
        </w:rPr>
        <w:t>1</w:t>
      </w:r>
      <w:r>
        <w:rPr>
          <w:rFonts w:hint="eastAsia" w:ascii="宋体" w:hAnsi="宋体" w:eastAsia="宋体" w:cs="宋体"/>
          <w:sz w:val="24"/>
          <w:szCs w:val="24"/>
        </w:rPr>
        <w:t>。</w:t>
      </w:r>
    </w:p>
    <w:p>
      <w:pPr>
        <w:spacing w:before="0" w:line="264" w:lineRule="exact"/>
        <w:ind w:left="0" w:right="12" w:firstLine="0"/>
        <w:jc w:val="center"/>
        <w:rPr>
          <w:rFonts w:hint="eastAsia" w:ascii="宋体" w:hAnsi="宋体" w:eastAsia="宋体" w:cs="宋体"/>
          <w:b/>
          <w:sz w:val="21"/>
        </w:rPr>
      </w:pPr>
      <w:r>
        <w:rPr>
          <w:rFonts w:hint="eastAsia" w:ascii="宋体" w:hAnsi="宋体" w:eastAsia="宋体" w:cs="宋体"/>
          <w:b/>
          <w:sz w:val="21"/>
        </w:rPr>
        <w:t>表 1- 1企业现状情况一览表</w:t>
      </w:r>
    </w:p>
    <w:p>
      <w:pPr>
        <w:pStyle w:val="7"/>
        <w:spacing w:before="10"/>
        <w:rPr>
          <w:b/>
          <w:sz w:val="10"/>
        </w:rPr>
      </w:pPr>
    </w:p>
    <w:tbl>
      <w:tblPr>
        <w:tblStyle w:val="16"/>
        <w:tblW w:w="0" w:type="auto"/>
        <w:tblInd w:w="13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53"/>
        <w:gridCol w:w="2541"/>
        <w:gridCol w:w="1910"/>
        <w:gridCol w:w="739"/>
        <w:gridCol w:w="624"/>
        <w:gridCol w:w="153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53" w:hRule="atLeast"/>
        </w:trPr>
        <w:tc>
          <w:tcPr>
            <w:tcW w:w="1953" w:type="dxa"/>
            <w:tcBorders>
              <w:right w:val="single" w:color="000000" w:sz="6" w:space="0"/>
            </w:tcBorders>
            <w:shd w:val="clear" w:color="auto" w:fill="FFFFFF" w:themeFill="background1"/>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建设项目名称</w:t>
            </w:r>
          </w:p>
        </w:tc>
        <w:tc>
          <w:tcPr>
            <w:tcW w:w="7344" w:type="dxa"/>
            <w:gridSpan w:val="5"/>
            <w:tcBorders>
              <w:left w:val="single" w:color="000000" w:sz="6" w:space="0"/>
            </w:tcBorders>
            <w:shd w:val="clear" w:color="auto" w:fill="FFFFFF" w:themeFill="background1"/>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崇义县上堡人形水电站项目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1953" w:type="dxa"/>
            <w:tcBorders>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建设单位名称</w:t>
            </w:r>
          </w:p>
        </w:tc>
        <w:tc>
          <w:tcPr>
            <w:tcW w:w="7344" w:type="dxa"/>
            <w:gridSpan w:val="5"/>
            <w:tcBorders>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崇义县上堡人形水电站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建设地点</w:t>
            </w:r>
          </w:p>
        </w:tc>
        <w:tc>
          <w:tcPr>
            <w:tcW w:w="7344" w:type="dxa"/>
            <w:gridSpan w:val="5"/>
            <w:tcBorders>
              <w:top w:val="single" w:color="000000" w:sz="6" w:space="0"/>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江西省赣州市崇义县上堡乡正井村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建设项目性质</w:t>
            </w:r>
          </w:p>
        </w:tc>
        <w:tc>
          <w:tcPr>
            <w:tcW w:w="7344" w:type="dxa"/>
            <w:gridSpan w:val="5"/>
            <w:tcBorders>
              <w:top w:val="single" w:color="000000" w:sz="6" w:space="0"/>
              <w:left w:val="single" w:color="000000" w:sz="6" w:space="0"/>
              <w:bottom w:val="single" w:color="000000" w:sz="6" w:space="0"/>
            </w:tcBorders>
          </w:tcPr>
          <w:p>
            <w:pPr>
              <w:pStyle w:val="21"/>
              <w:keepNext w:val="0"/>
              <w:keepLines w:val="0"/>
              <w:pageBreakBefore w:val="0"/>
              <w:widowControl w:val="0"/>
              <w:tabs>
                <w:tab w:val="left" w:pos="892"/>
                <w:tab w:val="left" w:pos="1648"/>
                <w:tab w:val="left" w:pos="2402"/>
              </w:tabs>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sym w:font="Wingdings" w:char="00FE"/>
            </w:r>
            <w:r>
              <w:rPr>
                <w:rFonts w:hint="eastAsia" w:ascii="宋体" w:hAnsi="宋体" w:eastAsia="宋体" w:cs="宋体"/>
                <w:spacing w:val="4"/>
                <w:sz w:val="24"/>
                <w:szCs w:val="24"/>
              </w:rPr>
              <w:t>新建</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lang w:val="en-US" w:eastAsia="zh-CN"/>
              </w:rPr>
              <w:sym w:font="Wingdings" w:char="00A8"/>
            </w:r>
            <w:r>
              <w:rPr>
                <w:rFonts w:hint="eastAsia" w:ascii="宋体" w:hAnsi="宋体" w:eastAsia="宋体" w:cs="宋体"/>
                <w:spacing w:val="4"/>
                <w:sz w:val="24"/>
                <w:szCs w:val="24"/>
              </w:rPr>
              <w:t>扩</w:t>
            </w:r>
            <w:r>
              <w:rPr>
                <w:rFonts w:hint="eastAsia" w:ascii="宋体" w:hAnsi="宋体" w:eastAsia="宋体" w:cs="宋体"/>
                <w:sz w:val="24"/>
                <w:szCs w:val="24"/>
              </w:rPr>
              <w:t>建</w:t>
            </w:r>
            <w:r>
              <w:rPr>
                <w:rFonts w:hint="eastAsia" w:ascii="宋体" w:hAnsi="宋体" w:eastAsia="宋体" w:cs="宋体"/>
                <w:sz w:val="24"/>
                <w:szCs w:val="24"/>
              </w:rPr>
              <w:tab/>
            </w:r>
            <w:r>
              <w:rPr>
                <w:rFonts w:hint="eastAsia" w:ascii="宋体" w:hAnsi="宋体" w:eastAsia="宋体" w:cs="宋体"/>
                <w:sz w:val="24"/>
                <w:szCs w:val="24"/>
              </w:rPr>
              <w:sym w:font="Wingdings" w:char="00A8"/>
            </w:r>
            <w:r>
              <w:rPr>
                <w:rFonts w:hint="eastAsia" w:ascii="宋体" w:hAnsi="宋体" w:eastAsia="宋体" w:cs="宋体"/>
                <w:spacing w:val="4"/>
                <w:sz w:val="24"/>
                <w:szCs w:val="24"/>
              </w:rPr>
              <w:t>技</w:t>
            </w:r>
            <w:r>
              <w:rPr>
                <w:rFonts w:hint="eastAsia" w:ascii="宋体" w:hAnsi="宋体" w:eastAsia="宋体" w:cs="宋体"/>
                <w:sz w:val="24"/>
                <w:szCs w:val="24"/>
              </w:rPr>
              <w:t>改</w:t>
            </w:r>
            <w:r>
              <w:rPr>
                <w:rFonts w:hint="eastAsia" w:ascii="宋体" w:hAnsi="宋体" w:eastAsia="宋体" w:cs="宋体"/>
                <w:sz w:val="24"/>
                <w:szCs w:val="24"/>
              </w:rPr>
              <w:tab/>
            </w:r>
            <w:r>
              <w:rPr>
                <w:rFonts w:hint="eastAsia" w:ascii="宋体" w:hAnsi="宋体" w:eastAsia="宋体" w:cs="宋体"/>
                <w:sz w:val="24"/>
                <w:szCs w:val="24"/>
              </w:rPr>
              <w:sym w:font="Wingdings" w:char="00A8"/>
            </w:r>
            <w:r>
              <w:rPr>
                <w:rFonts w:hint="eastAsia" w:ascii="宋体" w:hAnsi="宋体" w:eastAsia="宋体" w:cs="宋体"/>
                <w:spacing w:val="4"/>
                <w:sz w:val="24"/>
                <w:szCs w:val="24"/>
              </w:rPr>
              <w:t>迁</w:t>
            </w:r>
            <w:r>
              <w:rPr>
                <w:rFonts w:hint="eastAsia" w:ascii="宋体" w:hAnsi="宋体" w:eastAsia="宋体" w:cs="宋体"/>
                <w:sz w:val="24"/>
                <w:szCs w:val="24"/>
              </w:rPr>
              <w:t>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设计生产能力</w:t>
            </w:r>
          </w:p>
        </w:tc>
        <w:tc>
          <w:tcPr>
            <w:tcW w:w="7344" w:type="dxa"/>
            <w:gridSpan w:val="5"/>
            <w:tcBorders>
              <w:top w:val="single" w:color="000000" w:sz="6" w:space="0"/>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装机容量500kw，年设计发电170万kw/h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实际生产能力</w:t>
            </w:r>
          </w:p>
        </w:tc>
        <w:tc>
          <w:tcPr>
            <w:tcW w:w="7344" w:type="dxa"/>
            <w:gridSpan w:val="5"/>
            <w:tcBorders>
              <w:top w:val="single" w:color="000000" w:sz="6" w:space="0"/>
              <w:left w:val="single" w:color="000000" w:sz="6" w:space="0"/>
              <w:bottom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装机容量500kw，年设计发电170万kw/h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建设项目环评时间</w:t>
            </w:r>
          </w:p>
        </w:tc>
        <w:tc>
          <w:tcPr>
            <w:tcW w:w="254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rPr>
              <w:t xml:space="preserve"> </w:t>
            </w:r>
            <w:r>
              <w:rPr>
                <w:rFonts w:hint="eastAsia" w:ascii="宋体" w:hAnsi="宋体" w:eastAsia="宋体" w:cs="宋体"/>
                <w:sz w:val="24"/>
                <w:szCs w:val="24"/>
              </w:rPr>
              <w:t>年</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 xml:space="preserve"> </w:t>
            </w:r>
            <w:r>
              <w:rPr>
                <w:rFonts w:hint="eastAsia" w:ascii="宋体" w:hAnsi="宋体" w:eastAsia="宋体" w:cs="宋体"/>
                <w:sz w:val="24"/>
                <w:szCs w:val="24"/>
              </w:rPr>
              <w:t>月</w:t>
            </w:r>
          </w:p>
        </w:tc>
        <w:tc>
          <w:tcPr>
            <w:tcW w:w="1910"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环评批复文号</w:t>
            </w:r>
          </w:p>
        </w:tc>
        <w:tc>
          <w:tcPr>
            <w:tcW w:w="2893" w:type="dxa"/>
            <w:gridSpan w:val="3"/>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eastAsia="zh-CN"/>
              </w:rPr>
              <w:t>崇环审</w:t>
            </w:r>
            <w:r>
              <w:rPr>
                <w:rFonts w:hint="eastAsia" w:ascii="宋体" w:hAnsi="宋体" w:eastAsia="宋体" w:cs="宋体"/>
                <w:sz w:val="24"/>
                <w:szCs w:val="24"/>
                <w:highlight w:val="none"/>
              </w:rPr>
              <w:t>字</w:t>
            </w:r>
            <w:r>
              <w:rPr>
                <w:rFonts w:hint="eastAsia" w:ascii="Times New Roman" w:hAnsi="Times New Roman" w:eastAsia="宋体" w:cs="Times New Roman"/>
                <w:spacing w:val="-10"/>
                <w:sz w:val="24"/>
                <w:szCs w:val="24"/>
                <w:highlight w:val="none"/>
              </w:rPr>
              <w:t>[20</w:t>
            </w:r>
            <w:r>
              <w:rPr>
                <w:rFonts w:hint="eastAsia" w:ascii="Times New Roman" w:hAnsi="Times New Roman" w:eastAsia="宋体" w:cs="Times New Roman"/>
                <w:spacing w:val="-10"/>
                <w:sz w:val="24"/>
                <w:szCs w:val="24"/>
                <w:highlight w:val="none"/>
                <w:lang w:val="en-US" w:eastAsia="zh-CN"/>
              </w:rPr>
              <w:t>20</w:t>
            </w:r>
            <w:r>
              <w:rPr>
                <w:rFonts w:hint="eastAsia" w:ascii="Times New Roman" w:hAnsi="Times New Roman" w:eastAsia="宋体" w:cs="Times New Roman"/>
                <w:spacing w:val="-10"/>
                <w:sz w:val="24"/>
                <w:szCs w:val="24"/>
                <w:highlight w:val="none"/>
              </w:rPr>
              <w:t>]</w:t>
            </w:r>
            <w:r>
              <w:rPr>
                <w:rFonts w:hint="eastAsia" w:ascii="Times New Roman" w:hAnsi="Times New Roman" w:eastAsia="宋体" w:cs="Times New Roman"/>
                <w:spacing w:val="-10"/>
                <w:sz w:val="24"/>
                <w:szCs w:val="24"/>
                <w:highlight w:val="none"/>
                <w:lang w:val="en-US" w:eastAsia="zh-CN"/>
              </w:rPr>
              <w:t>74</w:t>
            </w:r>
            <w:r>
              <w:rPr>
                <w:rFonts w:hint="eastAsia" w:ascii="宋体" w:hAnsi="宋体" w:eastAsia="宋体" w:cs="宋体"/>
                <w:sz w:val="24"/>
                <w:szCs w:val="24"/>
                <w:highlight w:val="none"/>
              </w:rPr>
              <w:t xml:space="preserve"> 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环评报告书审批</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部门</w:t>
            </w:r>
          </w:p>
        </w:tc>
        <w:tc>
          <w:tcPr>
            <w:tcW w:w="254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eastAsia="zh-CN"/>
              </w:rPr>
              <w:t>赣州市崇义生态环境</w:t>
            </w:r>
            <w:r>
              <w:rPr>
                <w:rFonts w:hint="eastAsia" w:ascii="宋体" w:hAnsi="宋体" w:eastAsia="宋体" w:cs="宋体"/>
                <w:sz w:val="24"/>
                <w:szCs w:val="24"/>
                <w:highlight w:val="none"/>
              </w:rPr>
              <w:t>局</w:t>
            </w:r>
          </w:p>
        </w:tc>
        <w:tc>
          <w:tcPr>
            <w:tcW w:w="1910"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环评报告书编制</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2893" w:type="dxa"/>
            <w:gridSpan w:val="3"/>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Times New Roman" w:hAnsi="Times New Roman" w:eastAsia="宋体" w:cs="Times New Roman"/>
                <w:caps w:val="0"/>
                <w:smallCaps w:val="0"/>
                <w:snapToGrid/>
                <w:spacing w:val="0"/>
                <w:w w:val="100"/>
                <w:kern w:val="2"/>
                <w:position w:val="0"/>
                <w:sz w:val="24"/>
                <w:szCs w:val="22"/>
                <w:lang w:val="en-US" w:eastAsia="zh-CN"/>
              </w:rPr>
              <w:t>赣州市辉昂环保科技有限公司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验收现场监测时间</w:t>
            </w:r>
          </w:p>
        </w:tc>
        <w:tc>
          <w:tcPr>
            <w:tcW w:w="2541"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Times New Roman" w:hAnsi="Times New Roman" w:eastAsia="宋体" w:cs="Times New Roman"/>
                <w:sz w:val="24"/>
                <w:szCs w:val="24"/>
                <w:highlight w:val="none"/>
              </w:rPr>
              <w:t xml:space="preserve">2020 </w:t>
            </w:r>
            <w:r>
              <w:rPr>
                <w:rFonts w:hint="eastAsia" w:ascii="宋体" w:hAnsi="宋体" w:eastAsia="宋体" w:cs="宋体"/>
                <w:spacing w:val="-23"/>
                <w:sz w:val="24"/>
                <w:szCs w:val="24"/>
                <w:highlight w:val="none"/>
              </w:rPr>
              <w:t>年</w:t>
            </w:r>
            <w:r>
              <w:rPr>
                <w:rFonts w:hint="eastAsia" w:ascii="Times New Roman" w:hAnsi="Times New Roman" w:eastAsia="宋体" w:cs="Times New Roman"/>
                <w:sz w:val="24"/>
                <w:szCs w:val="24"/>
                <w:highlight w:val="none"/>
                <w:lang w:val="en-US" w:eastAsia="zh-CN"/>
              </w:rPr>
              <w:t>09</w:t>
            </w:r>
            <w:r>
              <w:rPr>
                <w:rFonts w:hint="eastAsia" w:ascii="宋体" w:hAnsi="宋体" w:eastAsia="宋体" w:cs="宋体"/>
                <w:spacing w:val="-24"/>
                <w:sz w:val="24"/>
                <w:szCs w:val="24"/>
                <w:highlight w:val="none"/>
              </w:rPr>
              <w:t>月</w:t>
            </w:r>
            <w:r>
              <w:rPr>
                <w:rFonts w:hint="eastAsia" w:ascii="Times New Roman" w:hAnsi="Times New Roman" w:eastAsia="宋体" w:cs="Times New Roman"/>
                <w:sz w:val="24"/>
                <w:szCs w:val="24"/>
                <w:highlight w:val="none"/>
                <w:lang w:val="en-US" w:eastAsia="zh-CN"/>
              </w:rPr>
              <w:t>09</w:t>
            </w:r>
            <w:r>
              <w:rPr>
                <w:rFonts w:hint="eastAsia" w:ascii="宋体" w:hAnsi="宋体" w:eastAsia="宋体" w:cs="宋体"/>
                <w:spacing w:val="4"/>
                <w:sz w:val="24"/>
                <w:szCs w:val="24"/>
                <w:highlight w:val="none"/>
              </w:rPr>
              <w:t>日</w:t>
            </w:r>
            <w:r>
              <w:rPr>
                <w:rFonts w:hint="eastAsia" w:ascii="宋体" w:hAnsi="宋体" w:eastAsia="宋体" w:cs="宋体"/>
                <w:sz w:val="24"/>
                <w:szCs w:val="24"/>
                <w:highlight w:val="none"/>
              </w:rPr>
              <w:t>-</w:t>
            </w:r>
            <w:r>
              <w:rPr>
                <w:rFonts w:hint="eastAsia" w:ascii="Times New Roman" w:hAnsi="Times New Roman" w:eastAsia="宋体" w:cs="Times New Roman"/>
                <w:sz w:val="24"/>
                <w:szCs w:val="24"/>
                <w:highlight w:val="none"/>
                <w:lang w:val="en-US" w:eastAsia="zh-CN"/>
              </w:rPr>
              <w:t>09</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eastAsia="zh-CN"/>
              </w:rPr>
              <w:t>月</w:t>
            </w:r>
            <w:r>
              <w:rPr>
                <w:rFonts w:hint="eastAsia" w:ascii="Times New Roman" w:hAnsi="Times New Roman" w:eastAsia="宋体" w:cs="Times New Roman"/>
                <w:sz w:val="24"/>
                <w:szCs w:val="24"/>
                <w:highlight w:val="none"/>
                <w:lang w:val="en-US" w:eastAsia="zh-CN"/>
              </w:rPr>
              <w:t>10</w:t>
            </w:r>
            <w:r>
              <w:rPr>
                <w:rFonts w:hint="eastAsia" w:ascii="Times New Roman" w:hAnsi="Times New Roman" w:eastAsia="宋体" w:cs="Times New Roman"/>
                <w:sz w:val="24"/>
                <w:szCs w:val="24"/>
                <w:highlight w:val="none"/>
              </w:rPr>
              <w:t>日</w:t>
            </w:r>
          </w:p>
        </w:tc>
        <w:tc>
          <w:tcPr>
            <w:tcW w:w="1910"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验收监测单位</w:t>
            </w:r>
          </w:p>
        </w:tc>
        <w:tc>
          <w:tcPr>
            <w:tcW w:w="2893" w:type="dxa"/>
            <w:gridSpan w:val="3"/>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江西</w:t>
            </w:r>
            <w:r>
              <w:rPr>
                <w:rFonts w:hint="eastAsia" w:ascii="宋体" w:hAnsi="宋体" w:eastAsia="宋体" w:cs="宋体"/>
                <w:sz w:val="24"/>
                <w:szCs w:val="24"/>
                <w:lang w:eastAsia="zh-CN"/>
              </w:rPr>
              <w:t>中明环境检测</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发电隧洞及压力管道等主体工程开工时间</w:t>
            </w:r>
          </w:p>
        </w:tc>
        <w:tc>
          <w:tcPr>
            <w:tcW w:w="254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yellow"/>
              </w:rPr>
            </w:pPr>
            <w:r>
              <w:rPr>
                <w:rFonts w:hint="default" w:ascii="Times New Roman" w:hAnsi="Times New Roman" w:eastAsia="宋体" w:cs="Times New Roman"/>
                <w:snapToGrid w:val="0"/>
                <w:color w:val="auto"/>
                <w:sz w:val="24"/>
                <w:lang w:val="en-US" w:eastAsia="zh-CN"/>
              </w:rPr>
              <w:t>2005年8月</w:t>
            </w:r>
          </w:p>
        </w:tc>
        <w:tc>
          <w:tcPr>
            <w:tcW w:w="191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hanging="106"/>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拦水堰坝、引水</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hanging="106"/>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明渠工程完成时间</w:t>
            </w:r>
          </w:p>
        </w:tc>
        <w:tc>
          <w:tcPr>
            <w:tcW w:w="2893" w:type="dxa"/>
            <w:gridSpan w:val="3"/>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yellow"/>
              </w:rPr>
            </w:pPr>
            <w:r>
              <w:rPr>
                <w:rFonts w:hint="default" w:ascii="Times New Roman" w:hAnsi="Times New Roman" w:eastAsia="宋体" w:cs="Times New Roman"/>
                <w:snapToGrid w:val="0"/>
                <w:color w:val="auto"/>
                <w:sz w:val="24"/>
                <w:lang w:val="en-US" w:eastAsia="zh-CN"/>
              </w:rPr>
              <w:t>2006年9月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发电厂房及升压站</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（土建）完成时间</w:t>
            </w:r>
          </w:p>
        </w:tc>
        <w:tc>
          <w:tcPr>
            <w:tcW w:w="254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yellow"/>
              </w:rPr>
            </w:pPr>
            <w:r>
              <w:rPr>
                <w:rFonts w:hint="default" w:ascii="Times New Roman" w:hAnsi="Times New Roman" w:eastAsia="宋体" w:cs="Times New Roman"/>
                <w:snapToGrid w:val="0"/>
                <w:color w:val="auto"/>
                <w:sz w:val="24"/>
                <w:lang w:val="en-US" w:eastAsia="zh-CN"/>
              </w:rPr>
              <w:t>2006年9月</w:t>
            </w:r>
          </w:p>
        </w:tc>
        <w:tc>
          <w:tcPr>
            <w:tcW w:w="191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机电设备安装开工时间</w:t>
            </w:r>
          </w:p>
        </w:tc>
        <w:tc>
          <w:tcPr>
            <w:tcW w:w="2893" w:type="dxa"/>
            <w:gridSpan w:val="3"/>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yellow"/>
              </w:rPr>
            </w:pPr>
            <w:r>
              <w:rPr>
                <w:rFonts w:hint="default" w:ascii="Times New Roman" w:hAnsi="Times New Roman" w:eastAsia="宋体" w:cs="Times New Roman"/>
                <w:snapToGrid w:val="0"/>
                <w:color w:val="auto"/>
                <w:sz w:val="24"/>
                <w:lang w:val="en-US" w:eastAsia="zh-CN"/>
              </w:rPr>
              <w:t>2006年9月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电站整体</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完工时间</w:t>
            </w:r>
          </w:p>
        </w:tc>
        <w:tc>
          <w:tcPr>
            <w:tcW w:w="254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yellow"/>
              </w:rPr>
            </w:pPr>
            <w:r>
              <w:rPr>
                <w:rFonts w:hint="default" w:ascii="Times New Roman" w:hAnsi="Times New Roman" w:eastAsia="宋体" w:cs="Times New Roman"/>
                <w:snapToGrid w:val="0"/>
                <w:color w:val="auto"/>
                <w:sz w:val="24"/>
                <w:lang w:val="en-US" w:eastAsia="zh-CN"/>
              </w:rPr>
              <w:t>2006年9月</w:t>
            </w:r>
          </w:p>
        </w:tc>
        <w:tc>
          <w:tcPr>
            <w:tcW w:w="1910"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并网试运行时间</w:t>
            </w:r>
          </w:p>
        </w:tc>
        <w:tc>
          <w:tcPr>
            <w:tcW w:w="2893" w:type="dxa"/>
            <w:gridSpan w:val="3"/>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yellow"/>
              </w:rPr>
            </w:pPr>
            <w:r>
              <w:rPr>
                <w:rFonts w:hint="default" w:ascii="Times New Roman" w:hAnsi="Times New Roman" w:eastAsia="宋体" w:cs="Times New Roman"/>
                <w:snapToGrid w:val="0"/>
                <w:color w:val="auto"/>
                <w:sz w:val="24"/>
                <w:lang w:val="en-US" w:eastAsia="zh-CN"/>
              </w:rPr>
              <w:t>2006年9月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1953" w:type="dxa"/>
            <w:tcBorders>
              <w:top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投资总概算</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（万元）</w:t>
            </w:r>
          </w:p>
        </w:tc>
        <w:tc>
          <w:tcPr>
            <w:tcW w:w="2541"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252</w:t>
            </w:r>
          </w:p>
        </w:tc>
        <w:tc>
          <w:tcPr>
            <w:tcW w:w="1910" w:type="dxa"/>
            <w:tcBorders>
              <w:top w:val="single" w:color="000000" w:sz="6" w:space="0"/>
              <w:left w:val="single" w:color="000000" w:sz="6" w:space="0"/>
              <w:bottom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pacing w:val="-10"/>
                <w:sz w:val="24"/>
                <w:szCs w:val="24"/>
                <w:highlight w:val="none"/>
              </w:rPr>
            </w:pPr>
            <w:r>
              <w:rPr>
                <w:rFonts w:hint="eastAsia" w:ascii="宋体" w:hAnsi="宋体" w:eastAsia="宋体" w:cs="宋体"/>
                <w:spacing w:val="-10"/>
                <w:sz w:val="24"/>
                <w:szCs w:val="24"/>
                <w:highlight w:val="none"/>
              </w:rPr>
              <w:t>环保投资总概算</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lang w:eastAsia="zh-CN"/>
              </w:rPr>
            </w:pPr>
            <w:r>
              <w:rPr>
                <w:rFonts w:hint="eastAsia" w:ascii="宋体" w:hAnsi="宋体" w:eastAsia="宋体" w:cs="宋体"/>
                <w:spacing w:val="4"/>
                <w:sz w:val="24"/>
                <w:szCs w:val="24"/>
                <w:highlight w:val="none"/>
              </w:rPr>
              <w:t>（</w:t>
            </w:r>
            <w:r>
              <w:rPr>
                <w:rFonts w:hint="eastAsia" w:ascii="宋体" w:hAnsi="宋体" w:eastAsia="宋体" w:cs="宋体"/>
                <w:spacing w:val="2"/>
                <w:sz w:val="24"/>
                <w:szCs w:val="24"/>
                <w:highlight w:val="none"/>
              </w:rPr>
              <w:t>万元</w:t>
            </w:r>
            <w:r>
              <w:rPr>
                <w:rFonts w:hint="eastAsia" w:ascii="宋体" w:hAnsi="宋体" w:eastAsia="宋体" w:cs="宋体"/>
                <w:spacing w:val="2"/>
                <w:sz w:val="24"/>
                <w:szCs w:val="24"/>
                <w:highlight w:val="none"/>
                <w:lang w:eastAsia="zh-CN"/>
              </w:rPr>
              <w:t>）</w:t>
            </w:r>
          </w:p>
        </w:tc>
        <w:tc>
          <w:tcPr>
            <w:tcW w:w="73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15.7</w:t>
            </w:r>
          </w:p>
        </w:tc>
        <w:tc>
          <w:tcPr>
            <w:tcW w:w="624"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比例</w:t>
            </w:r>
          </w:p>
        </w:tc>
        <w:tc>
          <w:tcPr>
            <w:tcW w:w="153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lang w:val="en-US" w:eastAsia="zh-CN"/>
              </w:rPr>
            </w:pPr>
            <w:r>
              <w:rPr>
                <w:rFonts w:hint="eastAsia" w:ascii="Times New Roman" w:hAnsi="Times New Roman" w:eastAsia="宋体" w:cs="Times New Roman"/>
                <w:sz w:val="24"/>
                <w:szCs w:val="24"/>
                <w:highlight w:val="none"/>
                <w:lang w:val="en-US" w:eastAsia="zh-CN"/>
              </w:rPr>
              <w:t>6.23%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953" w:type="dxa"/>
            <w:tcBorders>
              <w:top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实际总投资</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（万元）</w:t>
            </w:r>
          </w:p>
        </w:tc>
        <w:tc>
          <w:tcPr>
            <w:tcW w:w="2541"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252</w:t>
            </w:r>
          </w:p>
        </w:tc>
        <w:tc>
          <w:tcPr>
            <w:tcW w:w="1910" w:type="dxa"/>
            <w:tcBorders>
              <w:top w:val="single" w:color="000000" w:sz="6" w:space="0"/>
              <w:left w:val="single" w:color="000000" w:sz="6" w:space="0"/>
              <w:right w:val="single" w:color="000000" w:sz="6" w:space="0"/>
            </w:tcBorders>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实际环保投资</w:t>
            </w:r>
          </w:p>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（万元）</w:t>
            </w:r>
          </w:p>
        </w:tc>
        <w:tc>
          <w:tcPr>
            <w:tcW w:w="73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15.7</w:t>
            </w:r>
          </w:p>
        </w:tc>
        <w:tc>
          <w:tcPr>
            <w:tcW w:w="624"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比例</w:t>
            </w:r>
          </w:p>
        </w:tc>
        <w:tc>
          <w:tcPr>
            <w:tcW w:w="1530" w:type="dxa"/>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0" w:lineRule="atLeast"/>
              <w:ind w:left="0" w:right="0"/>
              <w:jc w:val="center"/>
              <w:textAlignment w:val="auto"/>
              <w:rPr>
                <w:rFonts w:hint="eastAsia" w:ascii="宋体" w:hAnsi="宋体" w:eastAsia="宋体" w:cs="宋体"/>
                <w:sz w:val="24"/>
                <w:szCs w:val="24"/>
                <w:highlight w:val="none"/>
              </w:rPr>
            </w:pPr>
            <w:r>
              <w:rPr>
                <w:rFonts w:hint="eastAsia" w:ascii="Times New Roman" w:hAnsi="Times New Roman" w:eastAsia="宋体" w:cs="Times New Roman"/>
                <w:sz w:val="24"/>
                <w:szCs w:val="24"/>
                <w:highlight w:val="none"/>
                <w:lang w:val="en-US" w:eastAsia="zh-CN"/>
              </w:rPr>
              <w:t>6.23</w:t>
            </w:r>
            <w:r>
              <w:rPr>
                <w:rFonts w:hint="eastAsia" w:ascii="Times New Roman" w:hAnsi="Times New Roman" w:eastAsia="宋体" w:cs="Times New Roman"/>
                <w:sz w:val="24"/>
                <w:szCs w:val="24"/>
                <w:highlight w:val="none"/>
              </w:rPr>
              <w:t>%</w:t>
            </w:r>
          </w:p>
        </w:tc>
      </w:tr>
    </w:tbl>
    <w:p>
      <w:pPr>
        <w:spacing w:after="0"/>
        <w:rPr>
          <w:rFonts w:ascii="Times New Roman"/>
          <w:sz w:val="21"/>
        </w:rPr>
        <w:sectPr>
          <w:pgSz w:w="11910" w:h="16840"/>
          <w:pgMar w:top="1380" w:right="1160" w:bottom="1180" w:left="1180" w:header="0" w:footer="991" w:gutter="0"/>
          <w:pgBorders>
            <w:top w:val="none" w:sz="0" w:space="0"/>
            <w:left w:val="none" w:sz="0" w:space="0"/>
            <w:bottom w:val="none" w:sz="0" w:space="0"/>
            <w:right w:val="none" w:sz="0" w:space="0"/>
          </w:pgBorders>
          <w:pgNumType w:fmt="decimal"/>
        </w:sectPr>
      </w:pPr>
    </w:p>
    <w:p>
      <w:pPr>
        <w:pStyle w:val="4"/>
        <w:numPr>
          <w:ilvl w:val="1"/>
          <w:numId w:val="2"/>
        </w:numPr>
        <w:tabs>
          <w:tab w:val="left" w:pos="1220"/>
        </w:tabs>
        <w:spacing w:before="84" w:after="0" w:line="240" w:lineRule="auto"/>
        <w:ind w:left="1220" w:right="0" w:hanging="603"/>
        <w:jc w:val="left"/>
        <w:rPr>
          <w:rFonts w:hint="eastAsia" w:ascii="宋体" w:hAnsi="宋体" w:eastAsia="宋体" w:cs="宋体"/>
        </w:rPr>
      </w:pPr>
      <w:bookmarkStart w:id="6" w:name="1.2编制依据"/>
      <w:bookmarkEnd w:id="6"/>
      <w:bookmarkStart w:id="7" w:name="_bookmark2"/>
      <w:bookmarkEnd w:id="7"/>
      <w:bookmarkStart w:id="8" w:name="_bookmark2"/>
      <w:bookmarkEnd w:id="8"/>
      <w:r>
        <w:rPr>
          <w:rFonts w:hint="eastAsia" w:ascii="宋体" w:hAnsi="宋体" w:eastAsia="宋体" w:cs="宋体"/>
        </w:rPr>
        <w:t>编制依据</w:t>
      </w:r>
    </w:p>
    <w:p>
      <w:pPr>
        <w:pStyle w:val="20"/>
        <w:numPr>
          <w:ilvl w:val="2"/>
          <w:numId w:val="2"/>
        </w:numPr>
        <w:tabs>
          <w:tab w:val="left" w:pos="1316"/>
        </w:tabs>
        <w:spacing w:before="245" w:after="0" w:line="240" w:lineRule="auto"/>
        <w:ind w:left="1316" w:right="0" w:hanging="699"/>
        <w:jc w:val="left"/>
        <w:rPr>
          <w:rFonts w:hint="eastAsia" w:ascii="宋体" w:hAnsi="宋体" w:eastAsia="宋体" w:cs="宋体"/>
          <w:b/>
          <w:sz w:val="28"/>
        </w:rPr>
      </w:pPr>
      <w:bookmarkStart w:id="9" w:name="1.2.1建设项目环境保护相关法律、法规和规章制度"/>
      <w:bookmarkEnd w:id="9"/>
      <w:bookmarkStart w:id="10" w:name="1.2.1建设项目环境保护相关法律、法规和规章制度"/>
      <w:bookmarkEnd w:id="10"/>
      <w:r>
        <w:rPr>
          <w:rFonts w:hint="eastAsia" w:ascii="宋体" w:hAnsi="宋体" w:eastAsia="宋体" w:cs="宋体"/>
          <w:b/>
          <w:sz w:val="28"/>
        </w:rPr>
        <w:t>建设项目环境保护相关法律、法规和规章制度</w:t>
      </w:r>
    </w:p>
    <w:p>
      <w:pPr>
        <w:pStyle w:val="7"/>
        <w:spacing w:before="10"/>
        <w:rPr>
          <w:b/>
          <w:sz w:val="23"/>
        </w:rPr>
      </w:pP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72" w:firstLineChars="200"/>
        <w:jc w:val="left"/>
        <w:textAlignment w:val="auto"/>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《中华人民共和国环境噪声污染防治法</w:t>
      </w:r>
      <w:r>
        <w:rPr>
          <w:rFonts w:hint="eastAsia" w:ascii="宋体" w:hAnsi="宋体" w:eastAsia="宋体" w:cs="宋体"/>
          <w:sz w:val="24"/>
          <w:szCs w:val="24"/>
        </w:rPr>
        <w:t>（</w:t>
      </w:r>
      <w:r>
        <w:rPr>
          <w:rFonts w:hint="default" w:ascii="Times New Roman" w:hAnsi="Times New Roman" w:eastAsia="宋体" w:cs="Times New Roman"/>
          <w:sz w:val="24"/>
          <w:szCs w:val="24"/>
        </w:rPr>
        <w:t>2018</w:t>
      </w:r>
      <w:r>
        <w:rPr>
          <w:rFonts w:hint="eastAsia" w:ascii="宋体" w:hAnsi="宋体" w:eastAsia="宋体" w:cs="宋体"/>
          <w:sz w:val="24"/>
          <w:szCs w:val="24"/>
        </w:rPr>
        <w:t>年修订）</w:t>
      </w:r>
      <w:r>
        <w:rPr>
          <w:rFonts w:hint="eastAsia" w:ascii="宋体" w:hAnsi="宋体" w:eastAsia="宋体" w:cs="宋体"/>
          <w:spacing w:val="-2"/>
          <w:sz w:val="24"/>
          <w:szCs w:val="24"/>
        </w:rPr>
        <w:t>》主席令</w:t>
      </w:r>
      <w:r>
        <w:rPr>
          <w:rFonts w:hint="eastAsia" w:ascii="宋体" w:hAnsi="宋体" w:eastAsia="宋体" w:cs="宋体"/>
          <w:spacing w:val="-3"/>
          <w:sz w:val="24"/>
          <w:szCs w:val="24"/>
        </w:rPr>
        <w:t>（</w:t>
      </w:r>
      <w:r>
        <w:rPr>
          <w:rFonts w:hint="eastAsia" w:ascii="宋体" w:hAnsi="宋体" w:eastAsia="宋体" w:cs="宋体"/>
          <w:spacing w:val="-12"/>
          <w:sz w:val="24"/>
          <w:szCs w:val="24"/>
        </w:rPr>
        <w:t>第</w:t>
      </w:r>
      <w:r>
        <w:rPr>
          <w:rFonts w:hint="eastAsia" w:ascii="宋体" w:hAnsi="宋体" w:eastAsia="宋体" w:cs="宋体"/>
          <w:sz w:val="24"/>
          <w:szCs w:val="24"/>
        </w:rPr>
        <w:t>二十四号），中华人民共和国，</w:t>
      </w:r>
      <w:r>
        <w:rPr>
          <w:rFonts w:hint="eastAsia" w:ascii="Times New Roman" w:hAnsi="Times New Roman" w:eastAsia="宋体" w:cs="Times New Roman"/>
          <w:sz w:val="24"/>
          <w:szCs w:val="24"/>
        </w:rPr>
        <w:t xml:space="preserve">2018-12-29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2018-12-29 </w:t>
      </w:r>
      <w:r>
        <w:rPr>
          <w:rFonts w:hint="eastAsia" w:ascii="宋体" w:hAnsi="宋体" w:eastAsia="宋体" w:cs="宋体"/>
          <w:sz w:val="24"/>
          <w:szCs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《中华人民共和国固体废物污染环境防治法（</w:t>
      </w:r>
      <w:r>
        <w:rPr>
          <w:rFonts w:hint="eastAsia" w:ascii="Times New Roman" w:hAnsi="Times New Roman" w:eastAsia="宋体" w:cs="Times New Roman"/>
          <w:sz w:val="24"/>
          <w:szCs w:val="24"/>
        </w:rPr>
        <w:t xml:space="preserve">2016 </w:t>
      </w:r>
      <w:r>
        <w:rPr>
          <w:rFonts w:hint="eastAsia" w:ascii="宋体" w:hAnsi="宋体" w:eastAsia="宋体" w:cs="宋体"/>
          <w:sz w:val="24"/>
          <w:szCs w:val="24"/>
        </w:rPr>
        <w:t>年修订）》主席令（第五十八号），中华人民共和国，</w:t>
      </w:r>
      <w:r>
        <w:rPr>
          <w:rFonts w:hint="eastAsia" w:ascii="Times New Roman" w:hAnsi="Times New Roman" w:eastAsia="宋体" w:cs="Times New Roman"/>
          <w:sz w:val="24"/>
          <w:szCs w:val="24"/>
        </w:rPr>
        <w:t xml:space="preserve"> 2016-11-07 </w:t>
      </w:r>
      <w:r>
        <w:rPr>
          <w:rFonts w:hint="eastAsia" w:ascii="宋体" w:hAnsi="宋体" w:eastAsia="宋体" w:cs="宋体"/>
          <w:sz w:val="24"/>
          <w:szCs w:val="24"/>
        </w:rPr>
        <w:t>发布，</w:t>
      </w:r>
      <w:r>
        <w:rPr>
          <w:rFonts w:hint="eastAsia" w:ascii="Times New Roman" w:hAnsi="Times New Roman" w:eastAsia="宋体" w:cs="Times New Roman"/>
          <w:sz w:val="24"/>
          <w:szCs w:val="24"/>
        </w:rPr>
        <w:t>2016-11-07 施</w:t>
      </w:r>
      <w:r>
        <w:rPr>
          <w:rFonts w:hint="eastAsia" w:ascii="宋体" w:hAnsi="宋体" w:eastAsia="宋体" w:cs="宋体"/>
          <w:sz w:val="24"/>
          <w:szCs w:val="24"/>
        </w:rPr>
        <w:t>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72" w:firstLineChars="200"/>
        <w:jc w:val="left"/>
        <w:textAlignment w:val="auto"/>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《中华人民共和国大气污染防治法</w:t>
      </w:r>
      <w:r>
        <w:rPr>
          <w:rFonts w:hint="eastAsia" w:ascii="宋体" w:hAnsi="宋体" w:eastAsia="宋体" w:cs="宋体"/>
          <w:sz w:val="24"/>
          <w:szCs w:val="24"/>
        </w:rPr>
        <w:t>（</w:t>
      </w:r>
      <w:r>
        <w:rPr>
          <w:rFonts w:hint="eastAsia" w:ascii="Times New Roman" w:hAnsi="Times New Roman" w:eastAsia="宋体" w:cs="Times New Roman"/>
          <w:sz w:val="24"/>
          <w:szCs w:val="24"/>
        </w:rPr>
        <w:t>2018 年</w:t>
      </w:r>
      <w:r>
        <w:rPr>
          <w:rFonts w:hint="eastAsia" w:ascii="宋体" w:hAnsi="宋体" w:eastAsia="宋体" w:cs="宋体"/>
          <w:sz w:val="24"/>
          <w:szCs w:val="24"/>
        </w:rPr>
        <w:t>修正）》主席令（</w:t>
      </w:r>
      <w:r>
        <w:rPr>
          <w:rFonts w:hint="eastAsia" w:ascii="宋体" w:hAnsi="宋体" w:eastAsia="宋体" w:cs="宋体"/>
          <w:spacing w:val="-5"/>
          <w:sz w:val="24"/>
          <w:szCs w:val="24"/>
        </w:rPr>
        <w:t>第十六</w:t>
      </w:r>
      <w:r>
        <w:rPr>
          <w:rFonts w:hint="eastAsia" w:ascii="宋体" w:hAnsi="宋体" w:eastAsia="宋体" w:cs="宋体"/>
          <w:sz w:val="24"/>
          <w:szCs w:val="24"/>
        </w:rPr>
        <w:t>号），</w:t>
      </w:r>
      <w:r>
        <w:rPr>
          <w:rFonts w:hint="eastAsia" w:ascii="宋体" w:hAnsi="宋体" w:eastAsia="宋体" w:cs="宋体"/>
          <w:spacing w:val="-1"/>
          <w:sz w:val="24"/>
          <w:szCs w:val="24"/>
        </w:rPr>
        <w:t xml:space="preserve">中华人民共和国， </w:t>
      </w:r>
      <w:r>
        <w:rPr>
          <w:rFonts w:hint="eastAsia" w:ascii="Times New Roman" w:hAnsi="Times New Roman" w:eastAsia="宋体" w:cs="Times New Roman"/>
          <w:sz w:val="24"/>
          <w:szCs w:val="24"/>
        </w:rPr>
        <w:t xml:space="preserve">2018-10-26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2018-10-26 </w:t>
      </w:r>
      <w:r>
        <w:rPr>
          <w:rFonts w:hint="eastAsia" w:ascii="宋体" w:hAnsi="宋体" w:eastAsia="宋体" w:cs="宋体"/>
          <w:sz w:val="24"/>
          <w:szCs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24" w:firstLineChars="200"/>
        <w:jc w:val="left"/>
        <w:textAlignment w:val="auto"/>
        <w:rPr>
          <w:rFonts w:hint="eastAsia" w:ascii="Times New Roman" w:hAnsi="Times New Roman" w:eastAsia="宋体" w:cs="Times New Roman"/>
          <w:sz w:val="24"/>
          <w:szCs w:val="24"/>
        </w:rPr>
      </w:pPr>
      <w:r>
        <w:rPr>
          <w:rFonts w:hint="eastAsia" w:ascii="宋体" w:hAnsi="宋体" w:eastAsia="宋体" w:cs="宋体"/>
          <w:spacing w:val="-14"/>
          <w:sz w:val="24"/>
          <w:szCs w:val="24"/>
          <w:lang w:eastAsia="zh-CN"/>
        </w:rPr>
        <w:t>（</w:t>
      </w:r>
      <w:r>
        <w:rPr>
          <w:rFonts w:hint="eastAsia" w:ascii="宋体" w:hAnsi="宋体" w:eastAsia="宋体" w:cs="宋体"/>
          <w:spacing w:val="-14"/>
          <w:sz w:val="24"/>
          <w:szCs w:val="24"/>
          <w:lang w:val="en-US" w:eastAsia="zh-CN"/>
        </w:rPr>
        <w:t>4</w:t>
      </w:r>
      <w:r>
        <w:rPr>
          <w:rFonts w:hint="eastAsia" w:ascii="宋体" w:hAnsi="宋体" w:eastAsia="宋体" w:cs="宋体"/>
          <w:spacing w:val="-14"/>
          <w:sz w:val="24"/>
          <w:szCs w:val="24"/>
          <w:lang w:eastAsia="zh-CN"/>
        </w:rPr>
        <w:t>）</w:t>
      </w:r>
      <w:r>
        <w:rPr>
          <w:rFonts w:hint="eastAsia" w:ascii="宋体" w:hAnsi="宋体" w:eastAsia="宋体" w:cs="宋体"/>
          <w:spacing w:val="-14"/>
          <w:sz w:val="24"/>
          <w:szCs w:val="24"/>
        </w:rPr>
        <w:t>中华人民共和国，主席令</w:t>
      </w:r>
      <w:r>
        <w:rPr>
          <w:rFonts w:hint="eastAsia" w:ascii="宋体" w:hAnsi="宋体" w:eastAsia="宋体" w:cs="宋体"/>
          <w:spacing w:val="-5"/>
          <w:sz w:val="24"/>
          <w:szCs w:val="24"/>
        </w:rPr>
        <w:t>（</w:t>
      </w:r>
      <w:r>
        <w:rPr>
          <w:rFonts w:hint="eastAsia" w:ascii="宋体" w:hAnsi="宋体" w:eastAsia="宋体" w:cs="宋体"/>
          <w:sz w:val="24"/>
          <w:szCs w:val="24"/>
        </w:rPr>
        <w:t>第九号</w:t>
      </w:r>
      <w:r>
        <w:rPr>
          <w:rFonts w:hint="eastAsia" w:ascii="宋体" w:hAnsi="宋体" w:eastAsia="宋体" w:cs="宋体"/>
          <w:spacing w:val="-140"/>
          <w:sz w:val="24"/>
          <w:szCs w:val="24"/>
        </w:rPr>
        <w:t>）</w:t>
      </w:r>
      <w:r>
        <w:rPr>
          <w:rFonts w:hint="eastAsia" w:ascii="宋体" w:hAnsi="宋体" w:eastAsia="宋体" w:cs="宋体"/>
          <w:spacing w:val="-8"/>
          <w:sz w:val="24"/>
          <w:szCs w:val="24"/>
        </w:rPr>
        <w:t>《中华人民共和国环境保护法</w:t>
      </w:r>
      <w:r>
        <w:rPr>
          <w:rFonts w:hint="eastAsia" w:ascii="宋体" w:hAnsi="宋体" w:eastAsia="宋体" w:cs="宋体"/>
          <w:spacing w:val="-4"/>
          <w:sz w:val="24"/>
          <w:szCs w:val="24"/>
        </w:rPr>
        <w:t>（</w:t>
      </w:r>
      <w:r>
        <w:rPr>
          <w:rFonts w:hint="eastAsia" w:ascii="Times New Roman" w:hAnsi="Times New Roman" w:eastAsia="宋体" w:cs="Times New Roman"/>
          <w:sz w:val="24"/>
          <w:szCs w:val="24"/>
        </w:rPr>
        <w:t>2014</w:t>
      </w:r>
      <w:r>
        <w:rPr>
          <w:rFonts w:hint="eastAsia" w:ascii="宋体" w:hAnsi="宋体" w:eastAsia="宋体" w:cs="宋体"/>
          <w:sz w:val="24"/>
          <w:szCs w:val="24"/>
        </w:rPr>
        <w:t>年修订）》，</w:t>
      </w:r>
      <w:r>
        <w:rPr>
          <w:rFonts w:hint="eastAsia" w:ascii="Times New Roman" w:hAnsi="Times New Roman" w:eastAsia="宋体" w:cs="Times New Roman"/>
          <w:sz w:val="24"/>
          <w:szCs w:val="24"/>
        </w:rPr>
        <w:t>2014-04-24 发布，2015-01-01 施行。</w:t>
      </w: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《中华人民共和国土壤污染防治法》主席令（第八号），中华人民共和国，</w:t>
      </w:r>
      <w:r>
        <w:rPr>
          <w:rFonts w:hint="eastAsia" w:ascii="Times New Roman" w:hAnsi="Times New Roman" w:eastAsia="宋体" w:cs="Times New Roman"/>
          <w:sz w:val="24"/>
          <w:szCs w:val="24"/>
        </w:rPr>
        <w:t xml:space="preserve">2018-8-31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2019-1-1 </w:t>
      </w:r>
      <w:r>
        <w:rPr>
          <w:rFonts w:hint="eastAsia" w:ascii="宋体" w:hAnsi="宋体" w:eastAsia="宋体" w:cs="宋体"/>
          <w:sz w:val="24"/>
          <w:szCs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60" w:firstLineChars="200"/>
        <w:jc w:val="left"/>
        <w:textAlignment w:val="auto"/>
        <w:rPr>
          <w:rFonts w:hint="eastAsia"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6</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《中华人民共和国水污染防治法</w:t>
      </w:r>
      <w:r>
        <w:rPr>
          <w:rFonts w:hint="eastAsia" w:ascii="宋体" w:hAnsi="宋体" w:eastAsia="宋体" w:cs="宋体"/>
          <w:sz w:val="24"/>
          <w:szCs w:val="24"/>
        </w:rPr>
        <w:t>（</w:t>
      </w:r>
      <w:r>
        <w:rPr>
          <w:rFonts w:hint="eastAsia" w:ascii="Times New Roman" w:hAnsi="Times New Roman" w:eastAsia="宋体" w:cs="Times New Roman"/>
          <w:sz w:val="24"/>
          <w:szCs w:val="24"/>
        </w:rPr>
        <w:t xml:space="preserve">2017 </w:t>
      </w:r>
      <w:r>
        <w:rPr>
          <w:rFonts w:hint="eastAsia" w:ascii="宋体" w:hAnsi="宋体" w:eastAsia="宋体" w:cs="宋体"/>
          <w:sz w:val="24"/>
          <w:szCs w:val="24"/>
        </w:rPr>
        <w:t>年修订</w:t>
      </w:r>
      <w:r>
        <w:rPr>
          <w:rFonts w:hint="eastAsia" w:ascii="宋体" w:hAnsi="宋体" w:eastAsia="宋体" w:cs="宋体"/>
          <w:spacing w:val="-39"/>
          <w:sz w:val="24"/>
          <w:szCs w:val="24"/>
        </w:rPr>
        <w:t>）</w:t>
      </w:r>
      <w:r>
        <w:rPr>
          <w:rFonts w:hint="eastAsia" w:ascii="宋体" w:hAnsi="宋体" w:eastAsia="宋体" w:cs="宋体"/>
          <w:spacing w:val="-21"/>
          <w:sz w:val="24"/>
          <w:szCs w:val="24"/>
        </w:rPr>
        <w:t>》主席令</w:t>
      </w:r>
      <w:r>
        <w:rPr>
          <w:rFonts w:hint="eastAsia" w:ascii="宋体" w:hAnsi="宋体" w:eastAsia="宋体" w:cs="宋体"/>
          <w:spacing w:val="-3"/>
          <w:sz w:val="24"/>
          <w:szCs w:val="24"/>
        </w:rPr>
        <w:t>（</w:t>
      </w:r>
      <w:r>
        <w:rPr>
          <w:rFonts w:hint="eastAsia" w:ascii="宋体" w:hAnsi="宋体" w:eastAsia="宋体" w:cs="宋体"/>
          <w:sz w:val="24"/>
          <w:szCs w:val="24"/>
        </w:rPr>
        <w:t>第七十号</w:t>
      </w:r>
      <w:r>
        <w:rPr>
          <w:rFonts w:hint="eastAsia" w:ascii="宋体" w:hAnsi="宋体" w:eastAsia="宋体" w:cs="宋体"/>
          <w:spacing w:val="-126"/>
          <w:sz w:val="24"/>
          <w:szCs w:val="24"/>
        </w:rPr>
        <w:t>）</w:t>
      </w:r>
      <w:r>
        <w:rPr>
          <w:rFonts w:hint="eastAsia" w:ascii="宋体" w:hAnsi="宋体" w:eastAsia="宋体" w:cs="宋体"/>
          <w:spacing w:val="-2"/>
          <w:sz w:val="24"/>
          <w:szCs w:val="24"/>
        </w:rPr>
        <w:t>，中华人民共和国，</w:t>
      </w:r>
      <w:r>
        <w:rPr>
          <w:rFonts w:hint="eastAsia" w:ascii="Times New Roman" w:hAnsi="Times New Roman" w:eastAsia="宋体" w:cs="Times New Roman"/>
          <w:sz w:val="24"/>
          <w:szCs w:val="24"/>
        </w:rPr>
        <w:t xml:space="preserve">2017-06-27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2018-01-01 </w:t>
      </w:r>
      <w:r>
        <w:rPr>
          <w:rFonts w:hint="eastAsia" w:ascii="宋体" w:hAnsi="宋体" w:eastAsia="宋体" w:cs="宋体"/>
          <w:sz w:val="24"/>
          <w:szCs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《中华人民共和国土地管理法》（</w:t>
      </w:r>
      <w:r>
        <w:rPr>
          <w:rFonts w:hint="eastAsia" w:ascii="Times New Roman" w:hAnsi="Times New Roman" w:eastAsia="宋体" w:cs="Times New Roman"/>
          <w:sz w:val="24"/>
          <w:szCs w:val="24"/>
        </w:rPr>
        <w:t>2004. 8</w:t>
      </w:r>
      <w:r>
        <w:rPr>
          <w:rFonts w:hint="eastAsia" w:ascii="宋体" w:hAnsi="宋体" w:eastAsia="宋体" w:cs="宋体"/>
          <w:sz w:val="24"/>
          <w:szCs w:val="24"/>
        </w:rPr>
        <w:t>）；</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中华人民共和国，主席令（第三号）《中华人民共和国森林法</w:t>
      </w:r>
      <w:r>
        <w:rPr>
          <w:rFonts w:hint="eastAsia" w:ascii="宋体" w:hAnsi="宋体" w:eastAsia="宋体" w:cs="宋体"/>
          <w:spacing w:val="-4"/>
          <w:sz w:val="24"/>
          <w:szCs w:val="24"/>
        </w:rPr>
        <w:t>（</w:t>
      </w:r>
      <w:r>
        <w:rPr>
          <w:rFonts w:hint="eastAsia" w:ascii="Times New Roman" w:hAnsi="Times New Roman" w:eastAsia="宋体" w:cs="Times New Roman"/>
          <w:sz w:val="24"/>
          <w:szCs w:val="24"/>
        </w:rPr>
        <w:t xml:space="preserve">2009 </w:t>
      </w:r>
      <w:r>
        <w:rPr>
          <w:rFonts w:hint="eastAsia" w:ascii="宋体" w:hAnsi="宋体" w:eastAsia="宋体" w:cs="宋体"/>
          <w:sz w:val="24"/>
          <w:szCs w:val="24"/>
        </w:rPr>
        <w:t>年修订）》，</w:t>
      </w:r>
      <w:r>
        <w:rPr>
          <w:rFonts w:hint="eastAsia" w:ascii="Times New Roman" w:hAnsi="Times New Roman" w:eastAsia="宋体" w:cs="Times New Roman"/>
          <w:sz w:val="24"/>
          <w:szCs w:val="24"/>
        </w:rPr>
        <w:t xml:space="preserve">2009-08-17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2009-08-17 </w:t>
      </w:r>
      <w:r>
        <w:rPr>
          <w:rFonts w:hint="eastAsia" w:ascii="宋体" w:hAnsi="宋体" w:eastAsia="宋体" w:cs="宋体"/>
          <w:sz w:val="24"/>
          <w:szCs w:val="24"/>
        </w:rPr>
        <w:t>施行；</w:t>
      </w: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中华人民共和国，主席令（第三十九号）《中华人民共和国水土保持法（</w:t>
      </w:r>
      <w:r>
        <w:rPr>
          <w:rFonts w:hint="eastAsia" w:ascii="Times New Roman" w:hAnsi="Times New Roman" w:eastAsia="宋体" w:cs="Times New Roman"/>
          <w:sz w:val="24"/>
          <w:szCs w:val="24"/>
        </w:rPr>
        <w:t>2010</w:t>
      </w:r>
      <w:r>
        <w:rPr>
          <w:rFonts w:hint="eastAsia" w:ascii="宋体" w:hAnsi="宋体" w:eastAsia="宋体" w:cs="宋体"/>
          <w:spacing w:val="-1"/>
          <w:sz w:val="24"/>
          <w:szCs w:val="24"/>
        </w:rPr>
        <w:t xml:space="preserve"> </w:t>
      </w:r>
      <w:r>
        <w:rPr>
          <w:rFonts w:hint="eastAsia" w:ascii="宋体" w:hAnsi="宋体" w:eastAsia="宋体" w:cs="宋体"/>
          <w:sz w:val="24"/>
          <w:szCs w:val="24"/>
        </w:rPr>
        <w:t>年修订）》，</w:t>
      </w:r>
      <w:r>
        <w:rPr>
          <w:rFonts w:hint="eastAsia" w:ascii="Times New Roman" w:hAnsi="Times New Roman" w:eastAsia="宋体" w:cs="Times New Roman"/>
          <w:sz w:val="24"/>
          <w:szCs w:val="24"/>
        </w:rPr>
        <w:t xml:space="preserve">2010-12-25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2011-03-01 </w:t>
      </w:r>
      <w:r>
        <w:rPr>
          <w:rFonts w:hint="eastAsia" w:ascii="宋体" w:hAnsi="宋体" w:eastAsia="宋体" w:cs="宋体"/>
          <w:sz w:val="24"/>
          <w:szCs w:val="24"/>
        </w:rPr>
        <w:t>施行；</w:t>
      </w:r>
    </w:p>
    <w:p>
      <w:pPr>
        <w:pStyle w:val="20"/>
        <w:keepNext w:val="0"/>
        <w:keepLines w:val="0"/>
        <w:pageBreakBefore w:val="0"/>
        <w:widowControl w:val="0"/>
        <w:numPr>
          <w:ilvl w:val="0"/>
          <w:numId w:val="0"/>
        </w:numPr>
        <w:tabs>
          <w:tab w:val="left" w:pos="1793"/>
        </w:tabs>
        <w:kinsoku/>
        <w:wordWrap/>
        <w:overflowPunct/>
        <w:topLinePunct w:val="0"/>
        <w:autoSpaceDE w:val="0"/>
        <w:autoSpaceDN w:val="0"/>
        <w:bidi w:val="0"/>
        <w:adjustRightInd/>
        <w:snapToGrid/>
        <w:spacing w:before="0" w:after="0" w:line="360" w:lineRule="auto"/>
        <w:ind w:leftChars="0" w:right="0" w:rightChars="0" w:firstLine="460" w:firstLineChars="200"/>
        <w:jc w:val="left"/>
        <w:textAlignment w:val="auto"/>
        <w:rPr>
          <w:rFonts w:hint="eastAsia" w:ascii="宋体" w:hAnsi="宋体" w:eastAsia="宋体" w:cs="宋体"/>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10</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《中华人民共和国野生动物保护法》</w:t>
      </w:r>
      <w:r>
        <w:rPr>
          <w:rFonts w:hint="eastAsia" w:ascii="宋体" w:hAnsi="宋体" w:eastAsia="宋体" w:cs="宋体"/>
          <w:sz w:val="24"/>
          <w:szCs w:val="24"/>
        </w:rPr>
        <w:t>（</w:t>
      </w:r>
      <w:r>
        <w:rPr>
          <w:rFonts w:hint="eastAsia" w:ascii="Times New Roman" w:hAnsi="Times New Roman" w:eastAsia="宋体" w:cs="Times New Roman"/>
          <w:sz w:val="24"/>
          <w:szCs w:val="24"/>
        </w:rPr>
        <w:t xml:space="preserve">2016 </w:t>
      </w:r>
      <w:r>
        <w:rPr>
          <w:rFonts w:hint="eastAsia" w:ascii="宋体" w:hAnsi="宋体" w:eastAsia="宋体" w:cs="宋体"/>
          <w:spacing w:val="-30"/>
          <w:sz w:val="24"/>
          <w:szCs w:val="24"/>
        </w:rPr>
        <w:t>年</w:t>
      </w:r>
      <w:r>
        <w:rPr>
          <w:rFonts w:hint="eastAsia" w:ascii="Times New Roman" w:hAnsi="Times New Roman" w:eastAsia="宋体" w:cs="Times New Roman"/>
          <w:sz w:val="24"/>
          <w:szCs w:val="24"/>
        </w:rPr>
        <w:t xml:space="preserve"> 7 </w:t>
      </w:r>
      <w:r>
        <w:rPr>
          <w:rFonts w:hint="eastAsia" w:ascii="宋体" w:hAnsi="宋体" w:eastAsia="宋体" w:cs="宋体"/>
          <w:spacing w:val="-30"/>
          <w:sz w:val="24"/>
          <w:szCs w:val="24"/>
        </w:rPr>
        <w:t>月</w:t>
      </w:r>
      <w:r>
        <w:rPr>
          <w:rFonts w:hint="eastAsia" w:ascii="Times New Roman" w:hAnsi="Times New Roman" w:eastAsia="宋体" w:cs="Times New Roman"/>
          <w:sz w:val="24"/>
          <w:szCs w:val="24"/>
        </w:rPr>
        <w:t xml:space="preserve"> 2 </w:t>
      </w:r>
      <w:r>
        <w:rPr>
          <w:rFonts w:hint="eastAsia" w:ascii="宋体" w:hAnsi="宋体" w:eastAsia="宋体" w:cs="宋体"/>
          <w:spacing w:val="-17"/>
          <w:sz w:val="24"/>
          <w:szCs w:val="24"/>
        </w:rPr>
        <w:t>日修订，自</w:t>
      </w:r>
      <w:r>
        <w:rPr>
          <w:rFonts w:hint="eastAsia" w:ascii="Times New Roman" w:hAnsi="Times New Roman" w:eastAsia="宋体" w:cs="Times New Roman"/>
          <w:sz w:val="24"/>
          <w:szCs w:val="24"/>
        </w:rPr>
        <w:t xml:space="preserve"> 2017</w:t>
      </w:r>
      <w:r>
        <w:rPr>
          <w:rFonts w:hint="eastAsia" w:ascii="宋体" w:hAnsi="宋体" w:eastAsia="宋体" w:cs="宋体"/>
          <w:sz w:val="24"/>
          <w:szCs w:val="24"/>
        </w:rPr>
        <w:t>年</w:t>
      </w:r>
      <w:r>
        <w:rPr>
          <w:rFonts w:hint="eastAsia" w:ascii="Times New Roman" w:hAnsi="Times New Roman" w:eastAsia="宋体" w:cs="Times New Roman"/>
          <w:sz w:val="24"/>
          <w:szCs w:val="24"/>
        </w:rPr>
        <w:t xml:space="preserve"> 1 </w:t>
      </w:r>
      <w:r>
        <w:rPr>
          <w:rFonts w:hint="eastAsia" w:ascii="宋体" w:hAnsi="宋体" w:eastAsia="宋体" w:cs="宋体"/>
          <w:sz w:val="24"/>
          <w:szCs w:val="24"/>
        </w:rPr>
        <w:t>月</w:t>
      </w:r>
      <w:r>
        <w:rPr>
          <w:rFonts w:hint="eastAsia" w:ascii="Times New Roman" w:hAnsi="Times New Roman" w:eastAsia="宋体" w:cs="Times New Roman"/>
          <w:sz w:val="24"/>
          <w:szCs w:val="24"/>
        </w:rPr>
        <w:t xml:space="preserve"> 1 </w:t>
      </w:r>
      <w:r>
        <w:rPr>
          <w:rFonts w:hint="eastAsia" w:ascii="宋体" w:hAnsi="宋体" w:eastAsia="宋体" w:cs="宋体"/>
          <w:sz w:val="24"/>
          <w:szCs w:val="24"/>
        </w:rPr>
        <w:t>日起施行）；</w:t>
      </w:r>
    </w:p>
    <w:p>
      <w:pPr>
        <w:pStyle w:val="20"/>
        <w:keepNext w:val="0"/>
        <w:keepLines w:val="0"/>
        <w:pageBreakBefore w:val="0"/>
        <w:widowControl w:val="0"/>
        <w:numPr>
          <w:ilvl w:val="0"/>
          <w:numId w:val="0"/>
        </w:numPr>
        <w:tabs>
          <w:tab w:val="left" w:pos="1783"/>
        </w:tabs>
        <w:kinsoku/>
        <w:wordWrap/>
        <w:overflowPunct/>
        <w:topLinePunct w:val="0"/>
        <w:autoSpaceDE w:val="0"/>
        <w:autoSpaceDN w:val="0"/>
        <w:bidi w:val="0"/>
        <w:adjustRightInd/>
        <w:snapToGrid/>
        <w:spacing w:before="0" w:after="0" w:line="360" w:lineRule="auto"/>
        <w:ind w:leftChars="0" w:right="0" w:rightChars="0" w:firstLine="444" w:firstLineChars="200"/>
        <w:jc w:val="left"/>
        <w:textAlignment w:val="auto"/>
        <w:rPr>
          <w:rFonts w:hint="eastAsia" w:ascii="宋体" w:hAnsi="宋体" w:eastAsia="宋体" w:cs="宋体"/>
          <w:sz w:val="24"/>
          <w:szCs w:val="24"/>
        </w:rPr>
      </w:pP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11</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国务院，国令第</w:t>
      </w:r>
      <w:r>
        <w:rPr>
          <w:rFonts w:hint="eastAsia" w:ascii="Times New Roman" w:hAnsi="Times New Roman" w:eastAsia="宋体" w:cs="Times New Roman"/>
          <w:sz w:val="24"/>
          <w:szCs w:val="24"/>
        </w:rPr>
        <w:t xml:space="preserve"> 682 </w:t>
      </w:r>
      <w:r>
        <w:rPr>
          <w:rFonts w:hint="eastAsia" w:ascii="宋体" w:hAnsi="宋体" w:eastAsia="宋体" w:cs="宋体"/>
          <w:sz w:val="24"/>
          <w:szCs w:val="24"/>
        </w:rPr>
        <w:t>号《建设项目环境保护管理条例》，</w:t>
      </w:r>
      <w:r>
        <w:rPr>
          <w:rFonts w:hint="eastAsia" w:ascii="Times New Roman" w:hAnsi="Times New Roman" w:eastAsia="宋体" w:cs="Times New Roman"/>
          <w:sz w:val="24"/>
          <w:szCs w:val="24"/>
        </w:rPr>
        <w:t xml:space="preserve">2017-08-01 </w:t>
      </w:r>
      <w:r>
        <w:rPr>
          <w:rFonts w:hint="eastAsia" w:ascii="宋体" w:hAnsi="宋体" w:eastAsia="宋体" w:cs="宋体"/>
          <w:sz w:val="24"/>
          <w:szCs w:val="24"/>
        </w:rPr>
        <w:t>发布，</w:t>
      </w:r>
      <w:r>
        <w:rPr>
          <w:rFonts w:hint="eastAsia" w:ascii="Times New Roman" w:hAnsi="Times New Roman" w:eastAsia="宋体" w:cs="Times New Roman"/>
          <w:sz w:val="24"/>
          <w:szCs w:val="24"/>
        </w:rPr>
        <w:t xml:space="preserve">2017-10-01 </w:t>
      </w:r>
      <w:r>
        <w:rPr>
          <w:rFonts w:hint="eastAsia" w:ascii="宋体" w:hAnsi="宋体" w:eastAsia="宋体" w:cs="宋体"/>
          <w:sz w:val="24"/>
          <w:szCs w:val="24"/>
        </w:rPr>
        <w:t>施行。</w:t>
      </w:r>
    </w:p>
    <w:p>
      <w:pPr>
        <w:pStyle w:val="20"/>
        <w:numPr>
          <w:ilvl w:val="2"/>
          <w:numId w:val="2"/>
        </w:numPr>
        <w:tabs>
          <w:tab w:val="left" w:pos="1316"/>
        </w:tabs>
        <w:spacing w:before="120" w:after="0" w:line="240" w:lineRule="auto"/>
        <w:ind w:left="1316" w:right="0" w:hanging="699"/>
        <w:jc w:val="left"/>
        <w:rPr>
          <w:rFonts w:hint="eastAsia" w:ascii="宋体" w:hAnsi="宋体" w:eastAsia="宋体" w:cs="宋体"/>
          <w:b/>
          <w:sz w:val="28"/>
        </w:rPr>
      </w:pPr>
      <w:bookmarkStart w:id="11" w:name="1.2.2建设项目竣工环境保护设施验收技术规范和指南"/>
      <w:bookmarkEnd w:id="11"/>
      <w:bookmarkStart w:id="12" w:name="1.2.2建设项目竣工环境保护设施验收技术规范和指南"/>
      <w:bookmarkEnd w:id="12"/>
      <w:r>
        <w:rPr>
          <w:rFonts w:hint="eastAsia" w:ascii="宋体" w:hAnsi="宋体" w:eastAsia="宋体" w:cs="宋体"/>
          <w:b/>
          <w:sz w:val="28"/>
        </w:rPr>
        <w:t>建设项目竣工环境保护设施验收技术规范和指南</w:t>
      </w:r>
    </w:p>
    <w:p>
      <w:pPr>
        <w:pStyle w:val="7"/>
        <w:spacing w:before="10"/>
        <w:rPr>
          <w:b/>
          <w:sz w:val="23"/>
        </w:rPr>
      </w:pPr>
    </w:p>
    <w:p>
      <w:pPr>
        <w:pStyle w:val="20"/>
        <w:keepNext w:val="0"/>
        <w:keepLines w:val="0"/>
        <w:pageBreakBefore w:val="0"/>
        <w:widowControl w:val="0"/>
        <w:numPr>
          <w:ilvl w:val="0"/>
          <w:numId w:val="0"/>
        </w:numPr>
        <w:tabs>
          <w:tab w:val="left" w:pos="1679"/>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环境保护部，环环评</w:t>
      </w:r>
      <w:r>
        <w:rPr>
          <w:rFonts w:hint="default" w:ascii="Times New Roman" w:hAnsi="Times New Roman" w:eastAsia="宋体" w:cs="Times New Roman"/>
          <w:sz w:val="24"/>
        </w:rPr>
        <w:t>[2018]11</w:t>
      </w:r>
      <w:r>
        <w:rPr>
          <w:rFonts w:hint="default" w:ascii="Times New Roman" w:hAnsi="Times New Roman" w:eastAsia="宋体" w:cs="Times New Roman"/>
          <w:spacing w:val="20"/>
          <w:sz w:val="24"/>
        </w:rPr>
        <w:t xml:space="preserve"> </w:t>
      </w:r>
      <w:r>
        <w:rPr>
          <w:rFonts w:hint="eastAsia" w:ascii="宋体" w:hAnsi="宋体" w:eastAsia="宋体" w:cs="宋体"/>
          <w:sz w:val="24"/>
        </w:rPr>
        <w:t>号《关于强化建设项目环境影响评价事中事后监管的实施意见》，</w:t>
      </w:r>
      <w:r>
        <w:rPr>
          <w:rFonts w:hint="eastAsia" w:ascii="Times New Roman" w:hAnsi="Times New Roman" w:eastAsia="宋体" w:cs="Times New Roman"/>
          <w:sz w:val="24"/>
        </w:rPr>
        <w:t xml:space="preserve">2018-01-25 </w:t>
      </w:r>
      <w:r>
        <w:rPr>
          <w:rFonts w:hint="eastAsia" w:ascii="宋体" w:hAnsi="宋体" w:eastAsia="宋体" w:cs="宋体"/>
          <w:sz w:val="24"/>
        </w:rPr>
        <w:t>发布，</w:t>
      </w:r>
      <w:r>
        <w:rPr>
          <w:rFonts w:hint="eastAsia" w:ascii="Times New Roman" w:hAnsi="Times New Roman" w:eastAsia="宋体" w:cs="Times New Roman"/>
          <w:sz w:val="24"/>
        </w:rPr>
        <w:t xml:space="preserve">2018-01-26 </w:t>
      </w:r>
      <w:r>
        <w:rPr>
          <w:rFonts w:hint="eastAsia" w:ascii="宋体" w:hAnsi="宋体" w:eastAsia="宋体" w:cs="宋体"/>
          <w:sz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68" w:firstLineChars="200"/>
        <w:jc w:val="left"/>
        <w:textAlignment w:val="auto"/>
        <w:rPr>
          <w:rFonts w:hint="eastAsia" w:ascii="宋体" w:hAnsi="宋体" w:eastAsia="宋体" w:cs="宋体"/>
          <w:sz w:val="24"/>
        </w:rPr>
      </w:pPr>
      <w:r>
        <w:rPr>
          <w:rFonts w:hint="eastAsia" w:ascii="宋体" w:hAnsi="宋体" w:eastAsia="宋体" w:cs="宋体"/>
          <w:spacing w:val="-3"/>
          <w:sz w:val="24"/>
          <w:lang w:eastAsia="zh-CN"/>
        </w:rPr>
        <w:t>（</w:t>
      </w:r>
      <w:r>
        <w:rPr>
          <w:rFonts w:hint="eastAsia" w:ascii="宋体" w:hAnsi="宋体" w:eastAsia="宋体" w:cs="宋体"/>
          <w:spacing w:val="-3"/>
          <w:sz w:val="24"/>
          <w:lang w:val="en-US" w:eastAsia="zh-CN"/>
        </w:rPr>
        <w:t>2</w:t>
      </w:r>
      <w:r>
        <w:rPr>
          <w:rFonts w:hint="eastAsia" w:ascii="宋体" w:hAnsi="宋体" w:eastAsia="宋体" w:cs="宋体"/>
          <w:spacing w:val="-3"/>
          <w:sz w:val="24"/>
          <w:lang w:eastAsia="zh-CN"/>
        </w:rPr>
        <w:t>）</w:t>
      </w:r>
      <w:r>
        <w:rPr>
          <w:rFonts w:hint="eastAsia" w:ascii="宋体" w:hAnsi="宋体" w:eastAsia="宋体" w:cs="宋体"/>
          <w:spacing w:val="-3"/>
          <w:sz w:val="24"/>
        </w:rPr>
        <w:t>环境保护部，国环规环评</w:t>
      </w:r>
      <w:r>
        <w:rPr>
          <w:rFonts w:hint="eastAsia" w:ascii="Times New Roman" w:hAnsi="Times New Roman" w:eastAsia="宋体" w:cs="Times New Roman"/>
          <w:sz w:val="24"/>
        </w:rPr>
        <w:t xml:space="preserve">[2017]4 </w:t>
      </w:r>
      <w:r>
        <w:rPr>
          <w:rFonts w:hint="eastAsia" w:ascii="宋体" w:hAnsi="宋体" w:eastAsia="宋体" w:cs="宋体"/>
          <w:spacing w:val="-5"/>
          <w:sz w:val="24"/>
        </w:rPr>
        <w:t>号《建设项目竣工环境保护验收暂行</w:t>
      </w:r>
      <w:r>
        <w:rPr>
          <w:rFonts w:hint="eastAsia" w:ascii="宋体" w:hAnsi="宋体" w:eastAsia="宋体" w:cs="宋体"/>
          <w:sz w:val="24"/>
        </w:rPr>
        <w:t>办法》，</w:t>
      </w:r>
      <w:r>
        <w:rPr>
          <w:rFonts w:hint="eastAsia" w:ascii="Times New Roman" w:hAnsi="Times New Roman" w:eastAsia="宋体" w:cs="Times New Roman"/>
          <w:sz w:val="24"/>
        </w:rPr>
        <w:t xml:space="preserve">2017-11-20 </w:t>
      </w:r>
      <w:r>
        <w:rPr>
          <w:rFonts w:hint="eastAsia" w:ascii="宋体" w:hAnsi="宋体" w:eastAsia="宋体" w:cs="宋体"/>
          <w:sz w:val="24"/>
        </w:rPr>
        <w:t>发布，</w:t>
      </w:r>
      <w:r>
        <w:rPr>
          <w:rFonts w:hint="eastAsia" w:ascii="Times New Roman" w:hAnsi="Times New Roman" w:eastAsia="宋体" w:cs="Times New Roman"/>
          <w:sz w:val="24"/>
        </w:rPr>
        <w:t xml:space="preserve">2017-11-20 </w:t>
      </w:r>
      <w:r>
        <w:rPr>
          <w:rFonts w:hint="eastAsia" w:ascii="宋体" w:hAnsi="宋体" w:eastAsia="宋体" w:cs="宋体"/>
          <w:sz w:val="24"/>
        </w:rPr>
        <w:t>施行。</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sectPr>
          <w:pgSz w:w="11910" w:h="16840"/>
          <w:pgMar w:top="1580" w:right="1160" w:bottom="1180" w:left="1180" w:header="0" w:footer="991" w:gutter="0"/>
          <w:pgBorders>
            <w:top w:val="none" w:sz="0" w:space="0"/>
            <w:left w:val="none" w:sz="0" w:space="0"/>
            <w:bottom w:val="none" w:sz="0" w:space="0"/>
            <w:right w:val="none" w:sz="0" w:space="0"/>
          </w:pgBorders>
          <w:pgNumType w:fmt="decimal"/>
        </w:sectPr>
      </w:pPr>
    </w:p>
    <w:p>
      <w:pPr>
        <w:pStyle w:val="20"/>
        <w:keepNext w:val="0"/>
        <w:keepLines w:val="0"/>
        <w:pageBreakBefore w:val="0"/>
        <w:widowControl w:val="0"/>
        <w:numPr>
          <w:ilvl w:val="0"/>
          <w:numId w:val="0"/>
        </w:numPr>
        <w:tabs>
          <w:tab w:val="left" w:pos="1679"/>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环境保护部，环办</w:t>
      </w:r>
      <w:r>
        <w:rPr>
          <w:rFonts w:hint="eastAsia" w:ascii="Times New Roman" w:hAnsi="Times New Roman" w:eastAsia="宋体" w:cs="Times New Roman"/>
          <w:sz w:val="24"/>
        </w:rPr>
        <w:t xml:space="preserve">[2015]52 </w:t>
      </w:r>
      <w:r>
        <w:rPr>
          <w:rFonts w:hint="eastAsia" w:ascii="宋体" w:hAnsi="宋体" w:eastAsia="宋体" w:cs="宋体"/>
          <w:sz w:val="24"/>
        </w:rPr>
        <w:t>号《关于印发环评管理中部分行业建设项目重大变动清单的通知》，</w:t>
      </w:r>
      <w:r>
        <w:rPr>
          <w:rFonts w:hint="eastAsia" w:ascii="Times New Roman" w:hAnsi="Times New Roman" w:eastAsia="宋体" w:cs="Times New Roman"/>
          <w:sz w:val="24"/>
        </w:rPr>
        <w:t xml:space="preserve">2015-06-04 </w:t>
      </w:r>
      <w:r>
        <w:rPr>
          <w:rFonts w:hint="eastAsia" w:ascii="宋体" w:hAnsi="宋体" w:eastAsia="宋体" w:cs="宋体"/>
          <w:sz w:val="24"/>
        </w:rPr>
        <w:t>发布，</w:t>
      </w:r>
      <w:r>
        <w:rPr>
          <w:rFonts w:hint="eastAsia" w:ascii="Times New Roman" w:hAnsi="Times New Roman" w:eastAsia="宋体" w:cs="Times New Roman"/>
          <w:sz w:val="24"/>
        </w:rPr>
        <w:t xml:space="preserve">2015-06-04 </w:t>
      </w:r>
      <w:r>
        <w:rPr>
          <w:rFonts w:hint="eastAsia" w:ascii="宋体" w:hAnsi="宋体" w:eastAsia="宋体" w:cs="宋体"/>
          <w:sz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68" w:firstLineChars="200"/>
        <w:jc w:val="left"/>
        <w:textAlignment w:val="auto"/>
        <w:rPr>
          <w:rFonts w:hint="eastAsia" w:ascii="宋体" w:hAnsi="宋体" w:eastAsia="宋体" w:cs="宋体"/>
          <w:sz w:val="24"/>
        </w:rPr>
      </w:pPr>
      <w:r>
        <w:rPr>
          <w:rFonts w:hint="eastAsia" w:ascii="宋体" w:hAnsi="宋体" w:eastAsia="宋体" w:cs="宋体"/>
          <w:spacing w:val="-3"/>
          <w:sz w:val="24"/>
          <w:lang w:eastAsia="zh-CN"/>
        </w:rPr>
        <w:t>（</w:t>
      </w:r>
      <w:r>
        <w:rPr>
          <w:rFonts w:hint="eastAsia" w:ascii="宋体" w:hAnsi="宋体" w:eastAsia="宋体" w:cs="宋体"/>
          <w:spacing w:val="-3"/>
          <w:sz w:val="24"/>
          <w:lang w:val="en-US" w:eastAsia="zh-CN"/>
        </w:rPr>
        <w:t>4</w:t>
      </w:r>
      <w:r>
        <w:rPr>
          <w:rFonts w:hint="eastAsia" w:ascii="宋体" w:hAnsi="宋体" w:eastAsia="宋体" w:cs="宋体"/>
          <w:spacing w:val="-3"/>
          <w:sz w:val="24"/>
          <w:lang w:eastAsia="zh-CN"/>
        </w:rPr>
        <w:t>）</w:t>
      </w:r>
      <w:r>
        <w:rPr>
          <w:rFonts w:hint="eastAsia" w:ascii="宋体" w:hAnsi="宋体" w:eastAsia="宋体" w:cs="宋体"/>
          <w:spacing w:val="-3"/>
          <w:sz w:val="24"/>
        </w:rPr>
        <w:t>环境保护部，环发</w:t>
      </w:r>
      <w:r>
        <w:rPr>
          <w:rFonts w:hint="eastAsia" w:ascii="Times New Roman" w:hAnsi="Times New Roman" w:eastAsia="宋体" w:cs="Times New Roman"/>
          <w:sz w:val="24"/>
        </w:rPr>
        <w:t xml:space="preserve">[2015]163 </w:t>
      </w:r>
      <w:r>
        <w:rPr>
          <w:rFonts w:hint="eastAsia" w:ascii="宋体" w:hAnsi="宋体" w:eastAsia="宋体" w:cs="宋体"/>
          <w:spacing w:val="-5"/>
          <w:sz w:val="24"/>
        </w:rPr>
        <w:t>号《建设项目环境保护事中事后监督管理</w:t>
      </w:r>
      <w:r>
        <w:rPr>
          <w:rFonts w:hint="eastAsia" w:ascii="宋体" w:hAnsi="宋体" w:eastAsia="宋体" w:cs="宋体"/>
          <w:sz w:val="24"/>
        </w:rPr>
        <w:t>办法（试行）&gt;的通知》，</w:t>
      </w:r>
      <w:r>
        <w:rPr>
          <w:rFonts w:hint="eastAsia" w:ascii="Times New Roman" w:hAnsi="Times New Roman" w:eastAsia="宋体" w:cs="Times New Roman"/>
          <w:sz w:val="24"/>
        </w:rPr>
        <w:t>2015-12-11 发</w:t>
      </w:r>
      <w:r>
        <w:rPr>
          <w:rFonts w:hint="eastAsia" w:ascii="宋体" w:hAnsi="宋体" w:eastAsia="宋体" w:cs="宋体"/>
          <w:sz w:val="24"/>
        </w:rPr>
        <w:t>布，</w:t>
      </w:r>
      <w:r>
        <w:rPr>
          <w:rFonts w:hint="eastAsia" w:ascii="Times New Roman" w:hAnsi="Times New Roman" w:eastAsia="宋体" w:cs="Times New Roman"/>
          <w:sz w:val="24"/>
        </w:rPr>
        <w:t xml:space="preserve">2015-12-11 </w:t>
      </w:r>
      <w:r>
        <w:rPr>
          <w:rFonts w:hint="eastAsia" w:ascii="宋体" w:hAnsi="宋体" w:eastAsia="宋体" w:cs="宋体"/>
          <w:sz w:val="24"/>
        </w:rPr>
        <w:t>施行。</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《建设项目竣工环境保护验收技术规范生态影响类》</w:t>
      </w:r>
      <w:r>
        <w:rPr>
          <w:rFonts w:hint="eastAsia" w:ascii="宋体" w:hAnsi="宋体" w:eastAsia="宋体" w:cs="宋体"/>
          <w:sz w:val="24"/>
          <w:lang w:eastAsia="zh-CN"/>
        </w:rPr>
        <w:t>（</w:t>
      </w:r>
      <w:r>
        <w:rPr>
          <w:rFonts w:hint="eastAsia" w:ascii="Times New Roman" w:hAnsi="Times New Roman" w:eastAsia="宋体" w:cs="Times New Roman"/>
          <w:sz w:val="24"/>
        </w:rPr>
        <w:t>HJ394-2007</w:t>
      </w:r>
      <w:r>
        <w:rPr>
          <w:rFonts w:hint="eastAsia" w:ascii="Times New Roman" w:hAnsi="Times New Roman" w:eastAsia="宋体" w:cs="Times New Roman"/>
          <w:sz w:val="24"/>
          <w:lang w:eastAsia="zh-CN"/>
        </w:rPr>
        <w:t>）</w:t>
      </w:r>
      <w:r>
        <w:rPr>
          <w:rFonts w:hint="eastAsia" w:ascii="宋体" w:hAnsi="宋体" w:eastAsia="宋体" w:cs="宋体"/>
          <w:sz w:val="24"/>
        </w:rPr>
        <w:t>；</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6</w:t>
      </w:r>
      <w:r>
        <w:rPr>
          <w:rFonts w:hint="eastAsia" w:ascii="宋体" w:hAnsi="宋体" w:eastAsia="宋体" w:cs="宋体"/>
          <w:sz w:val="24"/>
          <w:lang w:eastAsia="zh-CN"/>
        </w:rPr>
        <w:t>）</w:t>
      </w:r>
      <w:r>
        <w:rPr>
          <w:rFonts w:hint="eastAsia" w:ascii="宋体" w:hAnsi="宋体" w:eastAsia="宋体" w:cs="宋体"/>
          <w:sz w:val="24"/>
        </w:rPr>
        <w:t>《建设项目竣工环境保护验收技术规范水利水电》</w:t>
      </w:r>
      <w:r>
        <w:rPr>
          <w:rFonts w:hint="eastAsia" w:ascii="宋体" w:hAnsi="宋体" w:eastAsia="宋体" w:cs="宋体"/>
          <w:sz w:val="24"/>
          <w:lang w:eastAsia="zh-CN"/>
        </w:rPr>
        <w:t>（</w:t>
      </w:r>
      <w:r>
        <w:rPr>
          <w:rFonts w:hint="eastAsia" w:ascii="Times New Roman" w:hAnsi="Times New Roman" w:eastAsia="宋体" w:cs="Times New Roman"/>
          <w:sz w:val="24"/>
        </w:rPr>
        <w:t>HJ 464-2009</w:t>
      </w:r>
      <w:r>
        <w:rPr>
          <w:rFonts w:hint="eastAsia" w:ascii="Times New Roman" w:hAnsi="Times New Roman" w:eastAsia="宋体" w:cs="Times New Roman"/>
          <w:sz w:val="24"/>
          <w:lang w:eastAsia="zh-CN"/>
        </w:rPr>
        <w:t>）</w:t>
      </w:r>
      <w:r>
        <w:rPr>
          <w:rFonts w:hint="eastAsia" w:ascii="宋体" w:hAnsi="宋体" w:eastAsia="宋体" w:cs="宋体"/>
          <w:sz w:val="24"/>
        </w:rPr>
        <w:t>。</w:t>
      </w:r>
    </w:p>
    <w:p>
      <w:pPr>
        <w:pStyle w:val="7"/>
        <w:spacing w:before="12"/>
        <w:rPr>
          <w:sz w:val="21"/>
        </w:rPr>
      </w:pPr>
    </w:p>
    <w:p>
      <w:pPr>
        <w:pStyle w:val="20"/>
        <w:numPr>
          <w:ilvl w:val="2"/>
          <w:numId w:val="2"/>
        </w:numPr>
        <w:tabs>
          <w:tab w:val="left" w:pos="1316"/>
        </w:tabs>
        <w:spacing w:before="0" w:after="0" w:line="240" w:lineRule="auto"/>
        <w:ind w:left="1316" w:right="0" w:hanging="699"/>
        <w:jc w:val="left"/>
        <w:rPr>
          <w:rFonts w:hint="eastAsia" w:ascii="宋体" w:hAnsi="宋体" w:eastAsia="宋体" w:cs="宋体"/>
          <w:b/>
          <w:sz w:val="28"/>
        </w:rPr>
      </w:pPr>
      <w:bookmarkStart w:id="13" w:name="1.2.3建设项目环境影响报告书及其审批部门审批决定"/>
      <w:bookmarkEnd w:id="13"/>
      <w:bookmarkStart w:id="14" w:name="1.2.3建设项目环境影响报告书及其审批部门审批决定"/>
      <w:bookmarkEnd w:id="14"/>
      <w:r>
        <w:rPr>
          <w:rFonts w:hint="eastAsia" w:ascii="宋体" w:hAnsi="宋体" w:eastAsia="宋体" w:cs="宋体"/>
          <w:b/>
          <w:sz w:val="28"/>
        </w:rPr>
        <w:t>建设项目环境影响报告书及其审批部门审批决定</w:t>
      </w:r>
    </w:p>
    <w:p>
      <w:pPr>
        <w:pStyle w:val="7"/>
        <w:spacing w:before="8"/>
        <w:rPr>
          <w:b/>
          <w:sz w:val="23"/>
        </w:rPr>
      </w:pP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1</w:t>
      </w:r>
      <w:r>
        <w:rPr>
          <w:rFonts w:hint="eastAsia" w:ascii="宋体" w:hAnsi="宋体" w:eastAsia="宋体" w:cs="宋体"/>
          <w:sz w:val="24"/>
          <w:highlight w:val="none"/>
          <w:lang w:eastAsia="zh-CN"/>
        </w:rPr>
        <w:t>）赣州市辉昂环保科技有限公司</w:t>
      </w:r>
      <w:r>
        <w:rPr>
          <w:rFonts w:hint="eastAsia" w:ascii="宋体" w:hAnsi="宋体" w:eastAsia="宋体" w:cs="宋体"/>
          <w:sz w:val="24"/>
          <w:highlight w:val="none"/>
        </w:rPr>
        <w:t>，《崇义县上堡人形水电站工程项目环境影响报告书》；</w:t>
      </w:r>
      <w:r>
        <w:rPr>
          <w:rFonts w:hint="eastAsia" w:ascii="Times New Roman" w:hAnsi="Times New Roman" w:eastAsia="宋体" w:cs="Times New Roman"/>
          <w:sz w:val="24"/>
          <w:highlight w:val="none"/>
        </w:rPr>
        <w:t>20</w:t>
      </w:r>
      <w:r>
        <w:rPr>
          <w:rFonts w:hint="eastAsia" w:ascii="Times New Roman" w:hAnsi="Times New Roman" w:eastAsia="宋体" w:cs="Times New Roman"/>
          <w:sz w:val="24"/>
          <w:highlight w:val="none"/>
          <w:lang w:val="en-US" w:eastAsia="zh-CN"/>
        </w:rPr>
        <w:t>20</w:t>
      </w:r>
      <w:r>
        <w:rPr>
          <w:rFonts w:hint="eastAsia" w:ascii="Times New Roman" w:hAnsi="Times New Roman" w:eastAsia="宋体" w:cs="Times New Roman"/>
          <w:sz w:val="24"/>
          <w:highlight w:val="none"/>
        </w:rPr>
        <w:t xml:space="preserve"> </w:t>
      </w:r>
      <w:r>
        <w:rPr>
          <w:rFonts w:hint="eastAsia" w:ascii="宋体" w:hAnsi="宋体" w:eastAsia="宋体" w:cs="宋体"/>
          <w:spacing w:val="-30"/>
          <w:sz w:val="24"/>
          <w:highlight w:val="none"/>
        </w:rPr>
        <w:t>年</w:t>
      </w:r>
      <w:r>
        <w:rPr>
          <w:rFonts w:hint="eastAsia" w:ascii="Times New Roman" w:hAnsi="Times New Roman" w:eastAsia="宋体" w:cs="Times New Roman"/>
          <w:sz w:val="24"/>
          <w:highlight w:val="none"/>
          <w:lang w:val="en-US" w:eastAsia="zh-CN"/>
        </w:rPr>
        <w:t>8</w:t>
      </w:r>
      <w:r>
        <w:rPr>
          <w:rFonts w:hint="eastAsia" w:ascii="宋体" w:hAnsi="宋体" w:eastAsia="宋体" w:cs="宋体"/>
          <w:sz w:val="24"/>
          <w:highlight w:val="none"/>
        </w:rPr>
        <w:t>月。</w:t>
      </w: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）赣州市崇义生态环境局</w:t>
      </w:r>
      <w:r>
        <w:rPr>
          <w:rFonts w:hint="eastAsia" w:ascii="宋体" w:hAnsi="宋体" w:eastAsia="宋体" w:cs="宋体"/>
          <w:sz w:val="24"/>
          <w:highlight w:val="none"/>
        </w:rPr>
        <w:t>，《关于崇义县上堡人形水电站</w:t>
      </w:r>
      <w:r>
        <w:rPr>
          <w:rFonts w:hint="eastAsia" w:ascii="宋体" w:hAnsi="宋体" w:eastAsia="宋体" w:cs="宋体"/>
          <w:sz w:val="24"/>
          <w:highlight w:val="none"/>
          <w:lang w:eastAsia="zh-CN"/>
        </w:rPr>
        <w:t>工程项目</w:t>
      </w:r>
      <w:r>
        <w:rPr>
          <w:rFonts w:hint="eastAsia" w:ascii="宋体" w:hAnsi="宋体" w:eastAsia="宋体" w:cs="宋体"/>
          <w:sz w:val="24"/>
          <w:highlight w:val="none"/>
        </w:rPr>
        <w:t>环境影响报告书的</w:t>
      </w:r>
      <w:r>
        <w:rPr>
          <w:rFonts w:hint="eastAsia" w:ascii="宋体" w:hAnsi="宋体" w:eastAsia="宋体" w:cs="宋体"/>
          <w:sz w:val="24"/>
          <w:highlight w:val="none"/>
          <w:lang w:eastAsia="zh-CN"/>
        </w:rPr>
        <w:t>批复</w:t>
      </w:r>
      <w:r>
        <w:rPr>
          <w:rFonts w:hint="eastAsia" w:ascii="宋体" w:hAnsi="宋体" w:eastAsia="宋体" w:cs="宋体"/>
          <w:sz w:val="24"/>
          <w:highlight w:val="none"/>
        </w:rPr>
        <w:t>》（</w:t>
      </w:r>
      <w:r>
        <w:rPr>
          <w:rFonts w:hint="eastAsia" w:ascii="宋体" w:hAnsi="宋体" w:eastAsia="宋体" w:cs="宋体"/>
          <w:sz w:val="24"/>
          <w:highlight w:val="none"/>
          <w:lang w:eastAsia="zh-CN"/>
        </w:rPr>
        <w:t>崇环审字[2020]74号</w:t>
      </w:r>
      <w:r>
        <w:rPr>
          <w:rFonts w:hint="eastAsia" w:ascii="宋体" w:hAnsi="宋体" w:eastAsia="宋体" w:cs="宋体"/>
          <w:sz w:val="24"/>
          <w:highlight w:val="none"/>
        </w:rPr>
        <w:t>，</w:t>
      </w:r>
      <w:r>
        <w:rPr>
          <w:rFonts w:hint="eastAsia" w:ascii="Times New Roman" w:hAnsi="Times New Roman" w:eastAsia="宋体" w:cs="Times New Roman"/>
          <w:sz w:val="24"/>
          <w:highlight w:val="none"/>
        </w:rPr>
        <w:t>2005</w:t>
      </w:r>
      <w:r>
        <w:rPr>
          <w:rFonts w:hint="eastAsia" w:ascii="宋体" w:hAnsi="宋体" w:eastAsia="宋体" w:cs="宋体"/>
          <w:spacing w:val="-30"/>
          <w:sz w:val="24"/>
          <w:highlight w:val="none"/>
        </w:rPr>
        <w:t>年</w:t>
      </w:r>
      <w:r>
        <w:rPr>
          <w:rFonts w:hint="eastAsia" w:ascii="宋体" w:hAnsi="宋体" w:eastAsia="宋体" w:cs="宋体"/>
          <w:spacing w:val="-30"/>
          <w:sz w:val="24"/>
          <w:highlight w:val="none"/>
          <w:lang w:val="en-US" w:eastAsia="zh-CN"/>
        </w:rPr>
        <w:t>08</w:t>
      </w:r>
      <w:r>
        <w:rPr>
          <w:rFonts w:hint="eastAsia" w:ascii="宋体" w:hAnsi="宋体" w:eastAsia="宋体" w:cs="宋体"/>
          <w:spacing w:val="-30"/>
          <w:sz w:val="24"/>
          <w:highlight w:val="none"/>
        </w:rPr>
        <w:t>月</w:t>
      </w:r>
      <w:r>
        <w:rPr>
          <w:rFonts w:hint="eastAsia" w:ascii="宋体" w:hAnsi="宋体" w:eastAsia="宋体" w:cs="宋体"/>
          <w:spacing w:val="-30"/>
          <w:sz w:val="24"/>
          <w:highlight w:val="none"/>
          <w:lang w:val="en-US" w:eastAsia="zh-CN"/>
        </w:rPr>
        <w:t>31</w:t>
      </w:r>
      <w:r>
        <w:rPr>
          <w:rFonts w:hint="eastAsia" w:ascii="宋体" w:hAnsi="宋体" w:eastAsia="宋体" w:cs="宋体"/>
          <w:sz w:val="24"/>
          <w:highlight w:val="none"/>
        </w:rPr>
        <w:t>日）</w:t>
      </w:r>
      <w:r>
        <w:rPr>
          <w:rFonts w:hint="eastAsia" w:ascii="宋体" w:hAnsi="宋体" w:eastAsia="宋体" w:cs="宋体"/>
          <w:sz w:val="24"/>
          <w:highlight w:val="none"/>
          <w:lang w:eastAsia="zh-CN"/>
        </w:rPr>
        <w:t>。</w:t>
      </w:r>
    </w:p>
    <w:p>
      <w:pPr>
        <w:pStyle w:val="4"/>
        <w:numPr>
          <w:ilvl w:val="1"/>
          <w:numId w:val="2"/>
        </w:numPr>
        <w:tabs>
          <w:tab w:val="left" w:pos="1220"/>
        </w:tabs>
        <w:spacing w:before="0" w:after="0" w:line="240" w:lineRule="auto"/>
        <w:ind w:left="1220" w:right="0" w:hanging="603"/>
        <w:jc w:val="left"/>
        <w:rPr>
          <w:rFonts w:hint="eastAsia" w:ascii="宋体" w:hAnsi="宋体" w:eastAsia="宋体" w:cs="宋体"/>
        </w:rPr>
      </w:pPr>
      <w:bookmarkStart w:id="15" w:name="1.3调查目的和调查原则"/>
      <w:bookmarkEnd w:id="15"/>
      <w:bookmarkStart w:id="16" w:name="_bookmark3"/>
      <w:bookmarkEnd w:id="16"/>
      <w:bookmarkStart w:id="17" w:name="_bookmark3"/>
      <w:bookmarkEnd w:id="17"/>
      <w:r>
        <w:rPr>
          <w:rFonts w:hint="eastAsia" w:ascii="宋体" w:hAnsi="宋体" w:eastAsia="宋体" w:cs="宋体"/>
        </w:rPr>
        <w:t>调查目的和调查原则</w:t>
      </w:r>
    </w:p>
    <w:p>
      <w:pPr>
        <w:pStyle w:val="20"/>
        <w:numPr>
          <w:ilvl w:val="2"/>
          <w:numId w:val="2"/>
        </w:numPr>
        <w:tabs>
          <w:tab w:val="left" w:pos="1316"/>
        </w:tabs>
        <w:spacing w:before="244" w:after="0" w:line="240" w:lineRule="auto"/>
        <w:ind w:left="1316" w:right="0" w:hanging="699"/>
        <w:jc w:val="left"/>
        <w:rPr>
          <w:rFonts w:hint="eastAsia" w:ascii="宋体" w:hAnsi="宋体" w:eastAsia="宋体" w:cs="宋体"/>
          <w:b/>
          <w:sz w:val="28"/>
        </w:rPr>
      </w:pPr>
      <w:bookmarkStart w:id="18" w:name="1.3.1调查目的"/>
      <w:bookmarkEnd w:id="18"/>
      <w:bookmarkStart w:id="19" w:name="1.3.1调查目的"/>
      <w:bookmarkEnd w:id="19"/>
      <w:r>
        <w:rPr>
          <w:rFonts w:hint="eastAsia" w:ascii="宋体" w:hAnsi="宋体" w:eastAsia="宋体" w:cs="宋体"/>
          <w:b/>
          <w:sz w:val="28"/>
        </w:rPr>
        <w:t>调查目的</w:t>
      </w:r>
    </w:p>
    <w:p>
      <w:pPr>
        <w:pStyle w:val="7"/>
        <w:spacing w:before="11"/>
        <w:rPr>
          <w:b/>
          <w:sz w:val="23"/>
        </w:rPr>
      </w:pP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调查工程在施工、运行和管理等方面落实环境影响报告书及其批复文件、工程设计所提环保设施落实情况。</w:t>
      </w: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right="0" w:rightChars="0" w:firstLine="480" w:firstLineChars="200"/>
        <w:jc w:val="both"/>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调查本工程已采取的生态保护、水土保持及污染控制措施，并通过对</w:t>
      </w:r>
      <w:r>
        <w:rPr>
          <w:rFonts w:hint="eastAsia" w:ascii="宋体" w:hAnsi="宋体" w:eastAsia="宋体" w:cs="宋体"/>
          <w:spacing w:val="-8"/>
          <w:sz w:val="24"/>
        </w:rPr>
        <w:t>项目建设施工期、试运行期环境现状监测结果，分析各项措施实施的有效性，针</w:t>
      </w:r>
      <w:r>
        <w:rPr>
          <w:rFonts w:hint="eastAsia" w:ascii="宋体" w:hAnsi="宋体" w:eastAsia="宋体" w:cs="宋体"/>
          <w:spacing w:val="-6"/>
          <w:sz w:val="24"/>
        </w:rPr>
        <w:t>对存在的环境问题和潜在环境影响，提出切实可行的环保补救措施，对尚不完善</w:t>
      </w:r>
      <w:r>
        <w:rPr>
          <w:rFonts w:hint="eastAsia" w:ascii="宋体" w:hAnsi="宋体" w:eastAsia="宋体" w:cs="宋体"/>
          <w:sz w:val="24"/>
        </w:rPr>
        <w:t>的措施提出改进意见。</w:t>
      </w: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根据工程环境影响的调查结果，客观、公正地从技术上论证该电站建设项目是否符合竣工环境保护验收条件。</w:t>
      </w:r>
    </w:p>
    <w:p>
      <w:pPr>
        <w:pStyle w:val="20"/>
        <w:numPr>
          <w:ilvl w:val="2"/>
          <w:numId w:val="2"/>
        </w:numPr>
        <w:tabs>
          <w:tab w:val="left" w:pos="1316"/>
        </w:tabs>
        <w:spacing w:before="124" w:after="0" w:line="240" w:lineRule="auto"/>
        <w:ind w:left="1316" w:right="0" w:hanging="699"/>
        <w:jc w:val="left"/>
        <w:rPr>
          <w:rFonts w:hint="eastAsia" w:ascii="宋体" w:hAnsi="宋体" w:eastAsia="宋体" w:cs="宋体"/>
          <w:b/>
          <w:sz w:val="28"/>
        </w:rPr>
      </w:pPr>
      <w:bookmarkStart w:id="20" w:name="1.3.2调查原则"/>
      <w:bookmarkEnd w:id="20"/>
      <w:bookmarkStart w:id="21" w:name="1.3.2调查原则"/>
      <w:bookmarkEnd w:id="21"/>
      <w:r>
        <w:rPr>
          <w:rFonts w:hint="eastAsia" w:ascii="宋体" w:hAnsi="宋体" w:eastAsia="宋体" w:cs="宋体"/>
          <w:b/>
          <w:sz w:val="28"/>
        </w:rPr>
        <w:t>调查原则</w:t>
      </w:r>
    </w:p>
    <w:p>
      <w:pPr>
        <w:pStyle w:val="7"/>
        <w:spacing w:before="8"/>
        <w:rPr>
          <w:b/>
          <w:sz w:val="23"/>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宋体" w:hAnsi="宋体" w:eastAsia="宋体" w:cs="宋体"/>
        </w:rPr>
      </w:pPr>
      <w:r>
        <w:rPr>
          <w:rFonts w:hint="eastAsia" w:ascii="宋体" w:hAnsi="宋体" w:eastAsia="宋体" w:cs="宋体"/>
        </w:rPr>
        <w:t>本次竣工环保验收调查坚持以下原则：</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认真贯彻国家与地方环保法律法规及规定；</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污染防治与生态保护并重原则；</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资料收集与现场调查、现状监测相结合原则；</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达标排放原则。</w:t>
      </w:r>
    </w:p>
    <w:p>
      <w:pPr>
        <w:spacing w:after="0" w:line="240" w:lineRule="auto"/>
        <w:jc w:val="left"/>
        <w:rPr>
          <w:sz w:val="24"/>
        </w:rPr>
        <w:sectPr>
          <w:pgSz w:w="11910" w:h="16840"/>
          <w:pgMar w:top="1360" w:right="1160" w:bottom="1180" w:left="1180" w:header="0" w:footer="991" w:gutter="0"/>
          <w:pgBorders>
            <w:top w:val="none" w:sz="0" w:space="0"/>
            <w:left w:val="none" w:sz="0" w:space="0"/>
            <w:bottom w:val="none" w:sz="0" w:space="0"/>
            <w:right w:val="none" w:sz="0" w:space="0"/>
          </w:pgBorders>
          <w:pgNumType w:fmt="decimal"/>
        </w:sectPr>
      </w:pPr>
    </w:p>
    <w:p>
      <w:pPr>
        <w:pStyle w:val="4"/>
        <w:numPr>
          <w:ilvl w:val="1"/>
          <w:numId w:val="2"/>
        </w:numPr>
        <w:tabs>
          <w:tab w:val="left" w:pos="1220"/>
        </w:tabs>
        <w:spacing w:before="44" w:after="0" w:line="240" w:lineRule="auto"/>
        <w:ind w:left="1220" w:right="0" w:hanging="603"/>
        <w:jc w:val="left"/>
        <w:rPr>
          <w:rFonts w:hint="eastAsia" w:ascii="宋体" w:hAnsi="宋体" w:eastAsia="宋体" w:cs="宋体"/>
        </w:rPr>
      </w:pPr>
      <w:bookmarkStart w:id="22" w:name="1.4调查方法"/>
      <w:bookmarkEnd w:id="22"/>
      <w:bookmarkStart w:id="23" w:name="_bookmark4"/>
      <w:bookmarkEnd w:id="23"/>
      <w:bookmarkStart w:id="24" w:name="_bookmark4"/>
      <w:bookmarkEnd w:id="24"/>
      <w:r>
        <w:rPr>
          <w:rFonts w:hint="eastAsia" w:ascii="宋体" w:hAnsi="宋体" w:eastAsia="宋体" w:cs="宋体"/>
        </w:rPr>
        <w:t>调查方法</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rPr>
        <w:t>按照《建设项目竣工环境保护验收技术规范水利水电》</w:t>
      </w:r>
      <w:r>
        <w:rPr>
          <w:rFonts w:hint="eastAsia" w:ascii="Times New Roman" w:hAnsi="Times New Roman" w:eastAsia="宋体" w:cs="Times New Roman"/>
        </w:rPr>
        <w:t>HJ464-2009</w:t>
      </w:r>
      <w:r>
        <w:rPr>
          <w:rFonts w:hint="eastAsia" w:ascii="宋体" w:hAnsi="宋体" w:eastAsia="宋体" w:cs="宋体"/>
        </w:rPr>
        <w:t xml:space="preserve"> 及《建设项目竣工环境保护验收技术规范生态影响类》</w:t>
      </w:r>
      <w:r>
        <w:rPr>
          <w:rFonts w:hint="eastAsia" w:ascii="Times New Roman" w:hAnsi="Times New Roman" w:eastAsia="宋体" w:cs="Times New Roman"/>
        </w:rPr>
        <w:t>HJ394-2007</w:t>
      </w:r>
      <w:r>
        <w:rPr>
          <w:rFonts w:hint="eastAsia" w:ascii="宋体" w:hAnsi="宋体" w:eastAsia="宋体" w:cs="宋体"/>
        </w:rPr>
        <w:t xml:space="preserve"> 的要求，以批准的</w:t>
      </w:r>
      <w:r>
        <w:rPr>
          <w:rFonts w:hint="eastAsia" w:ascii="宋体" w:hAnsi="宋体" w:eastAsia="宋体" w:cs="宋体"/>
          <w:spacing w:val="-9"/>
        </w:rPr>
        <w:t>环境影响评价文件、审批文件为基本要求，对项目的环境保护设施和措施进行核</w:t>
      </w:r>
      <w:r>
        <w:rPr>
          <w:rFonts w:hint="eastAsia" w:ascii="宋体" w:hAnsi="宋体" w:eastAsia="宋体" w:cs="宋体"/>
          <w:spacing w:val="-10"/>
        </w:rPr>
        <w:t>查，调查电站施工期和运行期的实际环境影响；充分利用己有资料、工程建设过</w:t>
      </w:r>
      <w:r>
        <w:rPr>
          <w:rFonts w:hint="eastAsia" w:ascii="宋体" w:hAnsi="宋体" w:eastAsia="宋体" w:cs="宋体"/>
        </w:rPr>
        <w:t>程回顾，现场调查、环境监测相结合的方法。</w:t>
      </w:r>
    </w:p>
    <w:p>
      <w:pPr>
        <w:pStyle w:val="4"/>
        <w:numPr>
          <w:ilvl w:val="1"/>
          <w:numId w:val="2"/>
        </w:numPr>
        <w:tabs>
          <w:tab w:val="left" w:pos="1220"/>
        </w:tabs>
        <w:spacing w:before="0" w:after="0" w:line="240" w:lineRule="auto"/>
        <w:ind w:left="1220" w:right="0" w:hanging="603"/>
        <w:jc w:val="left"/>
        <w:rPr>
          <w:rFonts w:hint="eastAsia" w:ascii="宋体" w:hAnsi="宋体" w:eastAsia="宋体" w:cs="宋体"/>
        </w:rPr>
      </w:pPr>
      <w:bookmarkStart w:id="25" w:name="1.5调查范围"/>
      <w:bookmarkEnd w:id="25"/>
      <w:bookmarkStart w:id="26" w:name="_bookmark5"/>
      <w:bookmarkEnd w:id="26"/>
      <w:bookmarkStart w:id="27" w:name="_bookmark5"/>
      <w:bookmarkEnd w:id="27"/>
      <w:r>
        <w:rPr>
          <w:rFonts w:hint="eastAsia" w:ascii="宋体" w:hAnsi="宋体" w:eastAsia="宋体" w:cs="宋体"/>
        </w:rPr>
        <w:t>调查范围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本次竣工环境保护验收调查范围与环境影响评价范围一致，主要为工程建设</w:t>
      </w:r>
      <w:r>
        <w:rPr>
          <w:rFonts w:hint="eastAsia" w:ascii="宋体" w:hAnsi="宋体" w:eastAsia="宋体" w:cs="宋体"/>
        </w:rPr>
        <w:t>及影响区域，同时结合建设变更、现场踏勘情况进行适当调整。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highlight w:val="none"/>
        </w:rPr>
        <w:t>工程水保方案中共规划了</w:t>
      </w:r>
      <w:r>
        <w:rPr>
          <w:rFonts w:hint="eastAsia" w:ascii="Times New Roman" w:hAnsi="Times New Roman" w:eastAsia="宋体" w:cs="Times New Roman"/>
          <w:highlight w:val="none"/>
          <w:lang w:val="en-US" w:eastAsia="zh-CN"/>
        </w:rPr>
        <w:t>1</w:t>
      </w:r>
      <w:r>
        <w:rPr>
          <w:rFonts w:hint="eastAsia" w:ascii="宋体" w:hAnsi="宋体" w:eastAsia="宋体" w:cs="宋体"/>
          <w:spacing w:val="-12"/>
          <w:highlight w:val="none"/>
        </w:rPr>
        <w:t>个弃渣场，实际设置了</w:t>
      </w:r>
      <w:r>
        <w:rPr>
          <w:rFonts w:hint="eastAsia" w:ascii="Times New Roman" w:hAnsi="Times New Roman" w:eastAsia="宋体" w:cs="Times New Roman"/>
          <w:highlight w:val="none"/>
          <w:lang w:val="en-US" w:eastAsia="zh-CN"/>
        </w:rPr>
        <w:t>1</w:t>
      </w:r>
      <w:r>
        <w:rPr>
          <w:rFonts w:hint="eastAsia" w:ascii="宋体" w:hAnsi="宋体" w:eastAsia="宋体" w:cs="宋体"/>
          <w:spacing w:val="-8"/>
          <w:highlight w:val="none"/>
        </w:rPr>
        <w:t>个弃渣场</w:t>
      </w:r>
      <w:r>
        <w:rPr>
          <w:rFonts w:hint="eastAsia" w:ascii="宋体" w:hAnsi="宋体" w:eastAsia="宋体" w:cs="宋体"/>
          <w:spacing w:val="-8"/>
        </w:rPr>
        <w:t>。未启用的区</w:t>
      </w:r>
      <w:r>
        <w:rPr>
          <w:rFonts w:hint="eastAsia" w:ascii="宋体" w:hAnsi="宋体" w:eastAsia="宋体" w:cs="宋体"/>
        </w:rPr>
        <w:t>域不列入调查范围。本次竣工环保验收调查范围如下：</w:t>
      </w:r>
    </w:p>
    <w:p>
      <w:pPr>
        <w:pStyle w:val="20"/>
        <w:keepNext w:val="0"/>
        <w:keepLines w:val="0"/>
        <w:pageBreakBefore w:val="0"/>
        <w:widowControl w:val="0"/>
        <w:numPr>
          <w:ilvl w:val="0"/>
          <w:numId w:val="0"/>
        </w:numPr>
        <w:tabs>
          <w:tab w:val="left" w:pos="169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陆生生态：</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eastAsia" w:ascii="宋体" w:hAnsi="宋体" w:eastAsia="宋体" w:cs="宋体"/>
        </w:rPr>
      </w:pPr>
      <w:r>
        <w:rPr>
          <w:rFonts w:hint="eastAsia" w:ascii="宋体" w:hAnsi="宋体" w:eastAsia="宋体" w:cs="宋体"/>
          <w:spacing w:val="-10"/>
        </w:rPr>
        <w:t>直接影响区：包括引水隧洞、厂区枢纽区、临时便道及永久公路、料场、堆</w:t>
      </w:r>
      <w:r>
        <w:rPr>
          <w:rFonts w:hint="eastAsia" w:ascii="宋体" w:hAnsi="宋体" w:eastAsia="宋体" w:cs="宋体"/>
        </w:rPr>
        <w:t>渣场、永久及临时营地、临时施工场地等区域；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32" w:firstLineChars="200"/>
        <w:jc w:val="left"/>
        <w:textAlignment w:val="auto"/>
        <w:rPr>
          <w:rFonts w:hint="eastAsia" w:ascii="宋体" w:hAnsi="宋体" w:eastAsia="宋体" w:cs="宋体"/>
        </w:rPr>
      </w:pPr>
      <w:r>
        <w:rPr>
          <w:rFonts w:hint="eastAsia" w:ascii="宋体" w:hAnsi="宋体" w:eastAsia="宋体" w:cs="宋体"/>
          <w:spacing w:val="-12"/>
          <w:lang w:eastAsia="zh-CN"/>
        </w:rPr>
        <w:t>（</w:t>
      </w:r>
      <w:r>
        <w:rPr>
          <w:rFonts w:hint="eastAsia" w:ascii="宋体" w:hAnsi="宋体" w:eastAsia="宋体" w:cs="宋体"/>
          <w:spacing w:val="-12"/>
          <w:lang w:val="en-US" w:eastAsia="zh-CN"/>
        </w:rPr>
        <w:t>2</w:t>
      </w:r>
      <w:r>
        <w:rPr>
          <w:rFonts w:hint="eastAsia" w:ascii="宋体" w:hAnsi="宋体" w:eastAsia="宋体" w:cs="宋体"/>
          <w:spacing w:val="-12"/>
          <w:lang w:eastAsia="zh-CN"/>
        </w:rPr>
        <w:t>）</w:t>
      </w:r>
      <w:r>
        <w:rPr>
          <w:rFonts w:hint="eastAsia" w:ascii="宋体" w:hAnsi="宋体" w:eastAsia="宋体" w:cs="宋体"/>
          <w:spacing w:val="-12"/>
        </w:rPr>
        <w:t>间接影响区：</w:t>
      </w:r>
      <w:r>
        <w:rPr>
          <w:rFonts w:hint="eastAsia" w:ascii="宋体" w:hAnsi="宋体" w:eastAsia="宋体" w:cs="宋体"/>
          <w:spacing w:val="-12"/>
          <w:highlight w:val="none"/>
        </w:rPr>
        <w:t>拦水堰坝库区</w:t>
      </w:r>
      <w:r>
        <w:rPr>
          <w:rFonts w:hint="eastAsia" w:ascii="宋体" w:hAnsi="宋体" w:eastAsia="宋体" w:cs="宋体"/>
          <w:spacing w:val="-6"/>
        </w:rPr>
        <w:t>高程范围、施工区周围</w:t>
      </w:r>
      <w:r>
        <w:rPr>
          <w:rFonts w:hint="eastAsia" w:ascii="Times New Roman" w:hAnsi="Times New Roman" w:eastAsia="宋体" w:cs="Times New Roman"/>
        </w:rPr>
        <w:t>200m</w:t>
      </w:r>
      <w:r>
        <w:rPr>
          <w:rFonts w:hint="eastAsia" w:ascii="宋体" w:hAnsi="宋体" w:eastAsia="宋体" w:cs="宋体"/>
          <w:spacing w:val="-6"/>
        </w:rPr>
        <w:t>范围、施工道路两侧</w:t>
      </w:r>
      <w:r>
        <w:rPr>
          <w:rFonts w:hint="default" w:ascii="Times New Roman" w:hAnsi="Times New Roman" w:eastAsia="宋体" w:cs="Times New Roman"/>
        </w:rPr>
        <w:t>200m</w:t>
      </w:r>
      <w:r>
        <w:rPr>
          <w:rFonts w:hint="eastAsia" w:ascii="宋体" w:hAnsi="宋体" w:eastAsia="宋体" w:cs="宋体"/>
        </w:rPr>
        <w:t>范围，拦水堰坝集雨面</w:t>
      </w:r>
      <w:r>
        <w:rPr>
          <w:rFonts w:hint="eastAsia" w:ascii="宋体" w:hAnsi="宋体" w:eastAsia="宋体" w:cs="宋体"/>
          <w:spacing w:val="-5"/>
        </w:rPr>
        <w:t>积的范围，以及拦水堰坝下游</w:t>
      </w:r>
      <w:r>
        <w:rPr>
          <w:rFonts w:hint="eastAsia" w:ascii="Times New Roman" w:hAnsi="Times New Roman" w:eastAsia="宋体" w:cs="Times New Roman"/>
        </w:rPr>
        <w:t>500m</w:t>
      </w:r>
      <w:r>
        <w:rPr>
          <w:rFonts w:hint="eastAsia" w:ascii="宋体" w:hAnsi="宋体" w:eastAsia="宋体" w:cs="宋体"/>
        </w:rPr>
        <w:t>河段和厂址下游河段的范围；</w:t>
      </w:r>
    </w:p>
    <w:p>
      <w:pPr>
        <w:pStyle w:val="20"/>
        <w:keepNext w:val="0"/>
        <w:keepLines w:val="0"/>
        <w:pageBreakBefore w:val="0"/>
        <w:widowControl w:val="0"/>
        <w:numPr>
          <w:ilvl w:val="0"/>
          <w:numId w:val="0"/>
        </w:numPr>
        <w:tabs>
          <w:tab w:val="left" w:pos="169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pacing w:val="-6"/>
          <w:sz w:val="24"/>
          <w:lang w:eastAsia="zh-CN"/>
        </w:rPr>
        <w:t>（</w:t>
      </w:r>
      <w:r>
        <w:rPr>
          <w:rFonts w:hint="eastAsia" w:ascii="宋体" w:hAnsi="宋体" w:eastAsia="宋体" w:cs="宋体"/>
          <w:spacing w:val="-6"/>
          <w:sz w:val="24"/>
          <w:lang w:val="en-US" w:eastAsia="zh-CN"/>
        </w:rPr>
        <w:t>3</w:t>
      </w:r>
      <w:r>
        <w:rPr>
          <w:rFonts w:hint="eastAsia" w:ascii="宋体" w:hAnsi="宋体" w:eastAsia="宋体" w:cs="宋体"/>
          <w:spacing w:val="-6"/>
          <w:sz w:val="24"/>
          <w:lang w:eastAsia="zh-CN"/>
        </w:rPr>
        <w:t>）</w:t>
      </w:r>
      <w:r>
        <w:rPr>
          <w:rFonts w:hint="eastAsia" w:ascii="宋体" w:hAnsi="宋体" w:eastAsia="宋体" w:cs="宋体"/>
          <w:spacing w:val="-6"/>
          <w:sz w:val="24"/>
        </w:rPr>
        <w:t>鱼类：拦水堰坝下游</w:t>
      </w:r>
      <w:r>
        <w:rPr>
          <w:rFonts w:hint="eastAsia" w:ascii="Times New Roman" w:hAnsi="Times New Roman" w:eastAsia="宋体" w:cs="Times New Roman"/>
          <w:sz w:val="24"/>
          <w:szCs w:val="24"/>
          <w:lang w:val="zh-CN" w:eastAsia="zh-CN" w:bidi="zh-CN"/>
        </w:rPr>
        <w:t>500m</w:t>
      </w:r>
      <w:r>
        <w:rPr>
          <w:rFonts w:hint="eastAsia" w:ascii="宋体" w:hAnsi="宋体" w:eastAsia="宋体" w:cs="宋体"/>
          <w:sz w:val="24"/>
        </w:rPr>
        <w:t>河段和厂址下游；</w:t>
      </w:r>
    </w:p>
    <w:p>
      <w:pPr>
        <w:pStyle w:val="20"/>
        <w:keepNext w:val="0"/>
        <w:keepLines w:val="0"/>
        <w:pageBreakBefore w:val="0"/>
        <w:widowControl w:val="0"/>
        <w:numPr>
          <w:ilvl w:val="0"/>
          <w:numId w:val="0"/>
        </w:numPr>
        <w:tabs>
          <w:tab w:val="left" w:pos="169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pacing w:val="-6"/>
          <w:sz w:val="24"/>
          <w:lang w:eastAsia="zh-CN"/>
        </w:rPr>
        <w:t>（</w:t>
      </w:r>
      <w:r>
        <w:rPr>
          <w:rFonts w:hint="eastAsia" w:ascii="宋体" w:hAnsi="宋体" w:eastAsia="宋体" w:cs="宋体"/>
          <w:spacing w:val="-6"/>
          <w:sz w:val="24"/>
          <w:lang w:val="en-US" w:eastAsia="zh-CN"/>
        </w:rPr>
        <w:t>4</w:t>
      </w:r>
      <w:r>
        <w:rPr>
          <w:rFonts w:hint="eastAsia" w:ascii="宋体" w:hAnsi="宋体" w:eastAsia="宋体" w:cs="宋体"/>
          <w:spacing w:val="-6"/>
          <w:sz w:val="24"/>
          <w:lang w:eastAsia="zh-CN"/>
        </w:rPr>
        <w:t>）</w:t>
      </w:r>
      <w:r>
        <w:rPr>
          <w:rFonts w:hint="eastAsia" w:ascii="宋体" w:hAnsi="宋体" w:eastAsia="宋体" w:cs="宋体"/>
          <w:spacing w:val="-6"/>
          <w:sz w:val="24"/>
        </w:rPr>
        <w:t>水环境：拦水堰坝下游</w:t>
      </w:r>
      <w:r>
        <w:rPr>
          <w:rFonts w:hint="eastAsia" w:ascii="Times New Roman" w:hAnsi="Times New Roman" w:eastAsia="宋体" w:cs="Times New Roman"/>
          <w:sz w:val="24"/>
          <w:szCs w:val="24"/>
          <w:lang w:val="zh-CN" w:eastAsia="zh-CN" w:bidi="zh-CN"/>
        </w:rPr>
        <w:t>500m</w:t>
      </w:r>
      <w:r>
        <w:rPr>
          <w:rFonts w:hint="eastAsia" w:ascii="宋体" w:hAnsi="宋体" w:eastAsia="宋体" w:cs="宋体"/>
          <w:spacing w:val="-8"/>
          <w:sz w:val="24"/>
        </w:rPr>
        <w:t>河段和厂址下游</w:t>
      </w:r>
      <w:r>
        <w:rPr>
          <w:rFonts w:hint="eastAsia" w:ascii="Times New Roman" w:hAnsi="Times New Roman" w:eastAsia="宋体" w:cs="Times New Roman"/>
          <w:sz w:val="24"/>
          <w:szCs w:val="24"/>
          <w:lang w:val="zh-CN" w:eastAsia="zh-CN" w:bidi="zh-CN"/>
        </w:rPr>
        <w:t>1000m</w:t>
      </w:r>
      <w:r>
        <w:rPr>
          <w:rFonts w:hint="eastAsia" w:ascii="宋体" w:hAnsi="宋体" w:eastAsia="宋体" w:cs="宋体"/>
          <w:sz w:val="24"/>
        </w:rPr>
        <w:t>河段；</w:t>
      </w:r>
    </w:p>
    <w:p>
      <w:pPr>
        <w:pStyle w:val="20"/>
        <w:keepNext w:val="0"/>
        <w:keepLines w:val="0"/>
        <w:pageBreakBefore w:val="0"/>
        <w:widowControl w:val="0"/>
        <w:numPr>
          <w:ilvl w:val="0"/>
          <w:numId w:val="0"/>
        </w:numPr>
        <w:tabs>
          <w:tab w:val="left" w:pos="170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pacing w:val="-1"/>
          <w:sz w:val="24"/>
          <w:lang w:eastAsia="zh-CN"/>
        </w:rPr>
        <w:t>（</w:t>
      </w:r>
      <w:r>
        <w:rPr>
          <w:rFonts w:hint="eastAsia" w:ascii="宋体" w:hAnsi="宋体" w:eastAsia="宋体" w:cs="宋体"/>
          <w:spacing w:val="-1"/>
          <w:sz w:val="24"/>
          <w:lang w:val="en-US" w:eastAsia="zh-CN"/>
        </w:rPr>
        <w:t>5</w:t>
      </w:r>
      <w:r>
        <w:rPr>
          <w:rFonts w:hint="eastAsia" w:ascii="宋体" w:hAnsi="宋体" w:eastAsia="宋体" w:cs="宋体"/>
          <w:spacing w:val="-1"/>
          <w:sz w:val="24"/>
          <w:lang w:eastAsia="zh-CN"/>
        </w:rPr>
        <w:t>）</w:t>
      </w:r>
      <w:r>
        <w:rPr>
          <w:rFonts w:hint="eastAsia" w:ascii="宋体" w:hAnsi="宋体" w:eastAsia="宋体" w:cs="宋体"/>
          <w:spacing w:val="-1"/>
          <w:sz w:val="24"/>
        </w:rPr>
        <w:t xml:space="preserve">大气环境：电站枢纽建设区，公路建设区，及与工程相关的石料场， </w:t>
      </w:r>
      <w:r>
        <w:rPr>
          <w:rFonts w:hint="eastAsia" w:ascii="宋体" w:hAnsi="宋体" w:eastAsia="宋体" w:cs="宋体"/>
          <w:spacing w:val="-9"/>
          <w:sz w:val="24"/>
        </w:rPr>
        <w:t>生活区，施工临时、永久建筑物布设区等及外延</w:t>
      </w:r>
      <w:r>
        <w:rPr>
          <w:rFonts w:hint="eastAsia" w:ascii="Times New Roman" w:hAnsi="Times New Roman" w:eastAsia="宋体" w:cs="Times New Roman"/>
          <w:sz w:val="24"/>
          <w:szCs w:val="24"/>
          <w:lang w:val="zh-CN" w:eastAsia="zh-CN" w:bidi="zh-CN"/>
        </w:rPr>
        <w:t xml:space="preserve"> 500m </w:t>
      </w:r>
      <w:r>
        <w:rPr>
          <w:rFonts w:hint="eastAsia" w:ascii="宋体" w:hAnsi="宋体" w:eastAsia="宋体" w:cs="宋体"/>
          <w:spacing w:val="-2"/>
          <w:sz w:val="24"/>
        </w:rPr>
        <w:t>范围及施工活动可能影响</w:t>
      </w:r>
      <w:r>
        <w:rPr>
          <w:rFonts w:hint="eastAsia" w:ascii="宋体" w:hAnsi="宋体" w:eastAsia="宋体" w:cs="宋体"/>
          <w:sz w:val="24"/>
        </w:rPr>
        <w:t>到的居民区；</w:t>
      </w:r>
    </w:p>
    <w:p>
      <w:pPr>
        <w:pStyle w:val="20"/>
        <w:keepNext w:val="0"/>
        <w:keepLines w:val="0"/>
        <w:pageBreakBefore w:val="0"/>
        <w:widowControl w:val="0"/>
        <w:numPr>
          <w:ilvl w:val="0"/>
          <w:numId w:val="0"/>
        </w:numPr>
        <w:tabs>
          <w:tab w:val="left" w:pos="1710"/>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rPr>
      </w:pPr>
      <w:r>
        <w:rPr>
          <w:rFonts w:hint="eastAsia" w:ascii="宋体" w:hAnsi="宋体" w:eastAsia="宋体" w:cs="宋体"/>
          <w:sz w:val="24"/>
          <w:lang w:eastAsia="zh-CN"/>
        </w:rPr>
        <w:t>（</w:t>
      </w:r>
      <w:r>
        <w:rPr>
          <w:rFonts w:hint="eastAsia" w:ascii="宋体" w:hAnsi="宋体" w:eastAsia="宋体" w:cs="宋体"/>
          <w:sz w:val="24"/>
          <w:lang w:val="en-US" w:eastAsia="zh-CN"/>
        </w:rPr>
        <w:t>6</w:t>
      </w:r>
      <w:r>
        <w:rPr>
          <w:rFonts w:hint="eastAsia" w:ascii="宋体" w:hAnsi="宋体" w:eastAsia="宋体" w:cs="宋体"/>
          <w:sz w:val="24"/>
          <w:lang w:eastAsia="zh-CN"/>
        </w:rPr>
        <w:t>）</w:t>
      </w:r>
      <w:r>
        <w:rPr>
          <w:rFonts w:hint="eastAsia" w:ascii="宋体" w:hAnsi="宋体" w:eastAsia="宋体" w:cs="宋体"/>
          <w:sz w:val="24"/>
        </w:rPr>
        <w:t>声环境调查范围：施工区域、电站发电厂房周界、周围敏感点</w:t>
      </w:r>
      <w:r>
        <w:rPr>
          <w:rFonts w:hint="eastAsia" w:ascii="Times New Roman" w:hAnsi="Times New Roman" w:eastAsia="宋体" w:cs="Times New Roman"/>
          <w:sz w:val="24"/>
          <w:szCs w:val="24"/>
          <w:lang w:val="zh-CN" w:eastAsia="zh-CN" w:bidi="zh-CN"/>
        </w:rPr>
        <w:t>200m</w:t>
      </w:r>
      <w:r>
        <w:rPr>
          <w:rFonts w:hint="eastAsia" w:ascii="宋体" w:hAnsi="宋体" w:eastAsia="宋体" w:cs="宋体"/>
        </w:rPr>
        <w:t>范围内；</w:t>
      </w:r>
    </w:p>
    <w:p>
      <w:pPr>
        <w:pStyle w:val="20"/>
        <w:keepNext w:val="0"/>
        <w:keepLines w:val="0"/>
        <w:pageBreakBefore w:val="0"/>
        <w:widowControl w:val="0"/>
        <w:numPr>
          <w:ilvl w:val="0"/>
          <w:numId w:val="0"/>
        </w:numPr>
        <w:tabs>
          <w:tab w:val="left" w:pos="169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7</w:t>
      </w:r>
      <w:r>
        <w:rPr>
          <w:rFonts w:hint="eastAsia" w:ascii="宋体" w:hAnsi="宋体" w:eastAsia="宋体" w:cs="宋体"/>
          <w:sz w:val="24"/>
          <w:lang w:eastAsia="zh-CN"/>
        </w:rPr>
        <w:t>）</w:t>
      </w:r>
      <w:r>
        <w:rPr>
          <w:rFonts w:hint="eastAsia" w:ascii="宋体" w:hAnsi="宋体" w:eastAsia="宋体" w:cs="宋体"/>
          <w:sz w:val="24"/>
        </w:rPr>
        <w:t>固体废弃物：弃渣场、施工场地、施工营地、办公生活区；</w:t>
      </w:r>
    </w:p>
    <w:p>
      <w:pPr>
        <w:pStyle w:val="20"/>
        <w:keepNext w:val="0"/>
        <w:keepLines w:val="0"/>
        <w:pageBreakBefore w:val="0"/>
        <w:widowControl w:val="0"/>
        <w:numPr>
          <w:ilvl w:val="0"/>
          <w:numId w:val="0"/>
        </w:numPr>
        <w:tabs>
          <w:tab w:val="left" w:pos="169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8</w:t>
      </w:r>
      <w:r>
        <w:rPr>
          <w:rFonts w:hint="eastAsia" w:ascii="宋体" w:hAnsi="宋体" w:eastAsia="宋体" w:cs="宋体"/>
          <w:sz w:val="24"/>
          <w:lang w:eastAsia="zh-CN"/>
        </w:rPr>
        <w:t>）</w:t>
      </w:r>
      <w:r>
        <w:rPr>
          <w:rFonts w:hint="eastAsia" w:ascii="宋体" w:hAnsi="宋体" w:eastAsia="宋体" w:cs="宋体"/>
          <w:sz w:val="24"/>
        </w:rPr>
        <w:t>社会环境：工程涉及的</w:t>
      </w:r>
      <w:r>
        <w:rPr>
          <w:rFonts w:hint="eastAsia" w:ascii="Times New Roman" w:eastAsia="宋体" w:cs="Times New Roman"/>
          <w:caps w:val="0"/>
          <w:smallCaps w:val="0"/>
          <w:snapToGrid/>
          <w:spacing w:val="0"/>
          <w:w w:val="100"/>
          <w:kern w:val="2"/>
          <w:position w:val="0"/>
          <w:sz w:val="24"/>
          <w:szCs w:val="22"/>
          <w:lang w:val="en-US" w:eastAsia="zh-CN"/>
        </w:rPr>
        <w:t>上堡乡</w:t>
      </w:r>
      <w:r>
        <w:rPr>
          <w:rFonts w:hint="eastAsia" w:ascii="宋体" w:hAnsi="宋体" w:eastAsia="宋体" w:cs="宋体"/>
          <w:sz w:val="24"/>
        </w:rPr>
        <w:t>。</w:t>
      </w:r>
    </w:p>
    <w:p>
      <w:pPr>
        <w:pStyle w:val="4"/>
        <w:numPr>
          <w:ilvl w:val="1"/>
          <w:numId w:val="2"/>
        </w:numPr>
        <w:tabs>
          <w:tab w:val="left" w:pos="1220"/>
        </w:tabs>
        <w:spacing w:before="1" w:after="0" w:line="240" w:lineRule="auto"/>
        <w:ind w:left="1220" w:right="0" w:hanging="603"/>
        <w:jc w:val="left"/>
        <w:rPr>
          <w:rFonts w:hint="eastAsia" w:ascii="宋体" w:hAnsi="宋体" w:eastAsia="宋体" w:cs="宋体"/>
        </w:rPr>
      </w:pPr>
      <w:bookmarkStart w:id="28" w:name="_bookmark6"/>
      <w:bookmarkEnd w:id="28"/>
      <w:bookmarkStart w:id="29" w:name="_bookmark6"/>
      <w:bookmarkEnd w:id="29"/>
      <w:bookmarkStart w:id="30" w:name="1.6调查因子"/>
      <w:bookmarkEnd w:id="30"/>
      <w:r>
        <w:rPr>
          <w:rFonts w:hint="eastAsia" w:ascii="宋体" w:hAnsi="宋体" w:eastAsia="宋体" w:cs="宋体"/>
        </w:rPr>
        <w:t>调查因子</w:t>
      </w:r>
    </w:p>
    <w:p>
      <w:pPr>
        <w:spacing w:after="0" w:line="240" w:lineRule="auto"/>
        <w:jc w:val="left"/>
        <w:sectPr>
          <w:pgSz w:w="11910" w:h="16840"/>
          <w:pgMar w:top="1380" w:right="1160" w:bottom="1180" w:left="1180" w:header="0" w:footer="991" w:gutter="0"/>
          <w:pgBorders>
            <w:top w:val="none" w:sz="0" w:space="0"/>
            <w:left w:val="none" w:sz="0" w:space="0"/>
            <w:bottom w:val="none" w:sz="0" w:space="0"/>
            <w:right w:val="none" w:sz="0" w:space="0"/>
          </w:pgBorders>
          <w:pgNumType w:fmt="decimal"/>
        </w:sectPr>
      </w:pPr>
    </w:p>
    <w:p>
      <w:pPr>
        <w:pStyle w:val="20"/>
        <w:keepNext w:val="0"/>
        <w:keepLines w:val="0"/>
        <w:pageBreakBefore w:val="0"/>
        <w:widowControl w:val="0"/>
        <w:numPr>
          <w:ilvl w:val="0"/>
          <w:numId w:val="0"/>
        </w:numPr>
        <w:tabs>
          <w:tab w:val="left" w:pos="167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生态环境：工程占地、水库淹没、植被淹没、植被及动植物、鱼类及保护、水土流失、植被恢复；</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position w:val="2"/>
          <w:sz w:val="24"/>
          <w:lang w:eastAsia="zh-CN"/>
        </w:rPr>
        <w:t>（</w:t>
      </w:r>
      <w:r>
        <w:rPr>
          <w:rFonts w:hint="eastAsia" w:ascii="宋体" w:hAnsi="宋体" w:eastAsia="宋体" w:cs="宋体"/>
          <w:position w:val="2"/>
          <w:sz w:val="24"/>
          <w:lang w:val="en-US" w:eastAsia="zh-CN"/>
        </w:rPr>
        <w:t>2</w:t>
      </w:r>
      <w:r>
        <w:rPr>
          <w:rFonts w:hint="eastAsia" w:ascii="宋体" w:hAnsi="宋体" w:eastAsia="宋体" w:cs="宋体"/>
          <w:position w:val="2"/>
          <w:sz w:val="24"/>
          <w:lang w:eastAsia="zh-CN"/>
        </w:rPr>
        <w:t>）</w:t>
      </w:r>
      <w:r>
        <w:rPr>
          <w:rFonts w:hint="eastAsia" w:ascii="宋体" w:hAnsi="宋体" w:eastAsia="宋体" w:cs="宋体"/>
          <w:position w:val="2"/>
          <w:sz w:val="24"/>
        </w:rPr>
        <w:t>水环境：废污水排放源，</w:t>
      </w:r>
      <w:r>
        <w:rPr>
          <w:rFonts w:hint="eastAsia" w:ascii="Times New Roman" w:hAnsi="Times New Roman" w:eastAsia="宋体" w:cs="Times New Roman"/>
          <w:sz w:val="24"/>
          <w:szCs w:val="24"/>
          <w:lang w:val="zh-CN" w:eastAsia="zh-CN" w:bidi="zh-CN"/>
        </w:rPr>
        <w:t>pH</w:t>
      </w:r>
      <w:r>
        <w:rPr>
          <w:rFonts w:hint="eastAsia" w:ascii="宋体" w:hAnsi="宋体" w:eastAsia="宋体" w:cs="宋体"/>
          <w:position w:val="2"/>
          <w:sz w:val="24"/>
        </w:rPr>
        <w:t>、</w:t>
      </w:r>
      <w:r>
        <w:rPr>
          <w:rFonts w:hint="eastAsia" w:ascii="Times New Roman" w:hAnsi="Times New Roman" w:eastAsia="宋体" w:cs="Times New Roman"/>
          <w:sz w:val="24"/>
          <w:szCs w:val="24"/>
          <w:lang w:val="zh-CN" w:eastAsia="zh-CN" w:bidi="zh-CN"/>
        </w:rPr>
        <w:t>SS</w:t>
      </w:r>
      <w:r>
        <w:rPr>
          <w:rFonts w:hint="eastAsia" w:ascii="宋体" w:hAnsi="宋体" w:eastAsia="宋体" w:cs="宋体"/>
          <w:position w:val="2"/>
          <w:sz w:val="24"/>
        </w:rPr>
        <w:t>、</w:t>
      </w:r>
      <w:r>
        <w:rPr>
          <w:rFonts w:hint="eastAsia" w:ascii="Times New Roman" w:hAnsi="Times New Roman" w:eastAsia="宋体" w:cs="Times New Roman"/>
          <w:sz w:val="24"/>
          <w:szCs w:val="24"/>
          <w:lang w:val="zh-CN" w:eastAsia="zh-CN" w:bidi="zh-CN"/>
        </w:rPr>
        <w:t>CODcr</w:t>
      </w:r>
      <w:r>
        <w:rPr>
          <w:rFonts w:hint="eastAsia" w:ascii="宋体" w:hAnsi="宋体" w:eastAsia="宋体" w:cs="宋体"/>
          <w:position w:val="2"/>
          <w:sz w:val="24"/>
          <w:vertAlign w:val="baseline"/>
        </w:rPr>
        <w:t>、</w:t>
      </w:r>
      <w:r>
        <w:rPr>
          <w:rFonts w:hint="eastAsia" w:ascii="Times New Roman" w:hAnsi="Times New Roman" w:eastAsia="宋体" w:cs="Times New Roman"/>
          <w:sz w:val="24"/>
          <w:szCs w:val="24"/>
          <w:lang w:val="zh-CN" w:eastAsia="zh-CN" w:bidi="zh-CN"/>
        </w:rPr>
        <w:t>NH</w:t>
      </w:r>
      <w:r>
        <w:rPr>
          <w:rFonts w:hint="eastAsia" w:ascii="Times New Roman" w:hAnsi="Times New Roman" w:eastAsia="宋体" w:cs="Times New Roman"/>
          <w:sz w:val="24"/>
          <w:szCs w:val="24"/>
          <w:vertAlign w:val="subscript"/>
          <w:lang w:val="zh-CN" w:eastAsia="zh-CN" w:bidi="zh-CN"/>
        </w:rPr>
        <w:t>3</w:t>
      </w:r>
      <w:r>
        <w:rPr>
          <w:rFonts w:hint="eastAsia" w:ascii="Times New Roman" w:hAnsi="Times New Roman" w:eastAsia="宋体" w:cs="Times New Roman"/>
          <w:sz w:val="24"/>
          <w:szCs w:val="24"/>
          <w:lang w:val="zh-CN" w:eastAsia="zh-CN" w:bidi="zh-CN"/>
        </w:rPr>
        <w:t>-N</w:t>
      </w:r>
      <w:r>
        <w:rPr>
          <w:rFonts w:hint="eastAsia" w:ascii="宋体" w:hAnsi="宋体" w:eastAsia="宋体" w:cs="宋体"/>
          <w:position w:val="2"/>
          <w:sz w:val="24"/>
          <w:vertAlign w:val="baseline"/>
        </w:rPr>
        <w:t>、石油类等项；</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大气环境：居民投诉情况、大气污染源；</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声环境调查：昼、夜间等效声级值；</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固体废弃物：工程弃渣、生活垃圾、废机油、废变压器油；</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6</w:t>
      </w:r>
      <w:r>
        <w:rPr>
          <w:rFonts w:hint="eastAsia" w:ascii="宋体" w:hAnsi="宋体" w:eastAsia="宋体" w:cs="宋体"/>
          <w:sz w:val="24"/>
          <w:lang w:eastAsia="zh-CN"/>
        </w:rPr>
        <w:t>）</w:t>
      </w:r>
      <w:r>
        <w:rPr>
          <w:rFonts w:hint="eastAsia" w:ascii="宋体" w:hAnsi="宋体" w:eastAsia="宋体" w:cs="宋体"/>
          <w:sz w:val="24"/>
        </w:rPr>
        <w:t>社会环境：工程占地及淹没补偿。</w:t>
      </w:r>
    </w:p>
    <w:p>
      <w:pPr>
        <w:pStyle w:val="4"/>
        <w:numPr>
          <w:ilvl w:val="1"/>
          <w:numId w:val="2"/>
        </w:numPr>
        <w:tabs>
          <w:tab w:val="left" w:pos="1220"/>
        </w:tabs>
        <w:spacing w:before="1" w:after="0" w:line="240" w:lineRule="auto"/>
        <w:ind w:left="1220" w:right="0" w:hanging="603"/>
        <w:jc w:val="left"/>
        <w:rPr>
          <w:rFonts w:hint="eastAsia" w:ascii="宋体" w:hAnsi="宋体" w:eastAsia="宋体" w:cs="宋体"/>
        </w:rPr>
      </w:pPr>
      <w:bookmarkStart w:id="31" w:name="_bookmark7"/>
      <w:bookmarkEnd w:id="31"/>
      <w:bookmarkStart w:id="32" w:name="_bookmark7"/>
      <w:bookmarkEnd w:id="32"/>
      <w:bookmarkStart w:id="33" w:name="1.7调查重点和环境保护目标"/>
      <w:bookmarkEnd w:id="33"/>
      <w:r>
        <w:rPr>
          <w:rFonts w:hint="eastAsia" w:ascii="宋体" w:hAnsi="宋体" w:eastAsia="宋体" w:cs="宋体"/>
          <w:w w:val="95"/>
        </w:rPr>
        <w:t>调查重点和环境保护目标</w:t>
      </w:r>
    </w:p>
    <w:p>
      <w:pPr>
        <w:pStyle w:val="20"/>
        <w:numPr>
          <w:ilvl w:val="2"/>
          <w:numId w:val="2"/>
        </w:numPr>
        <w:tabs>
          <w:tab w:val="left" w:pos="1316"/>
        </w:tabs>
        <w:spacing w:before="244" w:after="0" w:line="240" w:lineRule="auto"/>
        <w:ind w:left="1316" w:right="0" w:hanging="699"/>
        <w:jc w:val="left"/>
        <w:rPr>
          <w:rFonts w:hint="eastAsia" w:ascii="宋体" w:hAnsi="宋体" w:eastAsia="宋体" w:cs="宋体"/>
          <w:b/>
          <w:sz w:val="28"/>
        </w:rPr>
      </w:pPr>
      <w:bookmarkStart w:id="34" w:name="1.7.1调查重点"/>
      <w:bookmarkEnd w:id="34"/>
      <w:bookmarkStart w:id="35" w:name="1.7.1调查重点"/>
      <w:bookmarkEnd w:id="35"/>
      <w:r>
        <w:rPr>
          <w:rFonts w:hint="eastAsia" w:ascii="宋体" w:hAnsi="宋体" w:eastAsia="宋体" w:cs="宋体"/>
          <w:b/>
          <w:sz w:val="28"/>
        </w:rPr>
        <w:t>调查重点</w:t>
      </w:r>
    </w:p>
    <w:p>
      <w:pPr>
        <w:pStyle w:val="7"/>
        <w:spacing w:before="10"/>
        <w:rPr>
          <w:b/>
          <w:sz w:val="23"/>
        </w:rPr>
      </w:pP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工程调查</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8" w:firstLineChars="200"/>
        <w:jc w:val="left"/>
        <w:textAlignment w:val="auto"/>
        <w:rPr>
          <w:rFonts w:hint="eastAsia" w:ascii="宋体" w:hAnsi="宋体" w:eastAsia="宋体" w:cs="宋体"/>
        </w:rPr>
      </w:pPr>
      <w:r>
        <w:rPr>
          <w:rFonts w:hint="eastAsia" w:ascii="宋体" w:hAnsi="宋体" w:eastAsia="宋体" w:cs="宋体"/>
          <w:spacing w:val="-8"/>
        </w:rPr>
        <w:t>工程组成、建设、占地、设计及其变更情况；环保措施“三同时”制度执行</w:t>
      </w:r>
      <w:r>
        <w:rPr>
          <w:rFonts w:hint="eastAsia" w:ascii="宋体" w:hAnsi="宋体" w:eastAsia="宋体" w:cs="宋体"/>
        </w:rPr>
        <w:t>情况；环保投资落实及其变化情况；电站试运行情况。</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生态环境</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8" w:firstLineChars="200"/>
        <w:jc w:val="left"/>
        <w:textAlignment w:val="auto"/>
        <w:rPr>
          <w:rFonts w:hint="eastAsia" w:ascii="宋体" w:hAnsi="宋体" w:eastAsia="宋体" w:cs="宋体"/>
        </w:rPr>
      </w:pPr>
      <w:r>
        <w:rPr>
          <w:rFonts w:hint="eastAsia" w:ascii="宋体" w:hAnsi="宋体" w:eastAsia="宋体" w:cs="宋体"/>
          <w:spacing w:val="-8"/>
        </w:rPr>
        <w:t>工程占地、水库淹没及建设对区域植被、动植物、鱼类等的影响；水土保持</w:t>
      </w:r>
      <w:r>
        <w:rPr>
          <w:rFonts w:hint="eastAsia" w:ascii="宋体" w:hAnsi="宋体" w:eastAsia="宋体" w:cs="宋体"/>
        </w:rPr>
        <w:t>治理、生态恢复、鱼类保护措施落实情况。</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水环境</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工程施工期和试运行期废、污水产生和排放情况，废、污水处理设施落实情</w:t>
      </w:r>
      <w:r>
        <w:rPr>
          <w:rFonts w:hint="eastAsia" w:ascii="宋体" w:hAnsi="宋体" w:eastAsia="宋体" w:cs="宋体"/>
          <w:spacing w:val="-10"/>
        </w:rPr>
        <w:t>况及处理效果；工程建设对开发河段地表水水质、水资源利用的影响及生态用水</w:t>
      </w:r>
      <w:r>
        <w:rPr>
          <w:rFonts w:hint="eastAsia" w:ascii="宋体" w:hAnsi="宋体" w:eastAsia="宋体" w:cs="宋体"/>
        </w:rPr>
        <w:t>的保障。</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环境空气、声环境</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工程施工期和试运行期对环境空气和声环境保护目标的影响，保护措施落实情况及效果。</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固体废弃物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工程施工期和试运行期弃土弃渣、生活垃圾处置措施落实情况及其效果、废机油的收处措施。</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6</w:t>
      </w:r>
      <w:r>
        <w:rPr>
          <w:rFonts w:hint="eastAsia" w:ascii="宋体" w:hAnsi="宋体" w:eastAsia="宋体" w:cs="宋体"/>
          <w:sz w:val="24"/>
          <w:lang w:eastAsia="zh-CN"/>
        </w:rPr>
        <w:t>）</w:t>
      </w:r>
      <w:r>
        <w:rPr>
          <w:rFonts w:hint="eastAsia" w:ascii="宋体" w:hAnsi="宋体" w:eastAsia="宋体" w:cs="宋体"/>
          <w:sz w:val="24"/>
        </w:rPr>
        <w:t>社会环境</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生产安置、占地淹没补偿、水资源利用保障措施落实情况。</w:t>
      </w:r>
    </w:p>
    <w:p>
      <w:pPr>
        <w:pStyle w:val="20"/>
        <w:numPr>
          <w:ilvl w:val="2"/>
          <w:numId w:val="2"/>
        </w:numPr>
        <w:tabs>
          <w:tab w:val="left" w:pos="1316"/>
        </w:tabs>
        <w:spacing w:before="0" w:after="0" w:line="240" w:lineRule="auto"/>
        <w:ind w:left="1316" w:right="0" w:hanging="699"/>
        <w:jc w:val="left"/>
        <w:rPr>
          <w:rFonts w:hint="eastAsia" w:ascii="宋体" w:hAnsi="宋体" w:eastAsia="宋体" w:cs="宋体"/>
        </w:rPr>
      </w:pPr>
      <w:bookmarkStart w:id="36" w:name="1.7.2环境保护目标"/>
      <w:bookmarkEnd w:id="36"/>
      <w:bookmarkStart w:id="37" w:name="1.7.2环境保护目标"/>
      <w:bookmarkEnd w:id="37"/>
      <w:r>
        <w:rPr>
          <w:rFonts w:hint="eastAsia" w:ascii="宋体" w:hAnsi="宋体" w:eastAsia="宋体" w:cs="宋体"/>
          <w:b/>
          <w:sz w:val="28"/>
        </w:rPr>
        <w:t>环境保护目标</w:t>
      </w:r>
    </w:p>
    <w:p>
      <w:pPr>
        <w:pStyle w:val="20"/>
        <w:keepNext w:val="0"/>
        <w:keepLines w:val="0"/>
        <w:pageBreakBefore w:val="0"/>
        <w:widowControl w:val="0"/>
        <w:numPr>
          <w:ilvl w:val="0"/>
          <w:numId w:val="0"/>
        </w:numPr>
        <w:tabs>
          <w:tab w:val="left" w:pos="1316"/>
        </w:tabs>
        <w:kinsoku/>
        <w:wordWrap/>
        <w:overflowPunct/>
        <w:topLinePunct w:val="0"/>
        <w:autoSpaceDE w:val="0"/>
        <w:autoSpaceDN w:val="0"/>
        <w:bidi w:val="0"/>
        <w:adjustRightInd/>
        <w:snapToGrid/>
        <w:spacing w:before="0" w:after="0" w:line="360" w:lineRule="auto"/>
        <w:ind w:right="0" w:rightChars="0" w:firstLine="448" w:firstLineChars="2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根据《</w:t>
      </w:r>
      <w:r>
        <w:rPr>
          <w:rFonts w:hint="eastAsia" w:ascii="宋体" w:hAnsi="宋体" w:eastAsia="宋体" w:cs="宋体"/>
          <w:sz w:val="24"/>
          <w:highlight w:val="none"/>
        </w:rPr>
        <w:t>崇义县上堡人形水电站</w:t>
      </w:r>
      <w:r>
        <w:rPr>
          <w:rFonts w:hint="eastAsia" w:ascii="宋体" w:hAnsi="宋体" w:eastAsia="宋体" w:cs="宋体"/>
          <w:sz w:val="24"/>
          <w:highlight w:val="none"/>
          <w:lang w:eastAsia="zh-CN"/>
        </w:rPr>
        <w:t>工程</w:t>
      </w:r>
      <w:r>
        <w:rPr>
          <w:rFonts w:hint="eastAsia" w:ascii="宋体" w:hAnsi="宋体" w:eastAsia="宋体" w:cs="宋体"/>
          <w:sz w:val="24"/>
          <w:szCs w:val="24"/>
          <w:highlight w:val="none"/>
        </w:rPr>
        <w:t>项目环境影响报告书</w:t>
      </w:r>
      <w:r>
        <w:rPr>
          <w:rFonts w:hint="eastAsia" w:ascii="宋体" w:hAnsi="宋体" w:eastAsia="宋体" w:cs="宋体"/>
          <w:spacing w:val="-8"/>
          <w:sz w:val="24"/>
          <w:szCs w:val="24"/>
        </w:rPr>
        <w:t>》，评价的保护对象主要为评</w:t>
      </w:r>
      <w:r>
        <w:rPr>
          <w:rFonts w:hint="eastAsia" w:ascii="宋体" w:hAnsi="宋体" w:eastAsia="宋体" w:cs="宋体"/>
          <w:spacing w:val="-6"/>
          <w:sz w:val="24"/>
          <w:szCs w:val="24"/>
        </w:rPr>
        <w:t>价范围内的生态系统和附近自然村等居民点。施工期环境噪声以水电站周围居民</w:t>
      </w:r>
      <w:r>
        <w:rPr>
          <w:rFonts w:hint="eastAsia" w:ascii="宋体" w:hAnsi="宋体" w:eastAsia="宋体" w:cs="宋体"/>
          <w:spacing w:val="-9"/>
          <w:sz w:val="24"/>
          <w:szCs w:val="24"/>
        </w:rPr>
        <w:t>点为主要保护目标。本次调查针对这些保护目标受影响的情况进行调查，</w:t>
      </w:r>
      <w:r>
        <w:rPr>
          <w:rFonts w:hint="eastAsia" w:ascii="宋体" w:hAnsi="宋体" w:eastAsia="宋体" w:cs="宋体"/>
          <w:spacing w:val="-9"/>
          <w:sz w:val="24"/>
          <w:szCs w:val="24"/>
          <w:lang w:eastAsia="zh-CN"/>
        </w:rPr>
        <w:t>具体如下</w:t>
      </w:r>
      <w:r>
        <w:rPr>
          <w:rFonts w:hint="eastAsia" w:ascii="宋体" w:hAnsi="宋体" w:eastAsia="宋体" w:cs="宋体"/>
          <w:sz w:val="24"/>
          <w:szCs w:val="24"/>
        </w:rPr>
        <w:t>。</w:t>
      </w:r>
    </w:p>
    <w:p>
      <w:pPr>
        <w:pStyle w:val="5"/>
        <w:bidi w:val="0"/>
        <w:rPr>
          <w:rFonts w:hint="eastAsia" w:ascii="宋体" w:hAnsi="宋体" w:eastAsia="宋体" w:cs="宋体"/>
          <w:b/>
          <w:bCs/>
          <w:color w:val="auto"/>
          <w:sz w:val="24"/>
          <w:szCs w:val="24"/>
        </w:rPr>
      </w:pPr>
      <w:r>
        <w:rPr>
          <w:rFonts w:hint="eastAsia" w:ascii="宋体" w:hAnsi="宋体" w:eastAsia="宋体" w:cs="宋体"/>
          <w:b w:val="0"/>
          <w:bCs/>
          <w:caps w:val="0"/>
          <w:smallCaps w:val="0"/>
          <w:snapToGrid/>
          <w:color w:val="auto"/>
          <w:spacing w:val="0"/>
          <w:w w:val="100"/>
          <w:kern w:val="2"/>
          <w:position w:val="0"/>
          <w:sz w:val="24"/>
          <w:szCs w:val="21"/>
          <w:lang w:val="en-US" w:eastAsia="zh-CN"/>
        </w:rPr>
        <w:t>1</w:t>
      </w:r>
      <w:r>
        <w:rPr>
          <w:rFonts w:hint="eastAsia" w:ascii="宋体" w:hAnsi="宋体" w:eastAsia="宋体" w:cs="宋体"/>
          <w:b/>
          <w:caps w:val="0"/>
          <w:smallCaps w:val="0"/>
          <w:snapToGrid/>
          <w:color w:val="auto"/>
          <w:spacing w:val="0"/>
          <w:w w:val="100"/>
          <w:kern w:val="2"/>
          <w:position w:val="0"/>
          <w:sz w:val="24"/>
          <w:szCs w:val="21"/>
          <w:lang w:val="en-US" w:eastAsia="zh-CN"/>
        </w:rPr>
        <w:t>、</w:t>
      </w:r>
      <w:bookmarkStart w:id="38" w:name="_bookmark8"/>
      <w:bookmarkEnd w:id="38"/>
      <w:bookmarkStart w:id="39" w:name="1.8验收标准"/>
      <w:bookmarkEnd w:id="39"/>
      <w:bookmarkStart w:id="40" w:name="_bookmark8"/>
      <w:bookmarkEnd w:id="40"/>
      <w:r>
        <w:rPr>
          <w:rFonts w:hint="eastAsia" w:ascii="宋体" w:hAnsi="宋体" w:eastAsia="宋体" w:cs="宋体"/>
          <w:color w:val="auto"/>
          <w:sz w:val="24"/>
          <w:szCs w:val="24"/>
        </w:rPr>
        <w:t>声环境保护目标</w:t>
      </w:r>
    </w:p>
    <w:p>
      <w:pPr>
        <w:tabs>
          <w:tab w:val="left" w:pos="9460"/>
        </w:tabs>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本项目水电站的发电机房周边200m范围内存在声环境敏感点，因此，本项目声环境保护目标是确保项目周边的声环境敏感点达到《声环境质量标准》（GB3096-2008）</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类标准。</w:t>
      </w:r>
    </w:p>
    <w:p>
      <w:pPr>
        <w:pStyle w:val="25"/>
        <w:bidi w:val="0"/>
        <w:rPr>
          <w:rFonts w:hint="eastAsia" w:ascii="宋体" w:hAnsi="宋体" w:eastAsia="宋体" w:cs="宋体"/>
          <w:b/>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 xml:space="preserve"> 发电机房周边的声环境保护目标</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73"/>
        <w:gridCol w:w="1189"/>
        <w:gridCol w:w="815"/>
        <w:gridCol w:w="815"/>
        <w:gridCol w:w="1468"/>
        <w:gridCol w:w="1793"/>
        <w:gridCol w:w="2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404"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621"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环境敏感点名称</w:t>
            </w:r>
          </w:p>
        </w:tc>
        <w:tc>
          <w:tcPr>
            <w:tcW w:w="426"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性质</w:t>
            </w:r>
          </w:p>
        </w:tc>
        <w:tc>
          <w:tcPr>
            <w:tcW w:w="426"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位置</w:t>
            </w:r>
          </w:p>
        </w:tc>
        <w:tc>
          <w:tcPr>
            <w:tcW w:w="767"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评价范围内的影响规模</w:t>
            </w:r>
          </w:p>
        </w:tc>
        <w:tc>
          <w:tcPr>
            <w:tcW w:w="937"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与本项目水电站的发电机房最近距离</w:t>
            </w:r>
          </w:p>
        </w:tc>
        <w:tc>
          <w:tcPr>
            <w:tcW w:w="1419" w:type="pct"/>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04" w:type="pct"/>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21" w:type="pct"/>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正井村居民点</w:t>
            </w:r>
          </w:p>
        </w:tc>
        <w:tc>
          <w:tcPr>
            <w:tcW w:w="426" w:type="pct"/>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居住</w:t>
            </w:r>
          </w:p>
        </w:tc>
        <w:tc>
          <w:tcPr>
            <w:tcW w:w="426" w:type="pct"/>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w:t>
            </w:r>
          </w:p>
        </w:tc>
        <w:tc>
          <w:tcPr>
            <w:tcW w:w="767" w:type="pct"/>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人</w:t>
            </w:r>
          </w:p>
        </w:tc>
        <w:tc>
          <w:tcPr>
            <w:tcW w:w="937" w:type="pct"/>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m</w:t>
            </w:r>
          </w:p>
        </w:tc>
        <w:tc>
          <w:tcPr>
            <w:tcW w:w="1419" w:type="pct"/>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《声环境质量标准》（GB3096-2008）</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类标准</w:t>
            </w:r>
          </w:p>
        </w:tc>
      </w:tr>
    </w:tbl>
    <w:p>
      <w:pPr>
        <w:tabs>
          <w:tab w:val="left" w:pos="9460"/>
        </w:tabs>
        <w:ind w:right="249" w:rightChars="113"/>
        <w:jc w:val="both"/>
        <w:rPr>
          <w:rFonts w:hint="eastAsia" w:ascii="宋体" w:hAnsi="宋体" w:eastAsia="宋体" w:cs="宋体"/>
          <w:color w:val="auto"/>
          <w:sz w:val="24"/>
          <w:szCs w:val="24"/>
        </w:rPr>
      </w:pPr>
    </w:p>
    <w:p>
      <w:pPr>
        <w:pStyle w:val="5"/>
        <w:bidi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地表水环境保护目标</w:t>
      </w:r>
    </w:p>
    <w:p>
      <w:pPr>
        <w:tabs>
          <w:tab w:val="left" w:pos="9460"/>
        </w:tabs>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本项目地表水环境保护目标是，确保评价范围的地表水体可以满足《地表水环境质量标准》（GB3838-2002）Ⅲ类标准，项目下游的村民均采用山泉水作为饮用水源，没有农村供水设施，下游</w:t>
      </w:r>
      <w:r>
        <w:rPr>
          <w:rFonts w:hint="eastAsia" w:ascii="宋体" w:hAnsi="宋体" w:eastAsia="宋体" w:cs="宋体"/>
          <w:color w:val="auto"/>
          <w:sz w:val="24"/>
          <w:szCs w:val="24"/>
          <w:lang w:val="en-US" w:eastAsia="zh-CN"/>
        </w:rPr>
        <w:t>评价范围内</w:t>
      </w:r>
      <w:r>
        <w:rPr>
          <w:rFonts w:hint="eastAsia" w:ascii="宋体" w:hAnsi="宋体" w:eastAsia="宋体" w:cs="宋体"/>
          <w:color w:val="auto"/>
          <w:sz w:val="24"/>
          <w:szCs w:val="24"/>
        </w:rPr>
        <w:t>没有取水口，评价范围不涉及地表饮用水源保护区，水环境保护目标见下表。</w:t>
      </w:r>
    </w:p>
    <w:p>
      <w:pPr>
        <w:pStyle w:val="25"/>
        <w:bidi w:val="0"/>
        <w:rPr>
          <w:rFonts w:hint="eastAsia" w:ascii="宋体" w:hAnsi="宋体" w:eastAsia="宋体" w:cs="宋体"/>
          <w:b/>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 xml:space="preserve"> 地表水环境保护目标</w:t>
      </w:r>
    </w:p>
    <w:tbl>
      <w:tblPr>
        <w:tblStyle w:val="16"/>
        <w:tblW w:w="94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4"/>
        <w:gridCol w:w="1395"/>
        <w:gridCol w:w="706"/>
        <w:gridCol w:w="706"/>
        <w:gridCol w:w="3197"/>
        <w:gridCol w:w="2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734"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395"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环境敏感点</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70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性质</w:t>
            </w:r>
          </w:p>
        </w:tc>
        <w:tc>
          <w:tcPr>
            <w:tcW w:w="70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位置</w:t>
            </w:r>
          </w:p>
        </w:tc>
        <w:tc>
          <w:tcPr>
            <w:tcW w:w="3197"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评价范围内的影响规模</w:t>
            </w:r>
          </w:p>
        </w:tc>
        <w:tc>
          <w:tcPr>
            <w:tcW w:w="2752"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73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95"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上犹江支流上堡河</w:t>
            </w:r>
          </w:p>
        </w:tc>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河流</w:t>
            </w:r>
          </w:p>
        </w:tc>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项目所在</w:t>
            </w:r>
          </w:p>
        </w:tc>
        <w:tc>
          <w:tcPr>
            <w:tcW w:w="3197"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坝址至以上</w:t>
            </w:r>
            <w:r>
              <w:rPr>
                <w:rFonts w:hint="eastAsia" w:ascii="宋体" w:hAnsi="宋体" w:eastAsia="宋体" w:cs="宋体"/>
                <w:color w:val="auto"/>
                <w:sz w:val="21"/>
                <w:szCs w:val="21"/>
                <w:lang w:val="en-US" w:eastAsia="zh-CN"/>
              </w:rPr>
              <w:t>0.5km</w:t>
            </w:r>
            <w:r>
              <w:rPr>
                <w:rFonts w:hint="eastAsia" w:ascii="宋体" w:hAnsi="宋体" w:eastAsia="宋体" w:cs="宋体"/>
                <w:color w:val="auto"/>
                <w:sz w:val="21"/>
                <w:szCs w:val="21"/>
              </w:rPr>
              <w:t>范围；</w:t>
            </w:r>
            <w:r>
              <w:rPr>
                <w:rFonts w:hint="eastAsia" w:ascii="宋体" w:hAnsi="宋体" w:eastAsia="宋体" w:cs="宋体"/>
                <w:color w:val="auto"/>
                <w:sz w:val="21"/>
                <w:szCs w:val="21"/>
                <w:lang w:eastAsia="zh-CN"/>
              </w:rPr>
              <w:t>减水河段；</w:t>
            </w:r>
            <w:r>
              <w:rPr>
                <w:rFonts w:hint="eastAsia" w:ascii="宋体" w:hAnsi="宋体" w:eastAsia="宋体" w:cs="宋体"/>
                <w:color w:val="auto"/>
                <w:sz w:val="21"/>
                <w:szCs w:val="21"/>
              </w:rPr>
              <w:t>电站尾水渠上游0.5km至下游1.5km河段范围</w:t>
            </w:r>
          </w:p>
        </w:tc>
        <w:tc>
          <w:tcPr>
            <w:tcW w:w="2752"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《地表水环境质量标准》（GB3838-2002）Ⅲ类标准</w:t>
            </w:r>
          </w:p>
        </w:tc>
      </w:tr>
    </w:tbl>
    <w:p>
      <w:pPr>
        <w:pStyle w:val="5"/>
        <w:bidi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地下水环境保护目标</w:t>
      </w:r>
    </w:p>
    <w:p>
      <w:pPr>
        <w:tabs>
          <w:tab w:val="left" w:pos="9460"/>
        </w:tabs>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根据现场勘查及对相关资料的整理，本项目评价范围内未发现地下水型集中饮用水水源地；且经咨询沿线村庄村民，村民主要是采用山泉水作为生活用水来源，未使用地下水作为饮用水源。</w:t>
      </w:r>
    </w:p>
    <w:p>
      <w:pPr>
        <w:tabs>
          <w:tab w:val="left" w:pos="9460"/>
        </w:tabs>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本项目地下水环境保护目标为评价范围的地下水满足《地下水质量标准》(GB/T14848-2017)Ⅲ类标准，并确保不明显影响地下水水位和流向。地下水环境保护目标见下表：</w:t>
      </w:r>
    </w:p>
    <w:p>
      <w:pPr>
        <w:pStyle w:val="25"/>
        <w:bidi w:val="0"/>
        <w:rPr>
          <w:rFonts w:hint="eastAsia" w:ascii="宋体" w:hAnsi="宋体" w:eastAsia="宋体" w:cs="宋体"/>
          <w:b/>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 xml:space="preserve"> 地下水环境保护目标</w:t>
      </w:r>
    </w:p>
    <w:tbl>
      <w:tblPr>
        <w:tblStyle w:val="16"/>
        <w:tblW w:w="94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6"/>
        <w:gridCol w:w="1123"/>
        <w:gridCol w:w="723"/>
        <w:gridCol w:w="846"/>
        <w:gridCol w:w="2828"/>
        <w:gridCol w:w="3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7" w:hRule="atLeast"/>
          <w:jc w:val="center"/>
        </w:trPr>
        <w:tc>
          <w:tcPr>
            <w:tcW w:w="70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123"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环境敏感点</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723"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性质</w:t>
            </w:r>
          </w:p>
        </w:tc>
        <w:tc>
          <w:tcPr>
            <w:tcW w:w="84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位置</w:t>
            </w:r>
          </w:p>
        </w:tc>
        <w:tc>
          <w:tcPr>
            <w:tcW w:w="2828"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评价范围内的影响规模</w:t>
            </w:r>
          </w:p>
        </w:tc>
        <w:tc>
          <w:tcPr>
            <w:tcW w:w="3247"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6" w:hRule="atLeast"/>
          <w:jc w:val="center"/>
        </w:trPr>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2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区域地下水</w:t>
            </w:r>
          </w:p>
        </w:tc>
        <w:tc>
          <w:tcPr>
            <w:tcW w:w="72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水体</w:t>
            </w:r>
          </w:p>
        </w:tc>
        <w:tc>
          <w:tcPr>
            <w:tcW w:w="84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项目周边</w:t>
            </w:r>
          </w:p>
        </w:tc>
        <w:tc>
          <w:tcPr>
            <w:tcW w:w="2828" w:type="dxa"/>
            <w:tcBorders>
              <w:tl2br w:val="nil"/>
              <w:tr2bl w:val="nil"/>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本项目所在区域及其周边共</w:t>
            </w:r>
          </w:p>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km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的地下水范围</w:t>
            </w:r>
          </w:p>
        </w:tc>
        <w:tc>
          <w:tcPr>
            <w:tcW w:w="3247" w:type="dxa"/>
            <w:tcBorders>
              <w:tl2br w:val="nil"/>
              <w:tr2bl w:val="nil"/>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9473" w:type="dxa"/>
            <w:gridSpan w:val="6"/>
            <w:tcBorders>
              <w:tl2br w:val="nil"/>
              <w:tr2bl w:val="nil"/>
            </w:tcBorders>
            <w:noWrap w:val="0"/>
            <w:vAlign w:val="center"/>
          </w:tcPr>
          <w:p>
            <w:pPr>
              <w:tabs>
                <w:tab w:val="left" w:pos="9460"/>
              </w:tabs>
              <w:spacing w:before="65"/>
              <w:ind w:right="249" w:rightChars="113"/>
              <w:jc w:val="both"/>
              <w:rPr>
                <w:rFonts w:hint="eastAsia" w:ascii="宋体" w:hAnsi="宋体" w:eastAsia="宋体" w:cs="宋体"/>
                <w:color w:val="auto"/>
                <w:sz w:val="21"/>
                <w:szCs w:val="21"/>
              </w:rPr>
            </w:pPr>
            <w:r>
              <w:rPr>
                <w:rFonts w:hint="eastAsia" w:ascii="宋体" w:hAnsi="宋体" w:eastAsia="宋体" w:cs="宋体"/>
                <w:color w:val="auto"/>
                <w:sz w:val="21"/>
                <w:szCs w:val="21"/>
              </w:rPr>
              <w:t>注：评价范围不涉及地下型饮用水源保护区</w:t>
            </w:r>
          </w:p>
        </w:tc>
      </w:tr>
    </w:tbl>
    <w:p>
      <w:pPr>
        <w:tabs>
          <w:tab w:val="left" w:pos="9460"/>
        </w:tabs>
        <w:spacing w:before="7"/>
        <w:ind w:right="249" w:rightChars="113"/>
        <w:jc w:val="both"/>
        <w:rPr>
          <w:rFonts w:hint="eastAsia" w:ascii="宋体" w:hAnsi="宋体" w:eastAsia="宋体" w:cs="宋体"/>
          <w:b/>
          <w:color w:val="auto"/>
          <w:sz w:val="24"/>
          <w:szCs w:val="24"/>
        </w:rPr>
      </w:pPr>
    </w:p>
    <w:p>
      <w:pPr>
        <w:pStyle w:val="5"/>
        <w:bidi w:val="0"/>
        <w:rPr>
          <w:rFonts w:hint="eastAsia" w:ascii="宋体" w:hAnsi="宋体" w:eastAsia="宋体" w:cs="宋体"/>
          <w:b/>
          <w:bCs/>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生态环境保护目标</w:t>
      </w:r>
    </w:p>
    <w:p>
      <w:pPr>
        <w:tabs>
          <w:tab w:val="left" w:pos="9460"/>
        </w:tabs>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陆生生态的保护目标是陆生动、植物资源不因项目的建设受到重大影响，保护陆生动物的生境、迁徙活动与繁殖；以及土地资源结构不因项目建设受到重大影响。水生生态的保护目标是保护项目所在水域的水生生物，满足各类生物对栖息环境的要求，生境不受到严重破坏；保护鱼类等水生生物资源的正常繁衍。</w:t>
      </w:r>
    </w:p>
    <w:p>
      <w:pPr>
        <w:pStyle w:val="25"/>
        <w:bidi w:val="0"/>
        <w:rPr>
          <w:rFonts w:hint="eastAsia" w:ascii="宋体" w:hAnsi="宋体" w:eastAsia="宋体" w:cs="宋体"/>
          <w:b/>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生态环境保护目标</w:t>
      </w:r>
    </w:p>
    <w:tbl>
      <w:tblPr>
        <w:tblStyle w:val="16"/>
        <w:tblW w:w="96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4"/>
        <w:gridCol w:w="1215"/>
        <w:gridCol w:w="886"/>
        <w:gridCol w:w="706"/>
        <w:gridCol w:w="2811"/>
        <w:gridCol w:w="3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734"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215"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环境敏感点</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88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性质</w:t>
            </w:r>
          </w:p>
        </w:tc>
        <w:tc>
          <w:tcPr>
            <w:tcW w:w="70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位置</w:t>
            </w:r>
          </w:p>
        </w:tc>
        <w:tc>
          <w:tcPr>
            <w:tcW w:w="2811"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评价范围内的影响规模</w:t>
            </w:r>
          </w:p>
        </w:tc>
        <w:tc>
          <w:tcPr>
            <w:tcW w:w="3303"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73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15"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陆生动植物</w:t>
            </w:r>
          </w:p>
        </w:tc>
        <w:tc>
          <w:tcPr>
            <w:tcW w:w="88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生物</w:t>
            </w:r>
          </w:p>
        </w:tc>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项目周边</w:t>
            </w:r>
          </w:p>
        </w:tc>
        <w:tc>
          <w:tcPr>
            <w:tcW w:w="2811"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回水区（大坝前的回水长度为50m）正常蓄水位外延300m陆域范围，合计约3万m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范围内的陆生动植物</w:t>
            </w:r>
          </w:p>
        </w:tc>
        <w:tc>
          <w:tcPr>
            <w:tcW w:w="330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不受重大影响，并保护其生镜和正常繁衍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1" w:hRule="atLeast"/>
          <w:jc w:val="center"/>
        </w:trPr>
        <w:tc>
          <w:tcPr>
            <w:tcW w:w="73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15"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土地资源</w:t>
            </w:r>
          </w:p>
        </w:tc>
        <w:tc>
          <w:tcPr>
            <w:tcW w:w="88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资源</w:t>
            </w:r>
          </w:p>
        </w:tc>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项目周边</w:t>
            </w:r>
          </w:p>
        </w:tc>
        <w:tc>
          <w:tcPr>
            <w:tcW w:w="2811"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回水区（大坝前的回水长度为50m）正常蓄水位外延300m 陆域范围，合计约3万m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的土地资源，重点为其中的耕地资源</w:t>
            </w:r>
          </w:p>
        </w:tc>
        <w:tc>
          <w:tcPr>
            <w:tcW w:w="330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土地资源结构不发生重大变化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73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15"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水生生物</w:t>
            </w:r>
          </w:p>
        </w:tc>
        <w:tc>
          <w:tcPr>
            <w:tcW w:w="88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生物</w:t>
            </w:r>
          </w:p>
        </w:tc>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河流</w:t>
            </w:r>
          </w:p>
        </w:tc>
        <w:tc>
          <w:tcPr>
            <w:tcW w:w="2811"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本项目水电站坝址上游0.5m至尾水下游</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km，总计约</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km范围的河段内的水生生物</w:t>
            </w:r>
          </w:p>
        </w:tc>
        <w:tc>
          <w:tcPr>
            <w:tcW w:w="330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不受重大影响，并保护其生镜和正常繁衍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9655" w:type="dxa"/>
            <w:gridSpan w:val="6"/>
            <w:tcBorders>
              <w:tl2br w:val="nil"/>
              <w:tr2bl w:val="nil"/>
            </w:tcBorders>
            <w:noWrap w:val="0"/>
            <w:vAlign w:val="top"/>
          </w:tcPr>
          <w:p>
            <w:pPr>
              <w:tabs>
                <w:tab w:val="left" w:pos="9460"/>
              </w:tabs>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注：</w:t>
            </w:r>
            <w:r>
              <w:rPr>
                <w:rFonts w:hint="eastAsia" w:ascii="宋体" w:hAnsi="宋体" w:eastAsia="宋体" w:cs="宋体"/>
                <w:color w:val="auto"/>
                <w:spacing w:val="-9"/>
                <w:sz w:val="21"/>
                <w:szCs w:val="21"/>
              </w:rPr>
              <w:t>经现场勘查和查阅相关资料，陆域评价范围，不涉及珍稀动植物、不涉及特殊或重要生态敏感区；水域评价范围，不涉及珍稀鱼类、也不涉及鱼类保护区及鱼类</w:t>
            </w:r>
            <w:r>
              <w:rPr>
                <w:rFonts w:hint="eastAsia" w:ascii="宋体" w:hAnsi="宋体" w:eastAsia="宋体" w:cs="宋体"/>
                <w:color w:val="auto"/>
                <w:sz w:val="21"/>
                <w:szCs w:val="21"/>
              </w:rPr>
              <w:t>“</w:t>
            </w:r>
            <w:r>
              <w:rPr>
                <w:rFonts w:hint="eastAsia" w:ascii="宋体" w:hAnsi="宋体" w:eastAsia="宋体" w:cs="宋体"/>
                <w:color w:val="auto"/>
                <w:spacing w:val="-2"/>
                <w:sz w:val="21"/>
                <w:szCs w:val="21"/>
              </w:rPr>
              <w:t>三场</w:t>
            </w:r>
            <w:r>
              <w:rPr>
                <w:rFonts w:hint="eastAsia" w:ascii="宋体" w:hAnsi="宋体" w:eastAsia="宋体" w:cs="宋体"/>
                <w:color w:val="auto"/>
                <w:spacing w:val="-8"/>
                <w:sz w:val="21"/>
                <w:szCs w:val="21"/>
              </w:rPr>
              <w:t>”（</w:t>
            </w:r>
            <w:r>
              <w:rPr>
                <w:rFonts w:hint="eastAsia" w:ascii="宋体" w:hAnsi="宋体" w:eastAsia="宋体" w:cs="宋体"/>
                <w:color w:val="auto"/>
                <w:spacing w:val="-5"/>
                <w:sz w:val="21"/>
                <w:szCs w:val="21"/>
              </w:rPr>
              <w:t>越冬场、产</w:t>
            </w:r>
            <w:r>
              <w:rPr>
                <w:rFonts w:hint="eastAsia" w:ascii="宋体" w:hAnsi="宋体" w:eastAsia="宋体" w:cs="宋体"/>
                <w:color w:val="auto"/>
                <w:spacing w:val="-4"/>
                <w:sz w:val="21"/>
                <w:szCs w:val="21"/>
              </w:rPr>
              <w:t>卵场和索饵场</w:t>
            </w:r>
            <w:r>
              <w:rPr>
                <w:rFonts w:hint="eastAsia" w:ascii="宋体" w:hAnsi="宋体" w:eastAsia="宋体" w:cs="宋体"/>
                <w:color w:val="auto"/>
                <w:spacing w:val="-3"/>
                <w:sz w:val="21"/>
                <w:szCs w:val="21"/>
              </w:rPr>
              <w:t>）</w:t>
            </w:r>
            <w:r>
              <w:rPr>
                <w:rFonts w:hint="eastAsia" w:ascii="宋体" w:hAnsi="宋体" w:eastAsia="宋体" w:cs="宋体"/>
                <w:color w:val="auto"/>
                <w:sz w:val="21"/>
                <w:szCs w:val="21"/>
              </w:rPr>
              <w:t>。</w:t>
            </w:r>
          </w:p>
        </w:tc>
      </w:tr>
    </w:tbl>
    <w:p>
      <w:pPr>
        <w:pStyle w:val="5"/>
        <w:bidi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社会环境保护目标</w:t>
      </w:r>
    </w:p>
    <w:p>
      <w:pPr>
        <w:tabs>
          <w:tab w:val="left" w:pos="9460"/>
        </w:tabs>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不涉及移民安置，经现场勘查发现没有涉及具有重要经济、科研价值的矿藏资源，没有发现文物古迹，也没有发现自然历史遗产，因此，结合工程占地涉及的行政区域，社会环境影响主要是项目上下游河段两侧可能涉及的居民经济和生活相关内容，确保当地居民经济和生活不受本项目明显的影响。</w:t>
      </w:r>
    </w:p>
    <w:p>
      <w:pPr>
        <w:pStyle w:val="25"/>
        <w:bidi w:val="0"/>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 xml:space="preserve"> 社会环境保护目标</w:t>
      </w:r>
    </w:p>
    <w:tbl>
      <w:tblPr>
        <w:tblStyle w:val="16"/>
        <w:tblW w:w="98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5"/>
        <w:gridCol w:w="1418"/>
        <w:gridCol w:w="728"/>
        <w:gridCol w:w="706"/>
        <w:gridCol w:w="2587"/>
        <w:gridCol w:w="3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675"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418"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环境敏感点</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728"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性质</w:t>
            </w:r>
          </w:p>
        </w:tc>
        <w:tc>
          <w:tcPr>
            <w:tcW w:w="706"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位置</w:t>
            </w:r>
          </w:p>
        </w:tc>
        <w:tc>
          <w:tcPr>
            <w:tcW w:w="2587"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评价范围内的影响规模</w:t>
            </w:r>
          </w:p>
        </w:tc>
        <w:tc>
          <w:tcPr>
            <w:tcW w:w="3712" w:type="dxa"/>
            <w:tcBorders>
              <w:tl2br w:val="nil"/>
              <w:tr2bl w:val="nil"/>
            </w:tcBorders>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675"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1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正井村</w:t>
            </w:r>
          </w:p>
        </w:tc>
        <w:tc>
          <w:tcPr>
            <w:tcW w:w="728"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居住</w:t>
            </w:r>
          </w:p>
        </w:tc>
        <w:tc>
          <w:tcPr>
            <w:tcW w:w="70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项目周边</w:t>
            </w:r>
          </w:p>
        </w:tc>
        <w:tc>
          <w:tcPr>
            <w:tcW w:w="2587"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正井村</w:t>
            </w:r>
            <w:r>
              <w:rPr>
                <w:rFonts w:hint="eastAsia" w:ascii="宋体" w:hAnsi="宋体" w:eastAsia="宋体" w:cs="宋体"/>
                <w:color w:val="auto"/>
                <w:sz w:val="21"/>
                <w:szCs w:val="21"/>
              </w:rPr>
              <w:t>的经济、灌溉、交通、健康</w:t>
            </w:r>
          </w:p>
        </w:tc>
        <w:tc>
          <w:tcPr>
            <w:tcW w:w="3712"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确保当地居民经济和生活不受本项目明显的影响</w:t>
            </w:r>
          </w:p>
        </w:tc>
      </w:tr>
    </w:tbl>
    <w:p>
      <w:pPr>
        <w:pStyle w:val="4"/>
        <w:keepNext w:val="0"/>
        <w:keepLines w:val="0"/>
        <w:pageBreakBefore w:val="0"/>
        <w:numPr>
          <w:ilvl w:val="1"/>
          <w:numId w:val="2"/>
        </w:numPr>
        <w:tabs>
          <w:tab w:val="left" w:pos="1220"/>
        </w:tabs>
        <w:kinsoku/>
        <w:wordWrap/>
        <w:overflowPunct/>
        <w:topLinePunct w:val="0"/>
        <w:autoSpaceDE w:val="0"/>
        <w:autoSpaceDN w:val="0"/>
        <w:bidi w:val="0"/>
        <w:spacing w:before="0" w:after="0" w:line="360" w:lineRule="auto"/>
        <w:ind w:left="0" w:right="0" w:firstLine="643" w:firstLineChars="200"/>
        <w:jc w:val="left"/>
        <w:textAlignment w:val="auto"/>
        <w:rPr>
          <w:rFonts w:hint="eastAsia" w:ascii="宋体" w:hAnsi="宋体" w:eastAsia="宋体" w:cs="宋体"/>
        </w:rPr>
      </w:pPr>
      <w:r>
        <w:rPr>
          <w:rFonts w:hint="eastAsia" w:ascii="宋体" w:hAnsi="宋体" w:eastAsia="宋体" w:cs="宋体"/>
        </w:rPr>
        <w:t>验收标准</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本次竣工环保验收调查执行环评报告书执行的环境质量标准和排放标准。同时，根据新颁布的环境标准进行校核。</w:t>
      </w:r>
    </w:p>
    <w:p>
      <w:pPr>
        <w:pStyle w:val="20"/>
        <w:keepNext w:val="0"/>
        <w:keepLines w:val="0"/>
        <w:pageBreakBefore w:val="0"/>
        <w:numPr>
          <w:ilvl w:val="2"/>
          <w:numId w:val="2"/>
        </w:numPr>
        <w:tabs>
          <w:tab w:val="left" w:pos="1316"/>
        </w:tabs>
        <w:kinsoku/>
        <w:wordWrap/>
        <w:overflowPunct/>
        <w:topLinePunct w:val="0"/>
        <w:autoSpaceDE w:val="0"/>
        <w:autoSpaceDN w:val="0"/>
        <w:bidi w:val="0"/>
        <w:spacing w:before="0" w:after="0" w:line="360" w:lineRule="auto"/>
        <w:ind w:left="0" w:right="0" w:firstLine="562" w:firstLineChars="200"/>
        <w:jc w:val="left"/>
        <w:textAlignment w:val="auto"/>
        <w:rPr>
          <w:rFonts w:hint="eastAsia" w:ascii="宋体" w:hAnsi="宋体" w:eastAsia="宋体" w:cs="宋体"/>
          <w:b/>
          <w:sz w:val="28"/>
        </w:rPr>
      </w:pPr>
      <w:bookmarkStart w:id="41" w:name="1.8.1环境质量标准"/>
      <w:bookmarkEnd w:id="41"/>
      <w:bookmarkStart w:id="42" w:name="1.8.1环境质量标准"/>
      <w:bookmarkEnd w:id="42"/>
      <w:r>
        <w:rPr>
          <w:rFonts w:hint="eastAsia" w:ascii="宋体" w:hAnsi="宋体" w:eastAsia="宋体" w:cs="宋体"/>
          <w:b/>
          <w:sz w:val="28"/>
        </w:rPr>
        <w:t>环境质量标准</w:t>
      </w:r>
    </w:p>
    <w:p>
      <w:pPr>
        <w:pStyle w:val="20"/>
        <w:keepNext w:val="0"/>
        <w:keepLines w:val="0"/>
        <w:pageBreakBefore w:val="0"/>
        <w:widowControl/>
        <w:numPr>
          <w:ilvl w:val="0"/>
          <w:numId w:val="0"/>
        </w:numPr>
        <w:kinsoku/>
        <w:wordWrap/>
        <w:overflowPunct/>
        <w:topLinePunct w:val="0"/>
        <w:autoSpaceDE w:val="0"/>
        <w:autoSpaceDN w:val="0"/>
        <w:bidi w:val="0"/>
        <w:adjustRightInd w:val="0"/>
        <w:snapToGrid w:val="0"/>
        <w:spacing w:before="0" w:after="0" w:line="360" w:lineRule="auto"/>
        <w:ind w:left="0" w:leftChars="0" w:right="0" w:rightChars="0" w:firstLine="480" w:firstLineChars="200"/>
        <w:jc w:val="left"/>
        <w:textAlignment w:val="auto"/>
        <w:outlineLvl w:val="3"/>
        <w:rPr>
          <w:rFonts w:hint="default" w:ascii="Times New Roman" w:hAnsi="Times New Roman" w:eastAsia="宋体" w:cs="Times New Roman"/>
          <w:b w:val="0"/>
          <w:bCs/>
          <w:caps w:val="0"/>
          <w:smallCaps w:val="0"/>
          <w:snapToGrid/>
          <w:color w:val="auto"/>
          <w:spacing w:val="0"/>
          <w:w w:val="100"/>
          <w:kern w:val="2"/>
          <w:position w:val="0"/>
          <w:sz w:val="24"/>
        </w:rPr>
      </w:pPr>
      <w:r>
        <w:rPr>
          <w:rFonts w:hint="eastAsia" w:ascii="Times New Roman" w:hAnsi="Times New Roman" w:eastAsia="宋体" w:cs="Times New Roman"/>
          <w:b w:val="0"/>
          <w:bCs/>
          <w:caps w:val="0"/>
          <w:smallCaps w:val="0"/>
          <w:snapToGrid/>
          <w:color w:val="auto"/>
          <w:spacing w:val="0"/>
          <w:w w:val="100"/>
          <w:kern w:val="2"/>
          <w:position w:val="0"/>
          <w:sz w:val="24"/>
          <w:lang w:val="en-US" w:eastAsia="zh-CN"/>
        </w:rPr>
        <w:t>1、</w:t>
      </w:r>
      <w:r>
        <w:rPr>
          <w:rFonts w:hint="default" w:ascii="Times New Roman" w:hAnsi="Times New Roman" w:eastAsia="宋体" w:cs="Times New Roman"/>
          <w:b w:val="0"/>
          <w:bCs/>
          <w:caps w:val="0"/>
          <w:smallCaps w:val="0"/>
          <w:snapToGrid/>
          <w:color w:val="auto"/>
          <w:spacing w:val="0"/>
          <w:w w:val="100"/>
          <w:kern w:val="2"/>
          <w:position w:val="0"/>
          <w:sz w:val="24"/>
        </w:rPr>
        <w:t>环境空气质量标准</w:t>
      </w:r>
    </w:p>
    <w:p>
      <w:pPr>
        <w:keepNext w:val="0"/>
        <w:keepLines w:val="0"/>
        <w:pageBreakBefore w:val="0"/>
        <w:widowControl/>
        <w:kinsoku/>
        <w:wordWrap/>
        <w:overflowPunct/>
        <w:topLinePunct w:val="0"/>
        <w:autoSpaceDE w:val="0"/>
        <w:autoSpaceDN w:val="0"/>
        <w:bidi w:val="0"/>
        <w:adjustRightInd w:val="0"/>
        <w:snapToGrid w:val="0"/>
        <w:spacing w:before="0" w:after="0" w:line="360" w:lineRule="auto"/>
        <w:ind w:left="0" w:firstLine="480" w:firstLineChars="200"/>
        <w:textAlignment w:val="auto"/>
        <w:rPr>
          <w:rFonts w:hint="default" w:ascii="Times New Roman" w:hAnsi="Times New Roman" w:eastAsia="宋体" w:cs="Times New Roman"/>
          <w:caps w:val="0"/>
          <w:smallCaps w:val="0"/>
          <w:snapToGrid/>
          <w:color w:val="auto"/>
          <w:spacing w:val="0"/>
          <w:w w:val="100"/>
          <w:kern w:val="2"/>
          <w:position w:val="0"/>
          <w:sz w:val="24"/>
        </w:rPr>
      </w:pPr>
      <w:r>
        <w:rPr>
          <w:rFonts w:hint="default" w:ascii="Times New Roman" w:hAnsi="Times New Roman" w:eastAsia="宋体" w:cs="Times New Roman"/>
          <w:caps w:val="0"/>
          <w:smallCaps w:val="0"/>
          <w:snapToGrid/>
          <w:color w:val="auto"/>
          <w:spacing w:val="0"/>
          <w:w w:val="100"/>
          <w:kern w:val="2"/>
          <w:position w:val="0"/>
          <w:sz w:val="24"/>
        </w:rPr>
        <w:t>项目区域环境空气质量执行《环境空气质量标准》(GB3095-2012)二级标准</w:t>
      </w:r>
      <w:r>
        <w:rPr>
          <w:rFonts w:hint="default" w:ascii="Times New Roman" w:hAnsi="Times New Roman" w:eastAsia="宋体" w:cs="Times New Roman"/>
          <w:caps w:val="0"/>
          <w:smallCaps w:val="0"/>
          <w:snapToGrid/>
          <w:color w:val="auto"/>
          <w:spacing w:val="0"/>
          <w:w w:val="100"/>
          <w:kern w:val="2"/>
          <w:position w:val="0"/>
          <w:sz w:val="24"/>
          <w:lang w:val="en-US" w:eastAsia="zh-CN"/>
        </w:rPr>
        <w:t>及其修改清单</w:t>
      </w:r>
      <w:r>
        <w:rPr>
          <w:rFonts w:hint="default" w:ascii="Times New Roman" w:hAnsi="Times New Roman" w:eastAsia="宋体" w:cs="Times New Roman"/>
          <w:caps w:val="0"/>
          <w:smallCaps w:val="0"/>
          <w:snapToGrid/>
          <w:color w:val="auto"/>
          <w:spacing w:val="0"/>
          <w:w w:val="100"/>
          <w:kern w:val="2"/>
          <w:position w:val="0"/>
          <w:sz w:val="24"/>
          <w:lang w:eastAsia="zh-CN"/>
        </w:rPr>
        <w:t>，</w:t>
      </w:r>
      <w:r>
        <w:rPr>
          <w:rFonts w:hint="default" w:ascii="Times New Roman" w:hAnsi="Times New Roman" w:eastAsia="宋体" w:cs="Times New Roman"/>
          <w:caps w:val="0"/>
          <w:smallCaps w:val="0"/>
          <w:snapToGrid/>
          <w:color w:val="auto"/>
          <w:spacing w:val="0"/>
          <w:w w:val="100"/>
          <w:kern w:val="2"/>
          <w:position w:val="0"/>
          <w:sz w:val="24"/>
        </w:rPr>
        <w:t>具体标准值列于表</w:t>
      </w:r>
      <w:r>
        <w:rPr>
          <w:rFonts w:hint="eastAsia" w:ascii="Times New Roman" w:hAnsi="Times New Roman" w:eastAsia="宋体" w:cs="Times New Roman"/>
          <w:caps w:val="0"/>
          <w:smallCaps w:val="0"/>
          <w:snapToGrid/>
          <w:color w:val="auto"/>
          <w:spacing w:val="0"/>
          <w:w w:val="100"/>
          <w:kern w:val="2"/>
          <w:position w:val="0"/>
          <w:sz w:val="24"/>
          <w:lang w:val="en-US" w:eastAsia="zh-CN"/>
        </w:rPr>
        <w:t>1-6</w:t>
      </w:r>
      <w:r>
        <w:rPr>
          <w:rFonts w:hint="default" w:ascii="Times New Roman" w:hAnsi="Times New Roman" w:eastAsia="宋体" w:cs="Times New Roman"/>
          <w:caps w:val="0"/>
          <w:smallCaps w:val="0"/>
          <w:snapToGrid/>
          <w:color w:val="auto"/>
          <w:spacing w:val="0"/>
          <w:w w:val="100"/>
          <w:kern w:val="2"/>
          <w:position w:val="0"/>
          <w:sz w:val="24"/>
        </w:rPr>
        <w:t>。</w:t>
      </w:r>
    </w:p>
    <w:p>
      <w:pPr>
        <w:keepNext w:val="0"/>
        <w:keepLines w:val="0"/>
        <w:pageBreakBefore w:val="0"/>
        <w:widowControl/>
        <w:kinsoku/>
        <w:wordWrap/>
        <w:overflowPunct/>
        <w:topLinePunct w:val="0"/>
        <w:autoSpaceDE/>
        <w:autoSpaceDN/>
        <w:bidi w:val="0"/>
        <w:adjustRightInd w:val="0"/>
        <w:snapToGrid w:val="0"/>
        <w:spacing w:before="144" w:beforeLines="50"/>
        <w:jc w:val="center"/>
        <w:textAlignment w:val="auto"/>
        <w:rPr>
          <w:rFonts w:hint="eastAsia" w:ascii="宋体" w:hAnsi="宋体" w:eastAsia="宋体" w:cs="宋体"/>
          <w:b/>
          <w:bCs w:val="0"/>
          <w:caps w:val="0"/>
          <w:smallCaps w:val="0"/>
          <w:snapToGrid/>
          <w:color w:val="auto"/>
          <w:spacing w:val="0"/>
          <w:w w:val="100"/>
          <w:kern w:val="2"/>
          <w:position w:val="0"/>
          <w:sz w:val="24"/>
        </w:rPr>
      </w:pPr>
      <w:r>
        <w:rPr>
          <w:rFonts w:hint="eastAsia" w:ascii="宋体" w:hAnsi="宋体" w:eastAsia="宋体" w:cs="宋体"/>
          <w:b/>
          <w:bCs w:val="0"/>
          <w:caps w:val="0"/>
          <w:smallCaps w:val="0"/>
          <w:snapToGrid/>
          <w:color w:val="auto"/>
          <w:spacing w:val="0"/>
          <w:w w:val="100"/>
          <w:kern w:val="2"/>
          <w:position w:val="0"/>
          <w:sz w:val="24"/>
        </w:rPr>
        <w:t>表</w:t>
      </w:r>
      <w:r>
        <w:rPr>
          <w:rFonts w:hint="eastAsia" w:ascii="宋体" w:hAnsi="宋体" w:eastAsia="宋体" w:cs="宋体"/>
          <w:b/>
          <w:bCs w:val="0"/>
          <w:caps w:val="0"/>
          <w:smallCaps w:val="0"/>
          <w:snapToGrid/>
          <w:color w:val="auto"/>
          <w:spacing w:val="0"/>
          <w:w w:val="100"/>
          <w:kern w:val="2"/>
          <w:position w:val="0"/>
          <w:sz w:val="24"/>
          <w:lang w:val="en-US" w:eastAsia="zh-CN"/>
        </w:rPr>
        <w:t xml:space="preserve">1-7 </w:t>
      </w:r>
      <w:r>
        <w:rPr>
          <w:rFonts w:hint="eastAsia" w:ascii="宋体" w:hAnsi="宋体" w:eastAsia="宋体" w:cs="宋体"/>
          <w:b/>
          <w:bCs w:val="0"/>
          <w:caps w:val="0"/>
          <w:smallCaps w:val="0"/>
          <w:snapToGrid/>
          <w:color w:val="auto"/>
          <w:spacing w:val="0"/>
          <w:w w:val="100"/>
          <w:kern w:val="2"/>
          <w:position w:val="0"/>
          <w:sz w:val="24"/>
        </w:rPr>
        <w:t>环境空气中各项污染物的浓度限值</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47"/>
        <w:gridCol w:w="1792"/>
        <w:gridCol w:w="2109"/>
        <w:gridCol w:w="1095"/>
        <w:gridCol w:w="1099"/>
        <w:gridCol w:w="27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vMerge w:val="restar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r>
              <w:rPr>
                <w:rFonts w:hint="default" w:ascii="Times New Roman" w:hAnsi="Times New Roman" w:eastAsia="宋体" w:cs="Times New Roman"/>
                <w:b/>
                <w:bCs/>
                <w:caps w:val="0"/>
                <w:smallCaps w:val="0"/>
                <w:snapToGrid/>
                <w:color w:val="auto"/>
                <w:spacing w:val="0"/>
                <w:w w:val="100"/>
                <w:kern w:val="2"/>
                <w:position w:val="0"/>
                <w:sz w:val="21"/>
                <w:szCs w:val="21"/>
              </w:rPr>
              <w:t>序号</w:t>
            </w:r>
          </w:p>
        </w:tc>
        <w:tc>
          <w:tcPr>
            <w:tcW w:w="936" w:type="pct"/>
            <w:vMerge w:val="restar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r>
              <w:rPr>
                <w:rFonts w:hint="default" w:ascii="Times New Roman" w:hAnsi="Times New Roman" w:eastAsia="宋体" w:cs="Times New Roman"/>
                <w:b/>
                <w:bCs/>
                <w:caps w:val="0"/>
                <w:smallCaps w:val="0"/>
                <w:snapToGrid/>
                <w:color w:val="auto"/>
                <w:spacing w:val="0"/>
                <w:w w:val="100"/>
                <w:kern w:val="2"/>
                <w:position w:val="0"/>
                <w:sz w:val="21"/>
                <w:szCs w:val="21"/>
              </w:rPr>
              <w:t>污染物名称</w:t>
            </w:r>
          </w:p>
        </w:tc>
        <w:tc>
          <w:tcPr>
            <w:tcW w:w="2248" w:type="pct"/>
            <w:gridSpan w:val="3"/>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r>
              <w:rPr>
                <w:rFonts w:hint="default" w:ascii="Times New Roman" w:hAnsi="Times New Roman" w:eastAsia="宋体" w:cs="Times New Roman"/>
                <w:b/>
                <w:bCs/>
                <w:caps w:val="0"/>
                <w:smallCaps w:val="0"/>
                <w:snapToGrid/>
                <w:color w:val="auto"/>
                <w:spacing w:val="0"/>
                <w:w w:val="100"/>
                <w:kern w:val="2"/>
                <w:position w:val="0"/>
                <w:sz w:val="21"/>
                <w:szCs w:val="21"/>
              </w:rPr>
              <w:t>浓度限值(μg/Nm</w:t>
            </w:r>
            <w:r>
              <w:rPr>
                <w:rFonts w:hint="default" w:ascii="Times New Roman" w:hAnsi="Times New Roman" w:eastAsia="宋体" w:cs="Times New Roman"/>
                <w:b/>
                <w:bCs/>
                <w:caps w:val="0"/>
                <w:smallCaps w:val="0"/>
                <w:snapToGrid/>
                <w:color w:val="auto"/>
                <w:spacing w:val="0"/>
                <w:w w:val="100"/>
                <w:kern w:val="2"/>
                <w:position w:val="0"/>
                <w:sz w:val="21"/>
                <w:szCs w:val="21"/>
                <w:vertAlign w:val="superscript"/>
              </w:rPr>
              <w:t>3</w:t>
            </w:r>
            <w:r>
              <w:rPr>
                <w:rFonts w:hint="default" w:ascii="Times New Roman" w:hAnsi="Times New Roman" w:eastAsia="宋体" w:cs="Times New Roman"/>
                <w:b/>
                <w:bCs/>
                <w:caps w:val="0"/>
                <w:smallCaps w:val="0"/>
                <w:snapToGrid/>
                <w:color w:val="auto"/>
                <w:spacing w:val="0"/>
                <w:w w:val="100"/>
                <w:kern w:val="2"/>
                <w:position w:val="0"/>
                <w:sz w:val="21"/>
                <w:szCs w:val="21"/>
              </w:rPr>
              <w:t>)</w:t>
            </w:r>
          </w:p>
        </w:tc>
        <w:tc>
          <w:tcPr>
            <w:tcW w:w="1423" w:type="pct"/>
            <w:vMerge w:val="restar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b/>
                <w:bCs/>
                <w:caps w:val="0"/>
                <w:smallCaps w:val="0"/>
                <w:snapToGrid/>
                <w:color w:val="auto"/>
                <w:spacing w:val="0"/>
                <w:w w:val="100"/>
                <w:kern w:val="2"/>
                <w:positio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p>
        </w:tc>
        <w:tc>
          <w:tcPr>
            <w:tcW w:w="936"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p>
        </w:tc>
        <w:tc>
          <w:tcPr>
            <w:tcW w:w="110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r>
              <w:rPr>
                <w:rFonts w:hint="default" w:ascii="Times New Roman" w:hAnsi="Times New Roman" w:eastAsia="宋体" w:cs="Times New Roman"/>
                <w:b/>
                <w:bCs/>
                <w:caps w:val="0"/>
                <w:smallCaps w:val="0"/>
                <w:snapToGrid/>
                <w:color w:val="auto"/>
                <w:spacing w:val="0"/>
                <w:w w:val="100"/>
                <w:kern w:val="2"/>
                <w:position w:val="0"/>
                <w:sz w:val="21"/>
                <w:szCs w:val="21"/>
              </w:rPr>
              <w:t>1小时平均</w:t>
            </w:r>
          </w:p>
        </w:tc>
        <w:tc>
          <w:tcPr>
            <w:tcW w:w="57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rPr>
            </w:pPr>
            <w:r>
              <w:rPr>
                <w:rFonts w:hint="default" w:ascii="Times New Roman" w:hAnsi="Times New Roman" w:eastAsia="宋体" w:cs="Times New Roman"/>
                <w:b/>
                <w:bCs/>
                <w:caps w:val="0"/>
                <w:smallCaps w:val="0"/>
                <w:snapToGrid/>
                <w:color w:val="auto"/>
                <w:spacing w:val="0"/>
                <w:w w:val="100"/>
                <w:kern w:val="2"/>
                <w:position w:val="0"/>
                <w:sz w:val="21"/>
                <w:szCs w:val="21"/>
              </w:rPr>
              <w:t>日平均</w:t>
            </w:r>
          </w:p>
        </w:tc>
        <w:tc>
          <w:tcPr>
            <w:tcW w:w="573"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b/>
                <w:bCs/>
                <w:caps w:val="0"/>
                <w:smallCaps w:val="0"/>
                <w:snapToGrid/>
                <w:color w:val="auto"/>
                <w:spacing w:val="0"/>
                <w:w w:val="100"/>
                <w:kern w:val="2"/>
                <w:position w:val="0"/>
                <w:sz w:val="21"/>
                <w:szCs w:val="21"/>
                <w:lang w:val="en-US" w:eastAsia="zh-CN"/>
              </w:rPr>
              <w:t>年平均</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1</w:t>
            </w:r>
          </w:p>
        </w:tc>
        <w:tc>
          <w:tcPr>
            <w:tcW w:w="936"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TSP</w:t>
            </w:r>
          </w:p>
        </w:tc>
        <w:tc>
          <w:tcPr>
            <w:tcW w:w="110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t>/</w:t>
            </w:r>
          </w:p>
        </w:tc>
        <w:tc>
          <w:tcPr>
            <w:tcW w:w="57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300</w:t>
            </w:r>
          </w:p>
        </w:tc>
        <w:tc>
          <w:tcPr>
            <w:tcW w:w="573"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200</w:t>
            </w:r>
          </w:p>
        </w:tc>
        <w:tc>
          <w:tcPr>
            <w:tcW w:w="1423" w:type="pct"/>
            <w:vMerge w:val="restar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rPr>
              <w:t>《环境空气质量标准》(GB3095-2012)二级标准</w:t>
            </w: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及其修改清单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2</w:t>
            </w:r>
          </w:p>
        </w:tc>
        <w:tc>
          <w:tcPr>
            <w:tcW w:w="936"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PM</w:t>
            </w:r>
            <w:r>
              <w:rPr>
                <w:rFonts w:hint="default" w:ascii="Times New Roman" w:hAnsi="Times New Roman" w:eastAsia="宋体" w:cs="Times New Roman"/>
                <w:caps w:val="0"/>
                <w:smallCaps w:val="0"/>
                <w:snapToGrid/>
                <w:color w:val="auto"/>
                <w:spacing w:val="0"/>
                <w:w w:val="100"/>
                <w:kern w:val="2"/>
                <w:position w:val="0"/>
                <w:sz w:val="21"/>
                <w:szCs w:val="21"/>
                <w:vertAlign w:val="subscript"/>
              </w:rPr>
              <w:t>10</w:t>
            </w:r>
          </w:p>
        </w:tc>
        <w:tc>
          <w:tcPr>
            <w:tcW w:w="110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t>/</w:t>
            </w:r>
          </w:p>
        </w:tc>
        <w:tc>
          <w:tcPr>
            <w:tcW w:w="57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150</w:t>
            </w:r>
          </w:p>
        </w:tc>
        <w:tc>
          <w:tcPr>
            <w:tcW w:w="573"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70</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3</w:t>
            </w:r>
          </w:p>
        </w:tc>
        <w:tc>
          <w:tcPr>
            <w:tcW w:w="936"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PM</w:t>
            </w:r>
            <w:r>
              <w:rPr>
                <w:rFonts w:hint="default" w:ascii="Times New Roman" w:hAnsi="Times New Roman" w:eastAsia="宋体" w:cs="Times New Roman"/>
                <w:caps w:val="0"/>
                <w:smallCaps w:val="0"/>
                <w:snapToGrid/>
                <w:color w:val="auto"/>
                <w:spacing w:val="0"/>
                <w:w w:val="100"/>
                <w:kern w:val="2"/>
                <w:position w:val="0"/>
                <w:sz w:val="21"/>
                <w:szCs w:val="21"/>
                <w:vertAlign w:val="subscript"/>
              </w:rPr>
              <w:t>2.5</w:t>
            </w:r>
          </w:p>
        </w:tc>
        <w:tc>
          <w:tcPr>
            <w:tcW w:w="110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w:t>
            </w:r>
          </w:p>
        </w:tc>
        <w:tc>
          <w:tcPr>
            <w:tcW w:w="57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35</w:t>
            </w:r>
          </w:p>
        </w:tc>
        <w:tc>
          <w:tcPr>
            <w:tcW w:w="573"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75</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4</w:t>
            </w:r>
          </w:p>
        </w:tc>
        <w:tc>
          <w:tcPr>
            <w:tcW w:w="936"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SO</w:t>
            </w:r>
            <w:r>
              <w:rPr>
                <w:rFonts w:hint="default" w:ascii="Times New Roman" w:hAnsi="Times New Roman" w:eastAsia="宋体" w:cs="Times New Roman"/>
                <w:caps w:val="0"/>
                <w:smallCaps w:val="0"/>
                <w:snapToGrid/>
                <w:color w:val="auto"/>
                <w:spacing w:val="0"/>
                <w:w w:val="100"/>
                <w:kern w:val="2"/>
                <w:position w:val="0"/>
                <w:sz w:val="21"/>
                <w:szCs w:val="21"/>
                <w:vertAlign w:val="subscript"/>
              </w:rPr>
              <w:t>2</w:t>
            </w:r>
          </w:p>
        </w:tc>
        <w:tc>
          <w:tcPr>
            <w:tcW w:w="110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500</w:t>
            </w:r>
          </w:p>
        </w:tc>
        <w:tc>
          <w:tcPr>
            <w:tcW w:w="57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150</w:t>
            </w:r>
          </w:p>
        </w:tc>
        <w:tc>
          <w:tcPr>
            <w:tcW w:w="573"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60</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5</w:t>
            </w:r>
          </w:p>
        </w:tc>
        <w:tc>
          <w:tcPr>
            <w:tcW w:w="936"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NO</w:t>
            </w:r>
            <w:r>
              <w:rPr>
                <w:rFonts w:hint="default" w:ascii="Times New Roman" w:hAnsi="Times New Roman" w:eastAsia="宋体" w:cs="Times New Roman"/>
                <w:caps w:val="0"/>
                <w:smallCaps w:val="0"/>
                <w:snapToGrid/>
                <w:color w:val="auto"/>
                <w:spacing w:val="0"/>
                <w:w w:val="100"/>
                <w:kern w:val="2"/>
                <w:position w:val="0"/>
                <w:sz w:val="21"/>
                <w:szCs w:val="21"/>
                <w:vertAlign w:val="subscript"/>
              </w:rPr>
              <w:t>2</w:t>
            </w:r>
          </w:p>
        </w:tc>
        <w:tc>
          <w:tcPr>
            <w:tcW w:w="110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200</w:t>
            </w:r>
          </w:p>
        </w:tc>
        <w:tc>
          <w:tcPr>
            <w:tcW w:w="57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80</w:t>
            </w:r>
          </w:p>
        </w:tc>
        <w:tc>
          <w:tcPr>
            <w:tcW w:w="573"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40</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6</w:t>
            </w:r>
          </w:p>
        </w:tc>
        <w:tc>
          <w:tcPr>
            <w:tcW w:w="936"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CO</w:t>
            </w:r>
          </w:p>
        </w:tc>
        <w:tc>
          <w:tcPr>
            <w:tcW w:w="110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10m</w:t>
            </w:r>
            <w:r>
              <w:rPr>
                <w:rFonts w:hint="default" w:ascii="Times New Roman" w:hAnsi="Times New Roman" w:eastAsia="宋体" w:cs="Times New Roman"/>
                <w:caps w:val="0"/>
                <w:smallCaps w:val="0"/>
                <w:snapToGrid/>
                <w:color w:val="auto"/>
                <w:spacing w:val="0"/>
                <w:w w:val="100"/>
                <w:kern w:val="2"/>
                <w:position w:val="0"/>
                <w:sz w:val="21"/>
                <w:szCs w:val="21"/>
              </w:rPr>
              <w:t>g/Nm</w:t>
            </w:r>
            <w:r>
              <w:rPr>
                <w:rFonts w:hint="default" w:ascii="Times New Roman" w:hAnsi="Times New Roman" w:eastAsia="宋体" w:cs="Times New Roman"/>
                <w:caps w:val="0"/>
                <w:smallCaps w:val="0"/>
                <w:snapToGrid/>
                <w:color w:val="auto"/>
                <w:spacing w:val="0"/>
                <w:w w:val="100"/>
                <w:kern w:val="2"/>
                <w:position w:val="0"/>
                <w:sz w:val="21"/>
                <w:szCs w:val="21"/>
                <w:vertAlign w:val="superscript"/>
              </w:rPr>
              <w:t>3</w:t>
            </w:r>
          </w:p>
        </w:tc>
        <w:tc>
          <w:tcPr>
            <w:tcW w:w="572"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4m</w:t>
            </w:r>
            <w:r>
              <w:rPr>
                <w:rFonts w:hint="default" w:ascii="Times New Roman" w:hAnsi="Times New Roman" w:eastAsia="宋体" w:cs="Times New Roman"/>
                <w:caps w:val="0"/>
                <w:smallCaps w:val="0"/>
                <w:snapToGrid/>
                <w:color w:val="auto"/>
                <w:spacing w:val="0"/>
                <w:w w:val="100"/>
                <w:kern w:val="2"/>
                <w:position w:val="0"/>
                <w:sz w:val="21"/>
                <w:szCs w:val="21"/>
              </w:rPr>
              <w:t>g/Nm</w:t>
            </w:r>
            <w:r>
              <w:rPr>
                <w:rFonts w:hint="default" w:ascii="Times New Roman" w:hAnsi="Times New Roman" w:eastAsia="宋体" w:cs="Times New Roman"/>
                <w:caps w:val="0"/>
                <w:smallCaps w:val="0"/>
                <w:snapToGrid/>
                <w:color w:val="auto"/>
                <w:spacing w:val="0"/>
                <w:w w:val="100"/>
                <w:kern w:val="2"/>
                <w:position w:val="0"/>
                <w:sz w:val="21"/>
                <w:szCs w:val="21"/>
                <w:vertAlign w:val="superscript"/>
              </w:rPr>
              <w:t>3</w:t>
            </w:r>
          </w:p>
        </w:tc>
        <w:tc>
          <w:tcPr>
            <w:tcW w:w="573" w:type="pct"/>
            <w:noWrap w:val="0"/>
            <w:vAlign w:val="center"/>
          </w:tcPr>
          <w:p>
            <w:pPr>
              <w:pStyle w:val="23"/>
              <w:pageBreakBefore w:val="0"/>
              <w:kinsoku/>
              <w:wordWrap/>
              <w:overflowPunct/>
              <w:topLinePunct w:val="0"/>
              <w:bidi w:val="0"/>
              <w:spacing w:line="240" w:lineRule="auto"/>
              <w:ind w:firstLine="0" w:firstLineChars="0"/>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91"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7</w:t>
            </w:r>
          </w:p>
        </w:tc>
        <w:tc>
          <w:tcPr>
            <w:tcW w:w="936"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O</w:t>
            </w:r>
            <w:r>
              <w:rPr>
                <w:rFonts w:hint="default" w:ascii="Times New Roman" w:hAnsi="Times New Roman" w:eastAsia="宋体" w:cs="Times New Roman"/>
                <w:caps w:val="0"/>
                <w:smallCaps w:val="0"/>
                <w:snapToGrid/>
                <w:color w:val="auto"/>
                <w:spacing w:val="0"/>
                <w:w w:val="100"/>
                <w:kern w:val="2"/>
                <w:position w:val="0"/>
                <w:sz w:val="21"/>
                <w:vertAlign w:val="subscript"/>
              </w:rPr>
              <w:t>3</w:t>
            </w:r>
          </w:p>
        </w:tc>
        <w:tc>
          <w:tcPr>
            <w:tcW w:w="110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200</w:t>
            </w:r>
          </w:p>
        </w:tc>
        <w:tc>
          <w:tcPr>
            <w:tcW w:w="57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160</w:t>
            </w:r>
          </w:p>
        </w:tc>
        <w:tc>
          <w:tcPr>
            <w:tcW w:w="573"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b w:val="0"/>
                <w:bCs w:val="0"/>
                <w:caps w:val="0"/>
                <w:smallCaps w:val="0"/>
                <w:snapToGrid/>
                <w:color w:val="auto"/>
                <w:spacing w:val="0"/>
                <w:w w:val="100"/>
                <w:kern w:val="2"/>
                <w:position w:val="0"/>
                <w:sz w:val="21"/>
                <w:szCs w:val="21"/>
                <w:lang w:val="en-US" w:eastAsia="zh-CN"/>
              </w:rPr>
              <w:t>/</w:t>
            </w:r>
          </w:p>
        </w:tc>
        <w:tc>
          <w:tcPr>
            <w:tcW w:w="142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r>
    </w:tbl>
    <w:p>
      <w:pPr>
        <w:pStyle w:val="20"/>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leftChars="0" w:right="0" w:rightChars="0"/>
        <w:jc w:val="left"/>
        <w:textAlignment w:val="auto"/>
        <w:outlineLvl w:val="3"/>
        <w:rPr>
          <w:rFonts w:hint="default" w:ascii="Times New Roman" w:hAnsi="Times New Roman" w:eastAsia="宋体" w:cs="Times New Roman"/>
          <w:b w:val="0"/>
          <w:bCs/>
          <w:caps w:val="0"/>
          <w:smallCaps w:val="0"/>
          <w:snapToGrid/>
          <w:color w:val="auto"/>
          <w:spacing w:val="0"/>
          <w:w w:val="100"/>
          <w:kern w:val="2"/>
          <w:position w:val="0"/>
          <w:sz w:val="24"/>
        </w:rPr>
      </w:pPr>
      <w:r>
        <w:rPr>
          <w:rFonts w:hint="eastAsia" w:ascii="Times New Roman" w:hAnsi="Times New Roman" w:eastAsia="宋体" w:cs="Times New Roman"/>
          <w:b w:val="0"/>
          <w:bCs/>
          <w:caps w:val="0"/>
          <w:smallCaps w:val="0"/>
          <w:snapToGrid/>
          <w:color w:val="auto"/>
          <w:spacing w:val="0"/>
          <w:w w:val="100"/>
          <w:kern w:val="2"/>
          <w:position w:val="0"/>
          <w:sz w:val="24"/>
          <w:lang w:val="en-US" w:eastAsia="zh-CN"/>
        </w:rPr>
        <w:t>2、</w:t>
      </w:r>
      <w:r>
        <w:rPr>
          <w:rFonts w:hint="default" w:ascii="Times New Roman" w:hAnsi="Times New Roman" w:eastAsia="宋体" w:cs="Times New Roman"/>
          <w:b w:val="0"/>
          <w:bCs/>
          <w:caps w:val="0"/>
          <w:smallCaps w:val="0"/>
          <w:snapToGrid/>
          <w:color w:val="auto"/>
          <w:spacing w:val="0"/>
          <w:w w:val="100"/>
          <w:kern w:val="2"/>
          <w:position w:val="0"/>
          <w:sz w:val="24"/>
        </w:rPr>
        <w:t>地表水环境质量标准</w:t>
      </w:r>
    </w:p>
    <w:p>
      <w:pPr>
        <w:pStyle w:val="8"/>
        <w:keepNext w:val="0"/>
        <w:keepLines w:val="0"/>
        <w:pageBreakBefore w:val="0"/>
        <w:kinsoku/>
        <w:wordWrap/>
        <w:overflowPunct/>
        <w:topLinePunct w:val="0"/>
        <w:bidi w:val="0"/>
        <w:snapToGrid w:val="0"/>
        <w:spacing w:before="0" w:beforeLines="0"/>
        <w:textAlignment w:val="auto"/>
        <w:rPr>
          <w:rFonts w:hint="default" w:ascii="Times New Roman" w:hAnsi="Times New Roman" w:eastAsia="宋体" w:cs="Times New Roman"/>
          <w:caps w:val="0"/>
          <w:smallCaps w:val="0"/>
          <w:snapToGrid/>
          <w:color w:val="auto"/>
          <w:spacing w:val="0"/>
          <w:w w:val="100"/>
          <w:kern w:val="2"/>
          <w:position w:val="0"/>
          <w:sz w:val="24"/>
        </w:rPr>
      </w:pPr>
      <w:r>
        <w:rPr>
          <w:rFonts w:hint="default" w:ascii="Times New Roman" w:hAnsi="Times New Roman" w:eastAsia="宋体" w:cs="Times New Roman"/>
          <w:caps w:val="0"/>
          <w:smallCaps w:val="0"/>
          <w:snapToGrid/>
          <w:color w:val="auto"/>
          <w:spacing w:val="0"/>
          <w:w w:val="100"/>
          <w:kern w:val="2"/>
          <w:position w:val="0"/>
          <w:sz w:val="24"/>
        </w:rPr>
        <w:t>本项目涉及</w:t>
      </w:r>
      <w:r>
        <w:rPr>
          <w:rFonts w:hint="default" w:ascii="Times New Roman" w:hAnsi="Times New Roman" w:eastAsia="宋体" w:cs="Times New Roman"/>
          <w:snapToGrid w:val="0"/>
          <w:color w:val="auto"/>
          <w:sz w:val="24"/>
        </w:rPr>
        <w:t>上犹江支流上堡河</w:t>
      </w:r>
      <w:r>
        <w:rPr>
          <w:rFonts w:hint="eastAsia" w:ascii="Times New Roman" w:hAnsi="Times New Roman" w:cs="Times New Roman"/>
          <w:snapToGrid w:val="0"/>
          <w:color w:val="auto"/>
          <w:sz w:val="24"/>
          <w:lang w:eastAsia="zh-CN"/>
        </w:rPr>
        <w:t>段</w:t>
      </w:r>
      <w:r>
        <w:rPr>
          <w:rFonts w:hint="default" w:ascii="Times New Roman" w:hAnsi="Times New Roman" w:eastAsia="宋体" w:cs="Times New Roman"/>
          <w:caps w:val="0"/>
          <w:smallCaps w:val="0"/>
          <w:snapToGrid/>
          <w:color w:val="auto"/>
          <w:spacing w:val="0"/>
          <w:w w:val="100"/>
          <w:kern w:val="2"/>
          <w:position w:val="0"/>
          <w:sz w:val="24"/>
        </w:rPr>
        <w:t>的地表水环境质量执行《地表水环境质量标准》（GB3838-2002）</w:t>
      </w:r>
      <w:r>
        <w:rPr>
          <w:rFonts w:hint="eastAsia" w:ascii="Times New Roman" w:hAnsi="Times New Roman" w:eastAsia="宋体" w:cs="Times New Roman"/>
          <w:caps w:val="0"/>
          <w:smallCaps w:val="0"/>
          <w:snapToGrid/>
          <w:color w:val="auto"/>
          <w:spacing w:val="0"/>
          <w:w w:val="100"/>
          <w:kern w:val="2"/>
          <w:position w:val="0"/>
          <w:sz w:val="24"/>
          <w:lang w:eastAsia="zh-CN"/>
        </w:rPr>
        <w:t>Ⅱ</w:t>
      </w:r>
      <w:r>
        <w:rPr>
          <w:rFonts w:hint="default" w:ascii="Times New Roman" w:hAnsi="Times New Roman" w:eastAsia="宋体" w:cs="Times New Roman"/>
          <w:caps w:val="0"/>
          <w:smallCaps w:val="0"/>
          <w:snapToGrid/>
          <w:color w:val="auto"/>
          <w:spacing w:val="0"/>
          <w:w w:val="100"/>
          <w:kern w:val="2"/>
          <w:position w:val="0"/>
          <w:sz w:val="24"/>
        </w:rPr>
        <w:t>类标准，</w:t>
      </w:r>
      <w:r>
        <w:rPr>
          <w:rFonts w:hint="eastAsia" w:ascii="Times New Roman" w:hAnsi="Times New Roman" w:eastAsia="宋体" w:cs="Times New Roman"/>
          <w:caps w:val="0"/>
          <w:smallCaps w:val="0"/>
          <w:snapToGrid/>
          <w:color w:val="auto"/>
          <w:spacing w:val="0"/>
          <w:w w:val="100"/>
          <w:kern w:val="2"/>
          <w:position w:val="0"/>
          <w:sz w:val="24"/>
          <w:lang w:val="en-US" w:eastAsia="zh-CN"/>
        </w:rPr>
        <w:t>SS参照《地表水资源质量标准》（SL63-94）二级标准，</w:t>
      </w:r>
      <w:r>
        <w:rPr>
          <w:rFonts w:hint="default" w:ascii="Times New Roman" w:hAnsi="Times New Roman" w:eastAsia="宋体" w:cs="Times New Roman"/>
          <w:caps w:val="0"/>
          <w:smallCaps w:val="0"/>
          <w:snapToGrid/>
          <w:color w:val="auto"/>
          <w:spacing w:val="0"/>
          <w:w w:val="100"/>
          <w:kern w:val="2"/>
          <w:position w:val="0"/>
          <w:sz w:val="24"/>
        </w:rPr>
        <w:t>详见表</w:t>
      </w:r>
      <w:r>
        <w:rPr>
          <w:rFonts w:hint="eastAsia" w:ascii="Times New Roman" w:hAnsi="Times New Roman" w:cs="Times New Roman"/>
          <w:caps w:val="0"/>
          <w:smallCaps w:val="0"/>
          <w:snapToGrid/>
          <w:color w:val="auto"/>
          <w:spacing w:val="0"/>
          <w:w w:val="100"/>
          <w:kern w:val="2"/>
          <w:position w:val="0"/>
          <w:sz w:val="24"/>
          <w:lang w:val="en-US" w:eastAsia="zh-CN"/>
        </w:rPr>
        <w:t>1-7</w:t>
      </w:r>
      <w:r>
        <w:rPr>
          <w:rFonts w:hint="default" w:ascii="Times New Roman" w:hAnsi="Times New Roman" w:eastAsia="宋体" w:cs="Times New Roman"/>
          <w:caps w:val="0"/>
          <w:smallCaps w:val="0"/>
          <w:snapToGrid/>
          <w:color w:val="auto"/>
          <w:spacing w:val="0"/>
          <w:w w:val="100"/>
          <w:kern w:val="2"/>
          <w:position w:val="0"/>
          <w:sz w:val="24"/>
        </w:rPr>
        <w:t>。</w:t>
      </w:r>
    </w:p>
    <w:p>
      <w:pPr>
        <w:keepNext w:val="0"/>
        <w:keepLines w:val="0"/>
        <w:pageBreakBefore w:val="0"/>
        <w:widowControl/>
        <w:kinsoku/>
        <w:wordWrap/>
        <w:overflowPunct/>
        <w:topLinePunct w:val="0"/>
        <w:autoSpaceDE/>
        <w:autoSpaceDN/>
        <w:bidi w:val="0"/>
        <w:adjustRightInd w:val="0"/>
        <w:snapToGrid w:val="0"/>
        <w:spacing w:before="144" w:beforeLines="50"/>
        <w:jc w:val="center"/>
        <w:textAlignment w:val="auto"/>
        <w:rPr>
          <w:rFonts w:hint="eastAsia" w:ascii="宋体" w:hAnsi="宋体" w:eastAsia="宋体" w:cs="宋体"/>
          <w:b/>
          <w:bCs w:val="0"/>
          <w:caps w:val="0"/>
          <w:smallCaps w:val="0"/>
          <w:snapToGrid/>
          <w:color w:val="auto"/>
          <w:spacing w:val="0"/>
          <w:w w:val="100"/>
          <w:kern w:val="2"/>
          <w:position w:val="0"/>
          <w:sz w:val="24"/>
        </w:rPr>
      </w:pPr>
      <w:r>
        <w:rPr>
          <w:rFonts w:hint="eastAsia" w:ascii="宋体" w:hAnsi="宋体" w:eastAsia="宋体" w:cs="宋体"/>
          <w:b/>
          <w:bCs w:val="0"/>
          <w:caps w:val="0"/>
          <w:smallCaps w:val="0"/>
          <w:snapToGrid/>
          <w:color w:val="auto"/>
          <w:spacing w:val="0"/>
          <w:w w:val="100"/>
          <w:kern w:val="2"/>
          <w:position w:val="0"/>
          <w:sz w:val="24"/>
        </w:rPr>
        <w:t>表</w:t>
      </w:r>
      <w:r>
        <w:rPr>
          <w:rFonts w:hint="eastAsia" w:ascii="宋体" w:hAnsi="宋体" w:eastAsia="宋体" w:cs="宋体"/>
          <w:b/>
          <w:bCs w:val="0"/>
          <w:caps w:val="0"/>
          <w:smallCaps w:val="0"/>
          <w:snapToGrid/>
          <w:color w:val="auto"/>
          <w:spacing w:val="0"/>
          <w:w w:val="100"/>
          <w:kern w:val="2"/>
          <w:position w:val="0"/>
          <w:sz w:val="24"/>
          <w:lang w:val="en-US" w:eastAsia="zh-CN"/>
        </w:rPr>
        <w:t xml:space="preserve">1-8  </w:t>
      </w:r>
      <w:r>
        <w:rPr>
          <w:rFonts w:hint="eastAsia" w:ascii="宋体" w:hAnsi="宋体" w:eastAsia="宋体" w:cs="宋体"/>
          <w:b/>
          <w:bCs w:val="0"/>
          <w:caps w:val="0"/>
          <w:smallCaps w:val="0"/>
          <w:snapToGrid/>
          <w:color w:val="auto"/>
          <w:spacing w:val="0"/>
          <w:w w:val="100"/>
          <w:kern w:val="2"/>
          <w:position w:val="0"/>
          <w:sz w:val="24"/>
        </w:rPr>
        <w:t>地表水环境质量</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30"/>
        <w:gridCol w:w="1585"/>
        <w:gridCol w:w="2216"/>
        <w:gridCol w:w="51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序号</w:t>
            </w:r>
          </w:p>
        </w:tc>
        <w:tc>
          <w:tcPr>
            <w:tcW w:w="82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污染物名称</w:t>
            </w:r>
          </w:p>
        </w:tc>
        <w:tc>
          <w:tcPr>
            <w:tcW w:w="115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限值(mg/L)</w:t>
            </w:r>
          </w:p>
        </w:tc>
        <w:tc>
          <w:tcPr>
            <w:tcW w:w="2683"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1</w:t>
            </w:r>
          </w:p>
        </w:tc>
        <w:tc>
          <w:tcPr>
            <w:tcW w:w="82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snapToGrid/>
                <w:color w:val="auto"/>
                <w:spacing w:val="0"/>
                <w:w w:val="100"/>
                <w:kern w:val="2"/>
                <w:position w:val="0"/>
                <w:sz w:val="21"/>
                <w:lang w:eastAsia="zh-CN"/>
              </w:rPr>
            </w:pPr>
            <w:r>
              <w:rPr>
                <w:rFonts w:hint="default" w:ascii="Times New Roman" w:hAnsi="Times New Roman" w:eastAsia="宋体" w:cs="Times New Roman"/>
                <w:caps w:val="0"/>
                <w:smallCaps w:val="0"/>
                <w:snapToGrid/>
                <w:color w:val="auto"/>
                <w:spacing w:val="0"/>
                <w:w w:val="100"/>
                <w:kern w:val="2"/>
                <w:position w:val="0"/>
                <w:sz w:val="21"/>
              </w:rPr>
              <w:t>pH</w:t>
            </w:r>
          </w:p>
        </w:tc>
        <w:tc>
          <w:tcPr>
            <w:tcW w:w="115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snapToGrid/>
                <w:color w:val="auto"/>
                <w:spacing w:val="0"/>
                <w:w w:val="100"/>
                <w:kern w:val="2"/>
                <w:position w:val="0"/>
                <w:sz w:val="21"/>
                <w:lang w:eastAsia="zh-CN"/>
              </w:rPr>
            </w:pPr>
            <w:r>
              <w:rPr>
                <w:rFonts w:hint="default" w:ascii="Times New Roman" w:hAnsi="Times New Roman" w:eastAsia="宋体" w:cs="Times New Roman"/>
                <w:caps w:val="0"/>
                <w:smallCaps w:val="0"/>
                <w:snapToGrid/>
                <w:color w:val="auto"/>
                <w:spacing w:val="0"/>
                <w:w w:val="100"/>
                <w:kern w:val="2"/>
                <w:position w:val="0"/>
                <w:sz w:val="21"/>
              </w:rPr>
              <w:t>6～9</w:t>
            </w:r>
            <w:r>
              <w:rPr>
                <w:rFonts w:hint="eastAsia" w:ascii="Times New Roman" w:hAnsi="Times New Roman" w:eastAsia="宋体" w:cs="Times New Roman"/>
                <w:caps w:val="0"/>
                <w:smallCaps w:val="0"/>
                <w:snapToGrid/>
                <w:color w:val="auto"/>
                <w:spacing w:val="0"/>
                <w:w w:val="100"/>
                <w:kern w:val="2"/>
                <w:position w:val="0"/>
                <w:sz w:val="21"/>
                <w:lang w:eastAsia="zh-CN"/>
              </w:rPr>
              <w:t>（无量纲）</w:t>
            </w:r>
          </w:p>
        </w:tc>
        <w:tc>
          <w:tcPr>
            <w:tcW w:w="2683" w:type="pct"/>
            <w:vMerge w:val="restar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《地表水环境质量标准》(GB3838-2002)</w:t>
            </w:r>
            <w:r>
              <w:rPr>
                <w:rFonts w:hint="eastAsia" w:ascii="Times New Roman" w:hAnsi="Times New Roman" w:eastAsia="宋体" w:cs="Times New Roman"/>
                <w:caps w:val="0"/>
                <w:smallCaps w:val="0"/>
                <w:snapToGrid/>
                <w:color w:val="auto"/>
                <w:spacing w:val="0"/>
                <w:w w:val="100"/>
                <w:kern w:val="2"/>
                <w:position w:val="0"/>
                <w:sz w:val="21"/>
                <w:lang w:eastAsia="zh-CN"/>
              </w:rPr>
              <w:t>Ⅱ</w:t>
            </w:r>
            <w:r>
              <w:rPr>
                <w:rFonts w:hint="eastAsia" w:ascii="Times New Roman" w:hAnsi="Times New Roman" w:eastAsia="宋体" w:cs="Times New Roman"/>
                <w:caps w:val="0"/>
                <w:smallCaps w:val="0"/>
                <w:snapToGrid/>
                <w:color w:val="auto"/>
                <w:spacing w:val="0"/>
                <w:w w:val="100"/>
                <w:kern w:val="2"/>
                <w:position w:val="0"/>
                <w:sz w:val="21"/>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2</w:t>
            </w:r>
          </w:p>
        </w:tc>
        <w:tc>
          <w:tcPr>
            <w:tcW w:w="82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COD</w:t>
            </w:r>
          </w:p>
        </w:tc>
        <w:tc>
          <w:tcPr>
            <w:tcW w:w="115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eastAsia" w:ascii="Times New Roman" w:hAnsi="Times New Roman" w:eastAsia="宋体" w:cs="Times New Roman"/>
                <w:caps w:val="0"/>
                <w:smallCaps w:val="0"/>
                <w:snapToGrid/>
                <w:color w:val="auto"/>
                <w:spacing w:val="0"/>
                <w:w w:val="100"/>
                <w:kern w:val="2"/>
                <w:position w:val="0"/>
                <w:sz w:val="21"/>
                <w:lang w:val="en-US" w:eastAsia="zh-CN"/>
              </w:rPr>
              <w:t>15</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3</w:t>
            </w:r>
          </w:p>
        </w:tc>
        <w:tc>
          <w:tcPr>
            <w:tcW w:w="82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BOD</w:t>
            </w:r>
            <w:r>
              <w:rPr>
                <w:rFonts w:hint="default" w:ascii="Times New Roman" w:hAnsi="Times New Roman" w:eastAsia="宋体" w:cs="Times New Roman"/>
                <w:caps w:val="0"/>
                <w:smallCaps w:val="0"/>
                <w:snapToGrid/>
                <w:color w:val="auto"/>
                <w:spacing w:val="0"/>
                <w:w w:val="100"/>
                <w:kern w:val="2"/>
                <w:position w:val="0"/>
                <w:sz w:val="21"/>
                <w:vertAlign w:val="subscript"/>
              </w:rPr>
              <w:t>5</w:t>
            </w:r>
          </w:p>
        </w:tc>
        <w:tc>
          <w:tcPr>
            <w:tcW w:w="115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eastAsia" w:ascii="Times New Roman" w:hAnsi="Times New Roman" w:eastAsia="宋体" w:cs="Times New Roman"/>
                <w:caps w:val="0"/>
                <w:smallCaps w:val="0"/>
                <w:snapToGrid/>
                <w:color w:val="auto"/>
                <w:spacing w:val="0"/>
                <w:w w:val="100"/>
                <w:kern w:val="2"/>
                <w:position w:val="0"/>
                <w:sz w:val="21"/>
                <w:lang w:val="en-US" w:eastAsia="zh-CN"/>
              </w:rPr>
              <w:t>3</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4</w:t>
            </w:r>
          </w:p>
        </w:tc>
        <w:tc>
          <w:tcPr>
            <w:tcW w:w="82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NH</w:t>
            </w:r>
            <w:r>
              <w:rPr>
                <w:rFonts w:hint="default" w:ascii="Times New Roman" w:hAnsi="Times New Roman" w:eastAsia="宋体" w:cs="Times New Roman"/>
                <w:caps w:val="0"/>
                <w:smallCaps w:val="0"/>
                <w:snapToGrid/>
                <w:color w:val="auto"/>
                <w:spacing w:val="0"/>
                <w:w w:val="100"/>
                <w:kern w:val="2"/>
                <w:position w:val="0"/>
                <w:sz w:val="21"/>
                <w:vertAlign w:val="subscript"/>
              </w:rPr>
              <w:t>3</w:t>
            </w:r>
            <w:r>
              <w:rPr>
                <w:rFonts w:hint="default" w:ascii="Times New Roman" w:hAnsi="Times New Roman" w:eastAsia="宋体" w:cs="Times New Roman"/>
                <w:caps w:val="0"/>
                <w:smallCaps w:val="0"/>
                <w:snapToGrid/>
                <w:color w:val="auto"/>
                <w:spacing w:val="0"/>
                <w:w w:val="100"/>
                <w:kern w:val="2"/>
                <w:position w:val="0"/>
                <w:sz w:val="21"/>
              </w:rPr>
              <w:t>-N</w:t>
            </w:r>
          </w:p>
        </w:tc>
        <w:tc>
          <w:tcPr>
            <w:tcW w:w="115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eastAsia" w:ascii="Times New Roman" w:hAnsi="Times New Roman" w:eastAsia="宋体" w:cs="Times New Roman"/>
                <w:caps w:val="0"/>
                <w:smallCaps w:val="0"/>
                <w:snapToGrid/>
                <w:color w:val="auto"/>
                <w:spacing w:val="0"/>
                <w:w w:val="100"/>
                <w:kern w:val="2"/>
                <w:position w:val="0"/>
                <w:sz w:val="21"/>
                <w:lang w:val="en-US" w:eastAsia="zh-CN"/>
              </w:rPr>
              <w:t>0.5</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5</w:t>
            </w:r>
          </w:p>
        </w:tc>
        <w:tc>
          <w:tcPr>
            <w:tcW w:w="828"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总氮</w:t>
            </w:r>
          </w:p>
        </w:tc>
        <w:tc>
          <w:tcPr>
            <w:tcW w:w="1158"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rPr>
              <w:t>≤</w:t>
            </w:r>
            <w:r>
              <w:rPr>
                <w:rFonts w:hint="eastAsia" w:ascii="Times New Roman" w:hAnsi="Times New Roman" w:eastAsia="宋体" w:cs="Times New Roman"/>
                <w:caps w:val="0"/>
                <w:smallCaps w:val="0"/>
                <w:snapToGrid/>
                <w:color w:val="auto"/>
                <w:spacing w:val="0"/>
                <w:w w:val="100"/>
                <w:kern w:val="2"/>
                <w:position w:val="0"/>
                <w:sz w:val="21"/>
                <w:szCs w:val="21"/>
                <w:lang w:val="en-US" w:eastAsia="zh-CN"/>
              </w:rPr>
              <w:t>0.5</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6</w:t>
            </w:r>
          </w:p>
        </w:tc>
        <w:tc>
          <w:tcPr>
            <w:tcW w:w="828"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szCs w:val="21"/>
              </w:rPr>
              <w:t>总磷（以P计）</w:t>
            </w:r>
          </w:p>
        </w:tc>
        <w:tc>
          <w:tcPr>
            <w:tcW w:w="1158" w:type="pct"/>
            <w:noWrap w:val="0"/>
            <w:vAlign w:val="center"/>
          </w:tcPr>
          <w:p>
            <w:pPr>
              <w:pStyle w:val="21"/>
              <w:pageBreakBefore w:val="0"/>
              <w:kinsoku/>
              <w:wordWrap/>
              <w:overflowPunct/>
              <w:topLinePunct w:val="0"/>
              <w:bidi w:val="0"/>
              <w:spacing w:line="240" w:lineRule="auto"/>
              <w:ind w:left="103" w:right="68" w:firstLine="0" w:firstLineChars="0"/>
              <w:jc w:val="center"/>
              <w:textAlignment w:val="auto"/>
              <w:rPr>
                <w:rFonts w:hint="eastAsia"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rPr>
              <w:t>≤0.</w:t>
            </w:r>
            <w:r>
              <w:rPr>
                <w:rFonts w:hint="eastAsia" w:ascii="Times New Roman" w:hAnsi="Times New Roman" w:eastAsia="宋体" w:cs="Times New Roman"/>
                <w:caps w:val="0"/>
                <w:smallCaps w:val="0"/>
                <w:snapToGrid/>
                <w:color w:val="auto"/>
                <w:spacing w:val="0"/>
                <w:w w:val="100"/>
                <w:kern w:val="2"/>
                <w:position w:val="0"/>
                <w:sz w:val="21"/>
                <w:szCs w:val="21"/>
                <w:lang w:val="en-US" w:eastAsia="zh-CN"/>
              </w:rPr>
              <w:t>1</w:t>
            </w:r>
          </w:p>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0.0</w:t>
            </w:r>
            <w:r>
              <w:rPr>
                <w:rFonts w:hint="eastAsia" w:ascii="Times New Roman" w:hAnsi="Times New Roman" w:eastAsia="宋体" w:cs="Times New Roman"/>
                <w:caps w:val="0"/>
                <w:smallCaps w:val="0"/>
                <w:snapToGrid/>
                <w:color w:val="auto"/>
                <w:spacing w:val="0"/>
                <w:w w:val="100"/>
                <w:kern w:val="2"/>
                <w:position w:val="0"/>
                <w:sz w:val="21"/>
                <w:lang w:val="en-US" w:eastAsia="zh-CN"/>
              </w:rPr>
              <w:t>25</w:t>
            </w:r>
            <w:r>
              <w:rPr>
                <w:rFonts w:hint="default" w:ascii="Times New Roman" w:hAnsi="Times New Roman" w:eastAsia="宋体" w:cs="Times New Roman"/>
                <w:caps w:val="0"/>
                <w:smallCaps w:val="0"/>
                <w:snapToGrid/>
                <w:color w:val="auto"/>
                <w:spacing w:val="0"/>
                <w:w w:val="100"/>
                <w:kern w:val="2"/>
                <w:position w:val="0"/>
                <w:sz w:val="21"/>
              </w:rPr>
              <w:t>（库）</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7</w:t>
            </w:r>
          </w:p>
        </w:tc>
        <w:tc>
          <w:tcPr>
            <w:tcW w:w="828"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szCs w:val="21"/>
              </w:rPr>
              <w:t>石油类</w:t>
            </w:r>
          </w:p>
        </w:tc>
        <w:tc>
          <w:tcPr>
            <w:tcW w:w="1158"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szCs w:val="21"/>
              </w:rPr>
              <w:t>≤0.05</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8</w:t>
            </w:r>
          </w:p>
        </w:tc>
        <w:tc>
          <w:tcPr>
            <w:tcW w:w="828"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高锰酸盐指数</w:t>
            </w:r>
          </w:p>
        </w:tc>
        <w:tc>
          <w:tcPr>
            <w:tcW w:w="1158" w:type="pct"/>
            <w:noWrap w:val="0"/>
            <w:vAlign w:val="center"/>
          </w:tcPr>
          <w:p>
            <w:pPr>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szCs w:val="21"/>
              </w:rPr>
              <w:t>≤</w:t>
            </w:r>
            <w:r>
              <w:rPr>
                <w:rFonts w:hint="eastAsia" w:ascii="Times New Roman" w:hAnsi="Times New Roman" w:eastAsia="宋体" w:cs="Times New Roman"/>
                <w:caps w:val="0"/>
                <w:smallCaps w:val="0"/>
                <w:snapToGrid/>
                <w:color w:val="auto"/>
                <w:spacing w:val="0"/>
                <w:w w:val="100"/>
                <w:kern w:val="2"/>
                <w:position w:val="0"/>
                <w:sz w:val="21"/>
                <w:szCs w:val="21"/>
                <w:lang w:val="en-US" w:eastAsia="zh-CN"/>
              </w:rPr>
              <w:t>4</w:t>
            </w:r>
          </w:p>
        </w:tc>
        <w:tc>
          <w:tcPr>
            <w:tcW w:w="2683" w:type="pct"/>
            <w:vMerge w:val="continue"/>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tblHeader/>
          <w:jc w:val="center"/>
        </w:trPr>
        <w:tc>
          <w:tcPr>
            <w:tcW w:w="329"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eastAsia" w:ascii="Times New Roman" w:hAnsi="Times New Roman" w:eastAsia="宋体" w:cs="Times New Roman"/>
                <w:caps w:val="0"/>
                <w:smallCaps w:val="0"/>
                <w:snapToGrid/>
                <w:color w:val="auto"/>
                <w:spacing w:val="0"/>
                <w:w w:val="100"/>
                <w:kern w:val="2"/>
                <w:position w:val="0"/>
                <w:sz w:val="21"/>
                <w:lang w:val="en-US" w:eastAsia="zh-CN"/>
              </w:rPr>
              <w:t>9</w:t>
            </w:r>
          </w:p>
        </w:tc>
        <w:tc>
          <w:tcPr>
            <w:tcW w:w="82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SS</w:t>
            </w:r>
          </w:p>
        </w:tc>
        <w:tc>
          <w:tcPr>
            <w:tcW w:w="1158"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eastAsia" w:ascii="Times New Roman" w:hAnsi="Times New Roman" w:eastAsia="宋体" w:cs="Times New Roman"/>
                <w:caps w:val="0"/>
                <w:smallCaps w:val="0"/>
                <w:snapToGrid/>
                <w:color w:val="auto"/>
                <w:spacing w:val="0"/>
                <w:w w:val="100"/>
                <w:kern w:val="2"/>
                <w:position w:val="0"/>
                <w:sz w:val="21"/>
                <w:lang w:val="en-US" w:eastAsia="zh-CN"/>
              </w:rPr>
              <w:t>25</w:t>
            </w:r>
          </w:p>
        </w:tc>
        <w:tc>
          <w:tcPr>
            <w:tcW w:w="2683"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default" w:ascii="Times New Roman" w:hAnsi="Times New Roman" w:eastAsia="宋体" w:cs="Times New Roman"/>
                <w:caps w:val="0"/>
                <w:smallCaps w:val="0"/>
                <w:snapToGrid/>
                <w:color w:val="auto"/>
                <w:spacing w:val="0"/>
                <w:w w:val="100"/>
                <w:kern w:val="2"/>
                <w:position w:val="0"/>
                <w:sz w:val="21"/>
              </w:rPr>
              <w:t>SS参照《地表水资源质量标准》（SL63-94）</w:t>
            </w:r>
            <w:r>
              <w:rPr>
                <w:rFonts w:hint="eastAsia" w:ascii="Times New Roman" w:hAnsi="Times New Roman" w:eastAsia="宋体" w:cs="Times New Roman"/>
                <w:caps w:val="0"/>
                <w:smallCaps w:val="0"/>
                <w:snapToGrid/>
                <w:color w:val="auto"/>
                <w:spacing w:val="0"/>
                <w:w w:val="100"/>
                <w:kern w:val="2"/>
                <w:position w:val="0"/>
                <w:sz w:val="21"/>
                <w:lang w:eastAsia="zh-CN"/>
              </w:rPr>
              <w:t>二</w:t>
            </w:r>
            <w:r>
              <w:rPr>
                <w:rFonts w:hint="default" w:ascii="Times New Roman" w:hAnsi="Times New Roman" w:eastAsia="宋体" w:cs="Times New Roman"/>
                <w:caps w:val="0"/>
                <w:smallCaps w:val="0"/>
                <w:snapToGrid/>
                <w:color w:val="auto"/>
                <w:spacing w:val="0"/>
                <w:w w:val="100"/>
                <w:kern w:val="2"/>
                <w:position w:val="0"/>
                <w:sz w:val="21"/>
              </w:rPr>
              <w:t>级标准</w:t>
            </w:r>
          </w:p>
        </w:tc>
      </w:tr>
    </w:tbl>
    <w:p>
      <w:pPr>
        <w:pStyle w:val="20"/>
        <w:keepNext w:val="0"/>
        <w:keepLines w:val="0"/>
        <w:pageBreakBefore w:val="0"/>
        <w:widowControl/>
        <w:numPr>
          <w:ilvl w:val="0"/>
          <w:numId w:val="0"/>
        </w:numPr>
        <w:kinsoku/>
        <w:wordWrap/>
        <w:overflowPunct/>
        <w:topLinePunct w:val="0"/>
        <w:autoSpaceDE/>
        <w:autoSpaceDN/>
        <w:bidi w:val="0"/>
        <w:adjustRightInd w:val="0"/>
        <w:snapToGrid w:val="0"/>
        <w:spacing w:before="144" w:beforeLines="50" w:line="360" w:lineRule="auto"/>
        <w:ind w:leftChars="0" w:right="0" w:rightChars="0"/>
        <w:jc w:val="left"/>
        <w:textAlignment w:val="auto"/>
        <w:outlineLvl w:val="3"/>
        <w:rPr>
          <w:rFonts w:hint="default" w:ascii="Times New Roman" w:hAnsi="Times New Roman" w:eastAsia="宋体" w:cs="Times New Roman"/>
          <w:b w:val="0"/>
          <w:bCs/>
          <w:caps w:val="0"/>
          <w:smallCaps w:val="0"/>
          <w:snapToGrid/>
          <w:color w:val="auto"/>
          <w:spacing w:val="0"/>
          <w:w w:val="100"/>
          <w:kern w:val="2"/>
          <w:position w:val="0"/>
          <w:sz w:val="24"/>
        </w:rPr>
      </w:pPr>
      <w:r>
        <w:rPr>
          <w:rFonts w:hint="eastAsia" w:ascii="Times New Roman" w:hAnsi="Times New Roman" w:eastAsia="宋体" w:cs="Times New Roman"/>
          <w:b w:val="0"/>
          <w:bCs/>
          <w:caps w:val="0"/>
          <w:smallCaps w:val="0"/>
          <w:snapToGrid/>
          <w:color w:val="auto"/>
          <w:spacing w:val="0"/>
          <w:w w:val="100"/>
          <w:kern w:val="2"/>
          <w:position w:val="0"/>
          <w:sz w:val="24"/>
          <w:lang w:val="en-US" w:eastAsia="zh-CN"/>
        </w:rPr>
        <w:t>3、</w:t>
      </w:r>
      <w:r>
        <w:rPr>
          <w:rFonts w:hint="default" w:ascii="Times New Roman" w:hAnsi="Times New Roman" w:eastAsia="宋体" w:cs="Times New Roman"/>
          <w:b w:val="0"/>
          <w:bCs/>
          <w:caps w:val="0"/>
          <w:smallCaps w:val="0"/>
          <w:snapToGrid/>
          <w:color w:val="auto"/>
          <w:spacing w:val="0"/>
          <w:w w:val="100"/>
          <w:kern w:val="2"/>
          <w:position w:val="0"/>
          <w:sz w:val="24"/>
        </w:rPr>
        <w:t>地下水环境质量标准</w:t>
      </w:r>
    </w:p>
    <w:p>
      <w:pPr>
        <w:pStyle w:val="20"/>
        <w:numPr>
          <w:ilvl w:val="0"/>
          <w:numId w:val="0"/>
        </w:numPr>
        <w:tabs>
          <w:tab w:val="left" w:pos="1316"/>
        </w:tabs>
        <w:spacing w:before="125" w:after="0" w:line="240" w:lineRule="auto"/>
        <w:ind w:left="-465" w:leftChars="0" w:right="0" w:rightChars="0"/>
        <w:jc w:val="left"/>
        <w:rPr>
          <w:rFonts w:hint="default" w:ascii="Times New Roman" w:hAnsi="Times New Roman" w:eastAsia="宋体" w:cs="Times New Roman"/>
          <w:caps w:val="0"/>
          <w:smallCaps w:val="0"/>
          <w:snapToGrid/>
          <w:color w:val="auto"/>
          <w:spacing w:val="0"/>
          <w:w w:val="100"/>
          <w:kern w:val="2"/>
          <w:position w:val="0"/>
          <w:sz w:val="24"/>
        </w:rPr>
      </w:pPr>
      <w:r>
        <w:rPr>
          <w:rFonts w:hint="default" w:ascii="Times New Roman" w:hAnsi="Times New Roman" w:eastAsia="宋体" w:cs="Times New Roman"/>
          <w:caps w:val="0"/>
          <w:smallCaps w:val="0"/>
          <w:snapToGrid/>
          <w:color w:val="auto"/>
          <w:spacing w:val="0"/>
          <w:w w:val="100"/>
          <w:kern w:val="2"/>
          <w:position w:val="0"/>
          <w:sz w:val="24"/>
        </w:rPr>
        <w:t>项目所在区域的地下水</w:t>
      </w:r>
      <w:r>
        <w:rPr>
          <w:rFonts w:hint="default" w:ascii="Times New Roman" w:hAnsi="Times New Roman" w:eastAsia="宋体" w:cs="Times New Roman"/>
          <w:caps w:val="0"/>
          <w:smallCaps w:val="0"/>
          <w:snapToGrid/>
          <w:color w:val="auto"/>
          <w:spacing w:val="0"/>
          <w:w w:val="100"/>
          <w:kern w:val="2"/>
          <w:position w:val="0"/>
          <w:sz w:val="24"/>
          <w:lang w:val="en-US" w:eastAsia="zh-CN"/>
        </w:rPr>
        <w:t>执行</w:t>
      </w:r>
      <w:r>
        <w:rPr>
          <w:rFonts w:hint="default" w:ascii="Times New Roman" w:hAnsi="Times New Roman" w:eastAsia="宋体" w:cs="Times New Roman"/>
          <w:caps w:val="0"/>
          <w:smallCaps w:val="0"/>
          <w:snapToGrid/>
          <w:color w:val="auto"/>
          <w:spacing w:val="0"/>
          <w:w w:val="100"/>
          <w:kern w:val="2"/>
          <w:position w:val="0"/>
          <w:sz w:val="24"/>
        </w:rPr>
        <w:t>《地下水质量标准》（GB/T14848-</w:t>
      </w:r>
      <w:r>
        <w:rPr>
          <w:rFonts w:hint="default" w:ascii="Times New Roman" w:hAnsi="Times New Roman" w:eastAsia="宋体" w:cs="Times New Roman"/>
          <w:caps w:val="0"/>
          <w:smallCaps w:val="0"/>
          <w:snapToGrid/>
          <w:color w:val="auto"/>
          <w:spacing w:val="0"/>
          <w:w w:val="100"/>
          <w:kern w:val="2"/>
          <w:position w:val="0"/>
          <w:sz w:val="24"/>
          <w:lang w:val="en-US" w:eastAsia="zh-CN"/>
        </w:rPr>
        <w:t>2017</w:t>
      </w:r>
      <w:r>
        <w:rPr>
          <w:rFonts w:hint="default" w:ascii="Times New Roman" w:hAnsi="Times New Roman" w:eastAsia="宋体" w:cs="Times New Roman"/>
          <w:caps w:val="0"/>
          <w:smallCaps w:val="0"/>
          <w:snapToGrid/>
          <w:color w:val="auto"/>
          <w:spacing w:val="0"/>
          <w:w w:val="100"/>
          <w:kern w:val="2"/>
          <w:position w:val="0"/>
          <w:sz w:val="24"/>
        </w:rPr>
        <w:t>）中Ⅲ类标准，具体标准限值见表</w:t>
      </w:r>
      <w:r>
        <w:rPr>
          <w:rFonts w:hint="eastAsia" w:ascii="Times New Roman" w:hAnsi="Times New Roman" w:eastAsia="宋体" w:cs="Times New Roman"/>
          <w:caps w:val="0"/>
          <w:smallCaps w:val="0"/>
          <w:snapToGrid/>
          <w:color w:val="auto"/>
          <w:spacing w:val="0"/>
          <w:w w:val="100"/>
          <w:kern w:val="2"/>
          <w:position w:val="0"/>
          <w:sz w:val="24"/>
          <w:lang w:val="en-US" w:eastAsia="zh-CN"/>
        </w:rPr>
        <w:t>1-8</w:t>
      </w:r>
      <w:r>
        <w:rPr>
          <w:rFonts w:hint="default" w:ascii="Times New Roman" w:hAnsi="Times New Roman" w:eastAsia="宋体" w:cs="Times New Roman"/>
          <w:caps w:val="0"/>
          <w:smallCaps w:val="0"/>
          <w:snapToGrid/>
          <w:color w:val="auto"/>
          <w:spacing w:val="0"/>
          <w:w w:val="100"/>
          <w:kern w:val="2"/>
          <w:position w:val="0"/>
          <w:sz w:val="24"/>
        </w:rPr>
        <w:t>。</w:t>
      </w:r>
    </w:p>
    <w:p>
      <w:pPr>
        <w:keepNext w:val="0"/>
        <w:keepLines w:val="0"/>
        <w:pageBreakBefore w:val="0"/>
        <w:widowControl/>
        <w:kinsoku/>
        <w:wordWrap/>
        <w:overflowPunct/>
        <w:topLinePunct w:val="0"/>
        <w:autoSpaceDE/>
        <w:autoSpaceDN/>
        <w:bidi w:val="0"/>
        <w:adjustRightInd w:val="0"/>
        <w:snapToGrid w:val="0"/>
        <w:spacing w:before="144" w:beforeLines="50"/>
        <w:jc w:val="center"/>
        <w:textAlignment w:val="auto"/>
        <w:rPr>
          <w:rFonts w:hint="eastAsia" w:ascii="宋体" w:hAnsi="宋体" w:eastAsia="宋体" w:cs="宋体"/>
          <w:b/>
          <w:bCs w:val="0"/>
          <w:caps w:val="0"/>
          <w:smallCaps w:val="0"/>
          <w:snapToGrid/>
          <w:color w:val="auto"/>
          <w:spacing w:val="0"/>
          <w:w w:val="100"/>
          <w:kern w:val="2"/>
          <w:position w:val="0"/>
          <w:sz w:val="24"/>
        </w:rPr>
      </w:pPr>
      <w:r>
        <w:rPr>
          <w:rFonts w:hint="eastAsia" w:ascii="宋体" w:hAnsi="宋体" w:eastAsia="宋体" w:cs="宋体"/>
          <w:b/>
          <w:bCs w:val="0"/>
          <w:caps w:val="0"/>
          <w:smallCaps w:val="0"/>
          <w:snapToGrid/>
          <w:color w:val="auto"/>
          <w:spacing w:val="0"/>
          <w:w w:val="100"/>
          <w:kern w:val="2"/>
          <w:position w:val="0"/>
          <w:sz w:val="24"/>
        </w:rPr>
        <w:t>表</w:t>
      </w:r>
      <w:r>
        <w:rPr>
          <w:rFonts w:hint="eastAsia" w:ascii="宋体" w:hAnsi="宋体" w:eastAsia="宋体" w:cs="宋体"/>
          <w:b/>
          <w:bCs w:val="0"/>
          <w:caps w:val="0"/>
          <w:smallCaps w:val="0"/>
          <w:snapToGrid/>
          <w:color w:val="auto"/>
          <w:spacing w:val="0"/>
          <w:w w:val="100"/>
          <w:kern w:val="2"/>
          <w:position w:val="0"/>
          <w:sz w:val="24"/>
          <w:lang w:val="en-US" w:eastAsia="zh-CN"/>
        </w:rPr>
        <w:t xml:space="preserve">1-9  </w:t>
      </w:r>
      <w:r>
        <w:rPr>
          <w:rFonts w:hint="eastAsia" w:ascii="宋体" w:hAnsi="宋体" w:eastAsia="宋体" w:cs="宋体"/>
          <w:b/>
          <w:bCs w:val="0"/>
          <w:caps w:val="0"/>
          <w:smallCaps w:val="0"/>
          <w:snapToGrid/>
          <w:color w:val="auto"/>
          <w:spacing w:val="0"/>
          <w:w w:val="100"/>
          <w:kern w:val="2"/>
          <w:position w:val="0"/>
          <w:sz w:val="24"/>
        </w:rPr>
        <w:t>地下水环境质量标准限值</w:t>
      </w:r>
    </w:p>
    <w:tbl>
      <w:tblPr>
        <w:tblStyle w:val="16"/>
        <w:tblW w:w="4881" w:type="pct"/>
        <w:tblInd w:w="9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7"/>
        <w:gridCol w:w="979"/>
        <w:gridCol w:w="3024"/>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noWrap w:val="0"/>
            <w:vAlign w:val="center"/>
          </w:tcPr>
          <w:p>
            <w:pPr>
              <w:pageBreakBefore w:val="0"/>
              <w:tabs>
                <w:tab w:val="left" w:pos="1980"/>
              </w:tabs>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val="0"/>
                <w:caps w:val="0"/>
                <w:smallCaps w:val="0"/>
                <w:snapToGrid/>
                <w:color w:val="auto"/>
                <w:spacing w:val="0"/>
                <w:w w:val="100"/>
                <w:kern w:val="2"/>
                <w:position w:val="0"/>
                <w:sz w:val="21"/>
                <w:szCs w:val="21"/>
              </w:rPr>
            </w:pPr>
            <w:r>
              <w:rPr>
                <w:rFonts w:hint="default" w:ascii="Times New Roman" w:hAnsi="Times New Roman" w:eastAsia="宋体" w:cs="Times New Roman"/>
                <w:b/>
                <w:bCs w:val="0"/>
                <w:caps w:val="0"/>
                <w:smallCaps w:val="0"/>
                <w:snapToGrid/>
                <w:color w:val="auto"/>
                <w:spacing w:val="0"/>
                <w:w w:val="100"/>
                <w:kern w:val="2"/>
                <w:position w:val="0"/>
                <w:sz w:val="21"/>
                <w:szCs w:val="21"/>
              </w:rPr>
              <w:t>执行标准</w:t>
            </w:r>
          </w:p>
        </w:tc>
        <w:tc>
          <w:tcPr>
            <w:tcW w:w="512"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val="0"/>
                <w:caps w:val="0"/>
                <w:smallCaps w:val="0"/>
                <w:snapToGrid/>
                <w:color w:val="auto"/>
                <w:spacing w:val="0"/>
                <w:w w:val="100"/>
                <w:kern w:val="2"/>
                <w:position w:val="0"/>
                <w:sz w:val="21"/>
                <w:szCs w:val="21"/>
              </w:rPr>
            </w:pPr>
            <w:r>
              <w:rPr>
                <w:rFonts w:hint="default" w:ascii="Times New Roman" w:hAnsi="Times New Roman" w:eastAsia="宋体" w:cs="Times New Roman"/>
                <w:b/>
                <w:bCs w:val="0"/>
                <w:caps w:val="0"/>
                <w:smallCaps w:val="0"/>
                <w:snapToGrid/>
                <w:color w:val="auto"/>
                <w:spacing w:val="0"/>
                <w:w w:val="100"/>
                <w:kern w:val="2"/>
                <w:position w:val="0"/>
                <w:sz w:val="21"/>
                <w:szCs w:val="21"/>
              </w:rPr>
              <w:t>级别</w:t>
            </w:r>
          </w:p>
        </w:tc>
        <w:tc>
          <w:tcPr>
            <w:tcW w:w="1582"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val="0"/>
                <w:caps w:val="0"/>
                <w:smallCaps w:val="0"/>
                <w:snapToGrid/>
                <w:color w:val="auto"/>
                <w:spacing w:val="0"/>
                <w:w w:val="100"/>
                <w:kern w:val="2"/>
                <w:position w:val="0"/>
                <w:sz w:val="21"/>
                <w:szCs w:val="21"/>
              </w:rPr>
            </w:pPr>
            <w:r>
              <w:rPr>
                <w:rFonts w:hint="default" w:ascii="Times New Roman" w:hAnsi="Times New Roman" w:eastAsia="宋体" w:cs="Times New Roman"/>
                <w:b/>
                <w:bCs w:val="0"/>
                <w:caps w:val="0"/>
                <w:smallCaps w:val="0"/>
                <w:snapToGrid/>
                <w:color w:val="auto"/>
                <w:spacing w:val="0"/>
                <w:w w:val="100"/>
                <w:kern w:val="2"/>
                <w:position w:val="0"/>
                <w:sz w:val="21"/>
                <w:szCs w:val="21"/>
              </w:rPr>
              <w:t>项目</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val="0"/>
                <w:caps w:val="0"/>
                <w:smallCaps w:val="0"/>
                <w:snapToGrid/>
                <w:color w:val="auto"/>
                <w:spacing w:val="0"/>
                <w:w w:val="100"/>
                <w:kern w:val="2"/>
                <w:position w:val="0"/>
                <w:sz w:val="21"/>
                <w:szCs w:val="21"/>
              </w:rPr>
            </w:pPr>
            <w:r>
              <w:rPr>
                <w:rFonts w:hint="default" w:ascii="Times New Roman" w:hAnsi="Times New Roman" w:eastAsia="宋体" w:cs="Times New Roman"/>
                <w:b/>
                <w:bCs w:val="0"/>
                <w:caps w:val="0"/>
                <w:smallCaps w:val="0"/>
                <w:snapToGrid/>
                <w:color w:val="auto"/>
                <w:spacing w:val="0"/>
                <w:w w:val="100"/>
                <w:kern w:val="2"/>
                <w:position w:val="0"/>
                <w:sz w:val="21"/>
                <w:szCs w:val="21"/>
              </w:rPr>
              <w:fldChar w:fldCharType="begin"/>
            </w:r>
            <w:r>
              <w:rPr>
                <w:rFonts w:hint="default" w:ascii="Times New Roman" w:hAnsi="Times New Roman" w:eastAsia="宋体" w:cs="Times New Roman"/>
                <w:b/>
                <w:bCs w:val="0"/>
                <w:caps w:val="0"/>
                <w:smallCaps w:val="0"/>
                <w:snapToGrid/>
                <w:color w:val="auto"/>
                <w:spacing w:val="0"/>
                <w:w w:val="100"/>
                <w:kern w:val="2"/>
                <w:position w:val="0"/>
                <w:sz w:val="21"/>
                <w:szCs w:val="21"/>
              </w:rPr>
              <w:instrText xml:space="preserve"> = 3 \* ROMAN </w:instrText>
            </w:r>
            <w:r>
              <w:rPr>
                <w:rFonts w:hint="default" w:ascii="Times New Roman" w:hAnsi="Times New Roman" w:eastAsia="宋体" w:cs="Times New Roman"/>
                <w:b/>
                <w:bCs w:val="0"/>
                <w:caps w:val="0"/>
                <w:smallCaps w:val="0"/>
                <w:snapToGrid/>
                <w:color w:val="auto"/>
                <w:spacing w:val="0"/>
                <w:w w:val="100"/>
                <w:kern w:val="2"/>
                <w:position w:val="0"/>
                <w:sz w:val="21"/>
                <w:szCs w:val="21"/>
              </w:rPr>
              <w:fldChar w:fldCharType="separate"/>
            </w:r>
            <w:r>
              <w:rPr>
                <w:rFonts w:hint="default" w:ascii="Times New Roman" w:hAnsi="Times New Roman" w:eastAsia="宋体" w:cs="Times New Roman"/>
                <w:b/>
                <w:bCs w:val="0"/>
                <w:caps w:val="0"/>
                <w:smallCaps w:val="0"/>
                <w:snapToGrid/>
                <w:color w:val="auto"/>
                <w:spacing w:val="0"/>
                <w:w w:val="100"/>
                <w:kern w:val="2"/>
                <w:position w:val="0"/>
                <w:sz w:val="21"/>
                <w:szCs w:val="21"/>
              </w:rPr>
              <w:t>III</w:t>
            </w:r>
            <w:r>
              <w:rPr>
                <w:rFonts w:hint="default" w:ascii="Times New Roman" w:hAnsi="Times New Roman" w:eastAsia="宋体" w:cs="Times New Roman"/>
                <w:b/>
                <w:bCs w:val="0"/>
                <w:caps w:val="0"/>
                <w:smallCaps w:val="0"/>
                <w:snapToGrid/>
                <w:color w:val="auto"/>
                <w:spacing w:val="0"/>
                <w:w w:val="100"/>
                <w:kern w:val="2"/>
                <w:position w:val="0"/>
                <w:sz w:val="21"/>
                <w:szCs w:val="21"/>
                <w:highlight w:val="none"/>
              </w:rPr>
              <w:fldChar w:fldCharType="end"/>
            </w:r>
            <w:r>
              <w:rPr>
                <w:rFonts w:hint="default" w:ascii="Times New Roman" w:hAnsi="Times New Roman" w:eastAsia="宋体" w:cs="Times New Roman"/>
                <w:b/>
                <w:bCs w:val="0"/>
                <w:caps w:val="0"/>
                <w:smallCaps w:val="0"/>
                <w:snapToGrid/>
                <w:color w:val="auto"/>
                <w:spacing w:val="0"/>
                <w:w w:val="100"/>
                <w:kern w:val="2"/>
                <w:position w:val="0"/>
                <w:sz w:val="21"/>
                <w:szCs w:val="21"/>
                <w:highlight w:val="none"/>
              </w:rPr>
              <w:t>类限</w:t>
            </w:r>
            <w:r>
              <w:rPr>
                <w:rFonts w:hint="default" w:ascii="Times New Roman" w:hAnsi="Times New Roman" w:eastAsia="宋体" w:cs="Times New Roman"/>
                <w:b/>
                <w:bCs w:val="0"/>
                <w:caps w:val="0"/>
                <w:smallCaps w:val="0"/>
                <w:snapToGrid/>
                <w:color w:val="auto"/>
                <w:spacing w:val="0"/>
                <w:w w:val="100"/>
                <w:kern w:val="2"/>
                <w:position w:val="0"/>
                <w:sz w:val="21"/>
                <w:szCs w:val="21"/>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restar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default" w:ascii="Times New Roman" w:hAnsi="Times New Roman" w:eastAsia="宋体" w:cs="Times New Roman"/>
                <w:caps w:val="0"/>
                <w:smallCaps w:val="0"/>
                <w:snapToGrid/>
                <w:color w:val="auto"/>
                <w:spacing w:val="0"/>
                <w:w w:val="100"/>
                <w:kern w:val="2"/>
                <w:position w:val="0"/>
                <w:sz w:val="21"/>
                <w:szCs w:val="21"/>
              </w:rPr>
              <w:t>《地下水质量标准》（GB/T14848-2017）</w:t>
            </w:r>
          </w:p>
        </w:tc>
        <w:tc>
          <w:tcPr>
            <w:tcW w:w="512" w:type="pct"/>
            <w:vMerge w:val="restar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r>
              <w:rPr>
                <w:rFonts w:hint="eastAsia" w:ascii="Times New Roman" w:hAnsi="Times New Roman" w:eastAsia="宋体" w:cs="Times New Roman"/>
                <w:caps w:val="0"/>
                <w:smallCaps w:val="0"/>
                <w:snapToGrid/>
                <w:color w:val="auto"/>
                <w:spacing w:val="0"/>
                <w:w w:val="100"/>
                <w:kern w:val="2"/>
                <w:position w:val="0"/>
                <w:sz w:val="21"/>
                <w:szCs w:val="21"/>
                <w:lang w:eastAsia="zh-CN"/>
              </w:rPr>
              <w:t>Ⅲ</w:t>
            </w:r>
            <w:r>
              <w:rPr>
                <w:rFonts w:hint="default" w:ascii="Times New Roman" w:hAnsi="Times New Roman" w:eastAsia="宋体" w:cs="Times New Roman"/>
                <w:caps w:val="0"/>
                <w:smallCaps w:val="0"/>
                <w:snapToGrid/>
                <w:color w:val="auto"/>
                <w:spacing w:val="0"/>
                <w:w w:val="100"/>
                <w:kern w:val="2"/>
                <w:position w:val="0"/>
                <w:sz w:val="21"/>
                <w:szCs w:val="21"/>
              </w:rPr>
              <w:t>类</w:t>
            </w: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rPr>
              <w:t>pH</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lang w:val="en-US" w:eastAsia="zh-CN"/>
              </w:rPr>
              <w:t>6.5</w:t>
            </w: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pH</w:t>
            </w: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rPr>
              <w:t>氨氮</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砷</w:t>
            </w:r>
          </w:p>
        </w:tc>
        <w:tc>
          <w:tcPr>
            <w:tcW w:w="1393" w:type="pct"/>
            <w:noWrap w:val="0"/>
            <w:vAlign w:val="center"/>
          </w:tcPr>
          <w:p>
            <w:pPr>
              <w:pageBreakBefore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汞</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铅</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镉</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六价铬</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eastAsia="zh-CN"/>
              </w:rPr>
              <w:t>总硬度</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耗氧量</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eastAsia="zh-CN"/>
              </w:rPr>
              <w:t>硫酸盐</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eastAsia="zh-CN"/>
              </w:rPr>
              <w:t>氯化物</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eastAsia="zh-CN"/>
              </w:rPr>
              <w:t>硝酸盐</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eastAsia="zh-CN"/>
              </w:rPr>
              <w:t>亚硝酸盐</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0"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512" w:type="pct"/>
            <w:vMerge w:val="continue"/>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rPr>
            </w:pPr>
          </w:p>
        </w:tc>
        <w:tc>
          <w:tcPr>
            <w:tcW w:w="1582" w:type="pct"/>
            <w:noWrap w:val="0"/>
            <w:vAlign w:val="center"/>
          </w:tcPr>
          <w:p>
            <w:pPr>
              <w:pageBreakBefore w:val="0"/>
              <w:tabs>
                <w:tab w:val="left" w:pos="2100"/>
              </w:tabs>
              <w:kinsoku/>
              <w:wordWrap/>
              <w:overflowPunct/>
              <w:topLinePunct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bidi="ar-SA"/>
              </w:rPr>
            </w:pPr>
            <w:r>
              <w:rPr>
                <w:rFonts w:hint="default" w:ascii="Times New Roman" w:hAnsi="Times New Roman" w:eastAsia="宋体" w:cs="Times New Roman"/>
                <w:caps w:val="0"/>
                <w:smallCaps w:val="0"/>
                <w:snapToGrid/>
                <w:color w:val="auto"/>
                <w:spacing w:val="0"/>
                <w:w w:val="100"/>
                <w:kern w:val="2"/>
                <w:position w:val="0"/>
                <w:sz w:val="21"/>
                <w:szCs w:val="21"/>
                <w:lang w:eastAsia="zh-CN"/>
              </w:rPr>
              <w:t>总大肠菌群</w:t>
            </w: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（MPN</w:t>
            </w:r>
            <w:r>
              <w:rPr>
                <w:rFonts w:hint="default" w:ascii="Times New Roman" w:hAnsi="Times New Roman" w:eastAsia="宋体" w:cs="Times New Roman"/>
                <w:caps w:val="0"/>
                <w:smallCaps w:val="0"/>
                <w:snapToGrid/>
                <w:color w:val="auto"/>
                <w:spacing w:val="0"/>
                <w:w w:val="100"/>
                <w:kern w:val="2"/>
                <w:position w:val="0"/>
                <w:sz w:val="21"/>
                <w:szCs w:val="21"/>
                <w:vertAlign w:val="superscript"/>
                <w:lang w:val="en-US" w:eastAsia="zh-CN"/>
              </w:rPr>
              <w:t>b</w:t>
            </w:r>
            <w:r>
              <w:rPr>
                <w:rFonts w:hint="default" w:ascii="Times New Roman" w:hAnsi="Times New Roman" w:eastAsia="宋体" w:cs="Times New Roman"/>
                <w:caps w:val="0"/>
                <w:smallCaps w:val="0"/>
                <w:snapToGrid/>
                <w:color w:val="auto"/>
                <w:spacing w:val="0"/>
                <w:w w:val="100"/>
                <w:kern w:val="2"/>
                <w:position w:val="0"/>
                <w:sz w:val="21"/>
                <w:szCs w:val="21"/>
                <w:lang w:val="en-US" w:eastAsia="zh-CN"/>
              </w:rPr>
              <w:t>/100ml）</w:t>
            </w:r>
          </w:p>
        </w:tc>
        <w:tc>
          <w:tcPr>
            <w:tcW w:w="1393" w:type="pct"/>
            <w:noWrap w:val="0"/>
            <w:vAlign w:val="center"/>
          </w:tcPr>
          <w:p>
            <w:pPr>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szCs w:val="21"/>
                <w:lang w:val="en-US" w:eastAsia="zh-CN"/>
              </w:rPr>
            </w:pPr>
            <w:r>
              <w:rPr>
                <w:rFonts w:hint="default" w:ascii="Times New Roman" w:hAnsi="Times New Roman" w:eastAsia="宋体" w:cs="Times New Roman"/>
                <w:caps w:val="0"/>
                <w:smallCaps w:val="0"/>
                <w:snapToGrid/>
                <w:color w:val="auto"/>
                <w:spacing w:val="0"/>
                <w:w w:val="100"/>
                <w:kern w:val="2"/>
                <w:position w:val="0"/>
                <w:sz w:val="21"/>
              </w:rPr>
              <w:t>≤</w:t>
            </w:r>
            <w:r>
              <w:rPr>
                <w:rFonts w:hint="default" w:ascii="Times New Roman" w:hAnsi="Times New Roman" w:eastAsia="宋体" w:cs="Times New Roman"/>
                <w:caps w:val="0"/>
                <w:smallCaps w:val="0"/>
                <w:snapToGrid/>
                <w:color w:val="auto"/>
                <w:spacing w:val="0"/>
                <w:w w:val="100"/>
                <w:kern w:val="2"/>
                <w:position w:val="0"/>
                <w:sz w:val="21"/>
                <w:lang w:val="en-US" w:eastAsia="zh-CN"/>
              </w:rPr>
              <w:t>3.0</w:t>
            </w:r>
          </w:p>
        </w:tc>
      </w:tr>
    </w:tbl>
    <w:p>
      <w:pPr>
        <w:pStyle w:val="20"/>
        <w:keepNext w:val="0"/>
        <w:keepLines w:val="0"/>
        <w:pageBreakBefore w:val="0"/>
        <w:widowControl/>
        <w:numPr>
          <w:ilvl w:val="0"/>
          <w:numId w:val="0"/>
        </w:numPr>
        <w:kinsoku/>
        <w:wordWrap/>
        <w:overflowPunct/>
        <w:topLinePunct w:val="0"/>
        <w:autoSpaceDE/>
        <w:autoSpaceDN/>
        <w:bidi w:val="0"/>
        <w:adjustRightInd w:val="0"/>
        <w:snapToGrid w:val="0"/>
        <w:spacing w:before="144" w:beforeLines="50" w:line="360" w:lineRule="auto"/>
        <w:ind w:leftChars="0" w:right="0" w:rightChars="0"/>
        <w:jc w:val="left"/>
        <w:textAlignment w:val="auto"/>
        <w:outlineLvl w:val="3"/>
        <w:rPr>
          <w:rFonts w:hint="default" w:ascii="Times New Roman" w:hAnsi="Times New Roman" w:eastAsia="宋体" w:cs="Times New Roman"/>
          <w:b w:val="0"/>
          <w:bCs/>
          <w:caps w:val="0"/>
          <w:smallCaps w:val="0"/>
          <w:snapToGrid/>
          <w:color w:val="auto"/>
          <w:spacing w:val="0"/>
          <w:w w:val="100"/>
          <w:kern w:val="2"/>
          <w:position w:val="0"/>
          <w:sz w:val="24"/>
        </w:rPr>
      </w:pPr>
      <w:r>
        <w:rPr>
          <w:rFonts w:hint="eastAsia" w:ascii="Times New Roman" w:hAnsi="Times New Roman" w:eastAsia="宋体" w:cs="Times New Roman"/>
          <w:b w:val="0"/>
          <w:bCs/>
          <w:caps w:val="0"/>
          <w:smallCaps w:val="0"/>
          <w:snapToGrid/>
          <w:color w:val="auto"/>
          <w:spacing w:val="0"/>
          <w:w w:val="100"/>
          <w:kern w:val="2"/>
          <w:position w:val="0"/>
          <w:sz w:val="24"/>
          <w:lang w:val="en-US" w:eastAsia="zh-CN"/>
        </w:rPr>
        <w:t>4、</w:t>
      </w:r>
      <w:r>
        <w:rPr>
          <w:rFonts w:hint="default" w:ascii="Times New Roman" w:hAnsi="Times New Roman" w:eastAsia="宋体" w:cs="Times New Roman"/>
          <w:b w:val="0"/>
          <w:bCs/>
          <w:caps w:val="0"/>
          <w:smallCaps w:val="0"/>
          <w:snapToGrid/>
          <w:color w:val="auto"/>
          <w:spacing w:val="0"/>
          <w:w w:val="100"/>
          <w:kern w:val="2"/>
          <w:position w:val="0"/>
          <w:sz w:val="24"/>
        </w:rPr>
        <w:t>声环境质量标准</w:t>
      </w:r>
    </w:p>
    <w:p>
      <w:pPr>
        <w:widowControl/>
        <w:adjustRightInd w:val="0"/>
        <w:snapToGrid w:val="0"/>
        <w:spacing w:line="360" w:lineRule="auto"/>
        <w:ind w:firstLine="480" w:firstLineChars="200"/>
        <w:rPr>
          <w:rFonts w:hint="default" w:ascii="Times New Roman" w:hAnsi="Times New Roman" w:eastAsia="宋体" w:cs="Times New Roman"/>
          <w:caps w:val="0"/>
          <w:smallCaps w:val="0"/>
          <w:snapToGrid/>
          <w:color w:val="auto"/>
          <w:spacing w:val="0"/>
          <w:w w:val="100"/>
          <w:kern w:val="2"/>
          <w:position w:val="0"/>
          <w:sz w:val="24"/>
        </w:rPr>
      </w:pPr>
      <w:r>
        <w:rPr>
          <w:rFonts w:hint="default" w:ascii="Times New Roman" w:hAnsi="Times New Roman" w:eastAsia="宋体" w:cs="Times New Roman"/>
          <w:caps w:val="0"/>
          <w:smallCaps w:val="0"/>
          <w:snapToGrid/>
          <w:color w:val="auto"/>
          <w:spacing w:val="0"/>
          <w:w w:val="100"/>
          <w:kern w:val="2"/>
          <w:position w:val="0"/>
          <w:sz w:val="24"/>
        </w:rPr>
        <w:t>声环境质量执行《声环境质量标准</w:t>
      </w:r>
      <w:r>
        <w:rPr>
          <w:rFonts w:hint="default" w:ascii="Times New Roman" w:hAnsi="Times New Roman" w:eastAsia="宋体" w:cs="Times New Roman"/>
          <w:caps w:val="0"/>
          <w:smallCaps w:val="0"/>
          <w:snapToGrid/>
          <w:color w:val="auto"/>
          <w:spacing w:val="-17"/>
          <w:w w:val="100"/>
          <w:kern w:val="2"/>
          <w:position w:val="0"/>
          <w:sz w:val="24"/>
        </w:rPr>
        <w:t>》（GB3096-2008）</w:t>
      </w:r>
      <w:r>
        <w:rPr>
          <w:rFonts w:hint="default" w:ascii="Times New Roman" w:hAnsi="Times New Roman" w:eastAsia="宋体" w:cs="Times New Roman"/>
          <w:caps w:val="0"/>
          <w:smallCaps w:val="0"/>
          <w:snapToGrid/>
          <w:color w:val="auto"/>
          <w:spacing w:val="0"/>
          <w:w w:val="100"/>
          <w:kern w:val="2"/>
          <w:position w:val="0"/>
          <w:sz w:val="24"/>
        </w:rPr>
        <w:t>中</w:t>
      </w:r>
      <w:r>
        <w:rPr>
          <w:rFonts w:hint="eastAsia" w:ascii="Times New Roman" w:hAnsi="Times New Roman" w:eastAsia="宋体" w:cs="Times New Roman"/>
          <w:caps w:val="0"/>
          <w:smallCaps w:val="0"/>
          <w:snapToGrid/>
          <w:color w:val="auto"/>
          <w:spacing w:val="0"/>
          <w:w w:val="100"/>
          <w:kern w:val="2"/>
          <w:position w:val="0"/>
          <w:sz w:val="24"/>
          <w:lang w:val="en-US" w:eastAsia="zh-CN"/>
        </w:rPr>
        <w:t>2</w:t>
      </w:r>
      <w:r>
        <w:rPr>
          <w:rFonts w:hint="default" w:ascii="Times New Roman" w:hAnsi="Times New Roman" w:eastAsia="宋体" w:cs="Times New Roman"/>
          <w:caps w:val="0"/>
          <w:smallCaps w:val="0"/>
          <w:snapToGrid/>
          <w:color w:val="auto"/>
          <w:spacing w:val="0"/>
          <w:w w:val="100"/>
          <w:kern w:val="2"/>
          <w:position w:val="0"/>
          <w:sz w:val="24"/>
        </w:rPr>
        <w:t>类区标准，具体标准值见表</w:t>
      </w:r>
      <w:r>
        <w:rPr>
          <w:rFonts w:hint="eastAsia" w:ascii="Times New Roman" w:hAnsi="Times New Roman" w:eastAsia="宋体" w:cs="Times New Roman"/>
          <w:caps w:val="0"/>
          <w:smallCaps w:val="0"/>
          <w:snapToGrid/>
          <w:color w:val="auto"/>
          <w:spacing w:val="0"/>
          <w:w w:val="100"/>
          <w:kern w:val="2"/>
          <w:position w:val="0"/>
          <w:sz w:val="24"/>
          <w:lang w:val="en-US" w:eastAsia="zh-CN"/>
        </w:rPr>
        <w:t>1-9</w:t>
      </w:r>
      <w:r>
        <w:rPr>
          <w:rFonts w:hint="default" w:ascii="Times New Roman" w:hAnsi="Times New Roman" w:eastAsia="宋体" w:cs="Times New Roman"/>
          <w:caps w:val="0"/>
          <w:smallCaps w:val="0"/>
          <w:snapToGrid/>
          <w:color w:val="auto"/>
          <w:spacing w:val="0"/>
          <w:w w:val="100"/>
          <w:kern w:val="2"/>
          <w:position w:val="0"/>
          <w:sz w:val="24"/>
        </w:rPr>
        <w:t>。</w:t>
      </w:r>
    </w:p>
    <w:p>
      <w:pPr>
        <w:keepNext w:val="0"/>
        <w:keepLines w:val="0"/>
        <w:pageBreakBefore w:val="0"/>
        <w:widowControl/>
        <w:kinsoku/>
        <w:wordWrap/>
        <w:overflowPunct/>
        <w:topLinePunct w:val="0"/>
        <w:autoSpaceDE/>
        <w:autoSpaceDN/>
        <w:bidi w:val="0"/>
        <w:adjustRightInd w:val="0"/>
        <w:snapToGrid w:val="0"/>
        <w:spacing w:before="144" w:beforeLines="50"/>
        <w:jc w:val="center"/>
        <w:textAlignment w:val="auto"/>
        <w:rPr>
          <w:rFonts w:hint="eastAsia" w:ascii="Times New Roman" w:hAnsi="Times New Roman" w:eastAsia="黑体" w:cs="Times New Roman"/>
          <w:b w:val="0"/>
          <w:bCs/>
          <w:caps w:val="0"/>
          <w:smallCaps w:val="0"/>
          <w:snapToGrid/>
          <w:color w:val="auto"/>
          <w:spacing w:val="0"/>
          <w:w w:val="100"/>
          <w:kern w:val="2"/>
          <w:position w:val="0"/>
          <w:sz w:val="24"/>
          <w:lang w:eastAsia="zh-CN"/>
        </w:rPr>
      </w:pPr>
      <w:r>
        <w:rPr>
          <w:rFonts w:hint="default" w:ascii="Times New Roman" w:hAnsi="Times New Roman" w:eastAsia="黑体" w:cs="Times New Roman"/>
          <w:b w:val="0"/>
          <w:bCs/>
          <w:caps w:val="0"/>
          <w:smallCaps w:val="0"/>
          <w:snapToGrid/>
          <w:color w:val="auto"/>
          <w:spacing w:val="0"/>
          <w:w w:val="100"/>
          <w:kern w:val="2"/>
          <w:position w:val="0"/>
          <w:sz w:val="24"/>
        </w:rPr>
        <w:t>表</w:t>
      </w:r>
      <w:r>
        <w:rPr>
          <w:rFonts w:hint="eastAsia" w:ascii="Times New Roman" w:hAnsi="Times New Roman" w:eastAsia="黑体" w:cs="Times New Roman"/>
          <w:b w:val="0"/>
          <w:bCs/>
          <w:caps w:val="0"/>
          <w:smallCaps w:val="0"/>
          <w:snapToGrid/>
          <w:color w:val="auto"/>
          <w:spacing w:val="0"/>
          <w:w w:val="100"/>
          <w:kern w:val="2"/>
          <w:position w:val="0"/>
          <w:sz w:val="24"/>
          <w:lang w:val="en-US" w:eastAsia="zh-CN"/>
        </w:rPr>
        <w:t xml:space="preserve">1-10 </w:t>
      </w:r>
      <w:r>
        <w:rPr>
          <w:rFonts w:hint="default" w:ascii="Times New Roman" w:hAnsi="Times New Roman" w:eastAsia="黑体" w:cs="Times New Roman"/>
          <w:b w:val="0"/>
          <w:bCs/>
          <w:caps w:val="0"/>
          <w:smallCaps w:val="0"/>
          <w:snapToGrid/>
          <w:color w:val="auto"/>
          <w:spacing w:val="0"/>
          <w:w w:val="100"/>
          <w:kern w:val="2"/>
          <w:position w:val="0"/>
          <w:sz w:val="24"/>
        </w:rPr>
        <w:t>声环境质量标准</w:t>
      </w:r>
      <w:r>
        <w:rPr>
          <w:rFonts w:hint="eastAsia" w:ascii="Times New Roman" w:hAnsi="Times New Roman" w:eastAsia="黑体" w:cs="Times New Roman"/>
          <w:b w:val="0"/>
          <w:bCs/>
          <w:caps w:val="0"/>
          <w:smallCaps w:val="0"/>
          <w:snapToGrid/>
          <w:color w:val="auto"/>
          <w:spacing w:val="0"/>
          <w:w w:val="100"/>
          <w:kern w:val="2"/>
          <w:position w:val="0"/>
          <w:sz w:val="24"/>
          <w:lang w:val="en-US" w:eastAsia="zh-CN"/>
        </w:rPr>
        <w:t xml:space="preserve">   </w:t>
      </w:r>
      <w:r>
        <w:rPr>
          <w:rFonts w:hint="default" w:ascii="Times New Roman" w:hAnsi="Times New Roman" w:eastAsia="黑体" w:cs="Times New Roman"/>
          <w:b w:val="0"/>
          <w:bCs/>
          <w:caps w:val="0"/>
          <w:smallCaps w:val="0"/>
          <w:snapToGrid/>
          <w:color w:val="auto"/>
          <w:spacing w:val="0"/>
          <w:w w:val="100"/>
          <w:kern w:val="2"/>
          <w:position w:val="0"/>
          <w:sz w:val="24"/>
        </w:rPr>
        <w:t>单位：LAeq</w:t>
      </w:r>
      <w:r>
        <w:rPr>
          <w:rFonts w:hint="eastAsia" w:ascii="Times New Roman" w:hAnsi="Times New Roman" w:eastAsia="黑体" w:cs="Times New Roman"/>
          <w:b w:val="0"/>
          <w:bCs/>
          <w:caps w:val="0"/>
          <w:smallCaps w:val="0"/>
          <w:snapToGrid/>
          <w:color w:val="auto"/>
          <w:spacing w:val="0"/>
          <w:w w:val="100"/>
          <w:kern w:val="2"/>
          <w:position w:val="0"/>
          <w:sz w:val="24"/>
          <w:lang w:eastAsia="zh-CN"/>
        </w:rPr>
        <w:t>（</w:t>
      </w:r>
      <w:r>
        <w:rPr>
          <w:rFonts w:hint="default" w:ascii="Times New Roman" w:hAnsi="Times New Roman" w:eastAsia="黑体" w:cs="Times New Roman"/>
          <w:b w:val="0"/>
          <w:bCs/>
          <w:caps w:val="0"/>
          <w:smallCaps w:val="0"/>
          <w:snapToGrid/>
          <w:color w:val="auto"/>
          <w:spacing w:val="0"/>
          <w:w w:val="100"/>
          <w:kern w:val="2"/>
          <w:position w:val="0"/>
          <w:sz w:val="24"/>
        </w:rPr>
        <w:t>dB</w:t>
      </w:r>
      <w:r>
        <w:rPr>
          <w:rFonts w:hint="eastAsia" w:ascii="Times New Roman" w:hAnsi="Times New Roman" w:eastAsia="黑体" w:cs="Times New Roman"/>
          <w:b w:val="0"/>
          <w:bCs/>
          <w:caps w:val="0"/>
          <w:smallCaps w:val="0"/>
          <w:snapToGrid/>
          <w:color w:val="auto"/>
          <w:spacing w:val="0"/>
          <w:w w:val="100"/>
          <w:kern w:val="2"/>
          <w:position w:val="0"/>
          <w:sz w:val="24"/>
          <w:lang w:eastAsia="zh-CN"/>
        </w:rPr>
        <w:t>）</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23"/>
        <w:gridCol w:w="3660"/>
        <w:gridCol w:w="4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0"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类别</w:t>
            </w:r>
          </w:p>
        </w:tc>
        <w:tc>
          <w:tcPr>
            <w:tcW w:w="191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昼间</w:t>
            </w:r>
          </w:p>
        </w:tc>
        <w:tc>
          <w:tcPr>
            <w:tcW w:w="2186"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snapToGrid/>
                <w:color w:val="auto"/>
                <w:spacing w:val="0"/>
                <w:w w:val="100"/>
                <w:kern w:val="2"/>
                <w:position w:val="0"/>
                <w:sz w:val="21"/>
              </w:rPr>
            </w:pPr>
            <w:r>
              <w:rPr>
                <w:rFonts w:hint="default" w:ascii="Times New Roman" w:hAnsi="Times New Roman" w:eastAsia="宋体" w:cs="Times New Roman"/>
                <w:b/>
                <w:bCs/>
                <w:caps w:val="0"/>
                <w:smallCaps w:val="0"/>
                <w:snapToGrid/>
                <w:color w:val="auto"/>
                <w:spacing w:val="0"/>
                <w:w w:val="100"/>
                <w:kern w:val="2"/>
                <w:position w:val="0"/>
                <w:sz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00"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rPr>
            </w:pPr>
            <w:r>
              <w:rPr>
                <w:rFonts w:hint="eastAsia" w:ascii="Times New Roman" w:hAnsi="Times New Roman" w:eastAsia="宋体" w:cs="Times New Roman"/>
                <w:caps w:val="0"/>
                <w:smallCaps w:val="0"/>
                <w:snapToGrid/>
                <w:color w:val="auto"/>
                <w:spacing w:val="0"/>
                <w:w w:val="100"/>
                <w:kern w:val="2"/>
                <w:position w:val="0"/>
                <w:sz w:val="21"/>
                <w:lang w:val="en-US" w:eastAsia="zh-CN"/>
              </w:rPr>
              <w:t>2</w:t>
            </w:r>
            <w:r>
              <w:rPr>
                <w:rFonts w:hint="default" w:ascii="Times New Roman" w:hAnsi="Times New Roman" w:eastAsia="宋体" w:cs="Times New Roman"/>
                <w:caps w:val="0"/>
                <w:smallCaps w:val="0"/>
                <w:snapToGrid/>
                <w:color w:val="auto"/>
                <w:spacing w:val="0"/>
                <w:w w:val="100"/>
                <w:kern w:val="2"/>
                <w:position w:val="0"/>
                <w:sz w:val="21"/>
              </w:rPr>
              <w:t>类区</w:t>
            </w:r>
          </w:p>
        </w:tc>
        <w:tc>
          <w:tcPr>
            <w:tcW w:w="1912"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eastAsia" w:ascii="Times New Roman" w:hAnsi="Times New Roman" w:eastAsia="宋体" w:cs="Times New Roman"/>
                <w:caps w:val="0"/>
                <w:smallCaps w:val="0"/>
                <w:snapToGrid/>
                <w:color w:val="auto"/>
                <w:spacing w:val="0"/>
                <w:w w:val="100"/>
                <w:kern w:val="2"/>
                <w:position w:val="0"/>
                <w:sz w:val="21"/>
                <w:lang w:val="en-US" w:eastAsia="zh-CN"/>
              </w:rPr>
              <w:t>60</w:t>
            </w:r>
          </w:p>
        </w:tc>
        <w:tc>
          <w:tcPr>
            <w:tcW w:w="2186" w:type="pct"/>
            <w:noWrap w:val="0"/>
            <w:vAlign w:val="center"/>
          </w:tcPr>
          <w:p>
            <w:pPr>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napToGrid/>
                <w:color w:val="auto"/>
                <w:spacing w:val="0"/>
                <w:w w:val="100"/>
                <w:kern w:val="2"/>
                <w:position w:val="0"/>
                <w:sz w:val="21"/>
                <w:lang w:val="en-US" w:eastAsia="zh-CN"/>
              </w:rPr>
            </w:pPr>
            <w:r>
              <w:rPr>
                <w:rFonts w:hint="eastAsia" w:ascii="Times New Roman" w:hAnsi="Times New Roman" w:eastAsia="宋体" w:cs="Times New Roman"/>
                <w:caps w:val="0"/>
                <w:smallCaps w:val="0"/>
                <w:snapToGrid/>
                <w:color w:val="auto"/>
                <w:spacing w:val="0"/>
                <w:w w:val="100"/>
                <w:kern w:val="2"/>
                <w:position w:val="0"/>
                <w:sz w:val="21"/>
                <w:lang w:val="en-US" w:eastAsia="zh-CN"/>
              </w:rPr>
              <w:t>50</w:t>
            </w:r>
          </w:p>
        </w:tc>
      </w:tr>
    </w:tbl>
    <w:p>
      <w:pPr>
        <w:pStyle w:val="20"/>
        <w:numPr>
          <w:ilvl w:val="2"/>
          <w:numId w:val="2"/>
        </w:numPr>
        <w:tabs>
          <w:tab w:val="left" w:pos="1316"/>
        </w:tabs>
        <w:spacing w:before="123" w:after="0" w:line="240" w:lineRule="auto"/>
        <w:ind w:left="1316" w:right="0" w:hanging="699"/>
        <w:jc w:val="left"/>
        <w:rPr>
          <w:rFonts w:hint="eastAsia" w:ascii="宋体" w:hAnsi="宋体" w:eastAsia="宋体" w:cs="宋体"/>
          <w:b/>
          <w:sz w:val="28"/>
        </w:rPr>
      </w:pPr>
      <w:bookmarkStart w:id="43" w:name="1.8.2污染源排放标准"/>
      <w:bookmarkEnd w:id="43"/>
      <w:bookmarkStart w:id="44" w:name="1.8.2污染源排放标准"/>
      <w:bookmarkEnd w:id="44"/>
      <w:r>
        <w:rPr>
          <w:rFonts w:hint="eastAsia" w:ascii="宋体" w:hAnsi="宋体" w:eastAsia="宋体" w:cs="宋体"/>
          <w:b/>
          <w:sz w:val="28"/>
        </w:rPr>
        <w:t>污染源排放标准</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废气污染源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本项目运营期不产生生产废气。</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废水污染源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项目运行期产生的生活污水经化粪池预处理后定期清掏灌溉周围的农田，不外排。</w:t>
      </w: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噪声污染源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12" w:firstLineChars="200"/>
        <w:textAlignment w:val="auto"/>
        <w:rPr>
          <w:rFonts w:hint="eastAsia" w:ascii="宋体" w:hAnsi="宋体" w:eastAsia="宋体" w:cs="宋体"/>
        </w:rPr>
      </w:pPr>
      <w:r>
        <w:rPr>
          <w:rFonts w:hint="eastAsia" w:ascii="宋体" w:hAnsi="宋体" w:eastAsia="宋体" w:cs="宋体"/>
          <w:spacing w:val="-17"/>
        </w:rPr>
        <w:t>运营期噪声执行《工业企业厂界环境噪声排放标准》</w:t>
      </w:r>
      <w:r>
        <w:rPr>
          <w:rFonts w:hint="default" w:ascii="Times New Roman" w:hAnsi="Times New Roman" w:eastAsia="宋体" w:cs="Times New Roman"/>
          <w:spacing w:val="-10"/>
        </w:rPr>
        <w:t>（GB12348-90）</w:t>
      </w:r>
      <w:r>
        <w:rPr>
          <w:rFonts w:hint="eastAsia" w:ascii="宋体" w:hAnsi="宋体" w:eastAsia="宋体" w:cs="宋体"/>
          <w:spacing w:val="-15"/>
        </w:rPr>
        <w:t>中</w:t>
      </w:r>
      <w:r>
        <w:rPr>
          <w:rFonts w:hint="default" w:ascii="Times New Roman" w:hAnsi="Times New Roman" w:eastAsia="宋体" w:cs="Times New Roman"/>
          <w:spacing w:val="-10"/>
          <w:lang w:val="en-US" w:eastAsia="zh-CN"/>
        </w:rPr>
        <w:t>2</w:t>
      </w:r>
      <w:r>
        <w:rPr>
          <w:rFonts w:hint="eastAsia" w:ascii="宋体" w:hAnsi="宋体" w:eastAsia="宋体" w:cs="宋体"/>
          <w:spacing w:val="-13"/>
        </w:rPr>
        <w:t xml:space="preserve">类标准； </w:t>
      </w:r>
      <w:r>
        <w:rPr>
          <w:rFonts w:hint="eastAsia" w:ascii="宋体" w:hAnsi="宋体" w:eastAsia="宋体" w:cs="宋体"/>
          <w:spacing w:val="-23"/>
        </w:rPr>
        <w:t>参照《工业企业厂界环境噪声排放标准》</w:t>
      </w:r>
      <w:r>
        <w:rPr>
          <w:rFonts w:hint="eastAsia" w:ascii="宋体" w:hAnsi="宋体" w:eastAsia="宋体" w:cs="宋体"/>
          <w:spacing w:val="-11"/>
        </w:rPr>
        <w:t>（</w:t>
      </w:r>
      <w:r>
        <w:rPr>
          <w:rFonts w:hint="eastAsia" w:ascii="Times New Roman" w:hAnsi="Times New Roman" w:eastAsia="宋体" w:cs="Times New Roman"/>
          <w:spacing w:val="-10"/>
          <w:lang w:val="en-US" w:eastAsia="zh-CN"/>
        </w:rPr>
        <w:t>GB12348-2008</w:t>
      </w:r>
      <w:r>
        <w:rPr>
          <w:rFonts w:hint="eastAsia" w:ascii="宋体" w:hAnsi="宋体" w:eastAsia="宋体" w:cs="宋体"/>
          <w:spacing w:val="-11"/>
        </w:rPr>
        <w:t>）</w:t>
      </w:r>
      <w:r>
        <w:rPr>
          <w:rFonts w:hint="eastAsia" w:ascii="Times New Roman" w:hAnsi="Times New Roman" w:eastAsia="宋体" w:cs="Times New Roman"/>
          <w:spacing w:val="-10"/>
          <w:lang w:val="en-US" w:eastAsia="zh-CN"/>
        </w:rPr>
        <w:t>2</w:t>
      </w:r>
      <w:r>
        <w:rPr>
          <w:rFonts w:hint="eastAsia" w:ascii="宋体" w:hAnsi="宋体" w:eastAsia="宋体" w:cs="宋体"/>
          <w:spacing w:val="-19"/>
        </w:rPr>
        <w:t>类标准复核；</w:t>
      </w:r>
    </w:p>
    <w:p>
      <w:pPr>
        <w:tabs>
          <w:tab w:val="left" w:pos="5806"/>
        </w:tabs>
        <w:spacing w:before="3"/>
        <w:ind w:left="2859" w:right="0" w:firstLine="0"/>
        <w:jc w:val="left"/>
        <w:rPr>
          <w:rFonts w:ascii="Times New Roman" w:eastAsia="Times New Roman"/>
          <w:b/>
          <w:sz w:val="21"/>
        </w:rPr>
      </w:pPr>
      <w:r>
        <w:rPr>
          <w:rFonts w:hint="eastAsia" w:ascii="宋体" w:hAnsi="宋体" w:eastAsia="宋体" w:cs="宋体"/>
          <w:b/>
          <w:sz w:val="21"/>
        </w:rPr>
        <w:t>表</w:t>
      </w:r>
      <w:r>
        <w:rPr>
          <w:b/>
          <w:spacing w:val="-1"/>
          <w:sz w:val="21"/>
        </w:rPr>
        <w:t xml:space="preserve"> </w:t>
      </w:r>
      <w:r>
        <w:rPr>
          <w:rFonts w:ascii="Times New Roman" w:eastAsia="Times New Roman"/>
          <w:b/>
          <w:sz w:val="21"/>
        </w:rPr>
        <w:t>1-</w:t>
      </w:r>
      <w:r>
        <w:rPr>
          <w:rFonts w:ascii="Times New Roman" w:eastAsia="Times New Roman"/>
          <w:b/>
          <w:spacing w:val="-18"/>
          <w:sz w:val="21"/>
        </w:rPr>
        <w:t xml:space="preserve"> </w:t>
      </w:r>
      <w:r>
        <w:rPr>
          <w:rFonts w:hint="eastAsia" w:ascii="Times New Roman" w:eastAsia="宋体"/>
          <w:b/>
          <w:sz w:val="21"/>
          <w:lang w:val="en-US" w:eastAsia="zh-CN"/>
        </w:rPr>
        <w:t>11</w:t>
      </w:r>
      <w:r>
        <w:rPr>
          <w:rFonts w:ascii="Times New Roman" w:eastAsia="Times New Roman"/>
          <w:b/>
          <w:spacing w:val="51"/>
          <w:sz w:val="21"/>
        </w:rPr>
        <w:t xml:space="preserve"> </w:t>
      </w:r>
      <w:r>
        <w:rPr>
          <w:rFonts w:hint="eastAsia" w:ascii="宋体" w:hAnsi="宋体" w:eastAsia="宋体" w:cs="宋体"/>
          <w:b/>
          <w:sz w:val="21"/>
        </w:rPr>
        <w:t>噪声排放标准限值</w:t>
      </w:r>
      <w:r>
        <w:rPr>
          <w:b/>
          <w:sz w:val="21"/>
        </w:rPr>
        <w:tab/>
      </w:r>
      <w:r>
        <w:rPr>
          <w:rFonts w:hint="eastAsia" w:ascii="宋体" w:hAnsi="宋体" w:eastAsia="宋体" w:cs="宋体"/>
          <w:b/>
          <w:sz w:val="21"/>
        </w:rPr>
        <w:t>单位：</w:t>
      </w:r>
      <w:r>
        <w:rPr>
          <w:rFonts w:hint="default" w:ascii="Times New Roman" w:hAnsi="Times New Roman" w:eastAsia="宋体" w:cs="Times New Roman"/>
          <w:spacing w:val="-10"/>
          <w:sz w:val="24"/>
          <w:szCs w:val="24"/>
          <w:lang w:val="en-US" w:eastAsia="zh-CN" w:bidi="zh-CN"/>
        </w:rPr>
        <w:t>dB</w:t>
      </w:r>
    </w:p>
    <w:p>
      <w:pPr>
        <w:pStyle w:val="7"/>
        <w:spacing w:before="1"/>
        <w:rPr>
          <w:rFonts w:ascii="Times New Roman"/>
          <w:b/>
          <w:sz w:val="12"/>
        </w:rPr>
      </w:pPr>
    </w:p>
    <w:tbl>
      <w:tblPr>
        <w:tblStyle w:val="16"/>
        <w:tblW w:w="9615" w:type="dxa"/>
        <w:tblInd w:w="-3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12"/>
        <w:gridCol w:w="2723"/>
        <w:gridCol w:w="33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512" w:type="dxa"/>
            <w:vMerge w:val="restart"/>
            <w:tcBorders>
              <w:left w:val="nil"/>
              <w:bottom w:val="single" w:color="auto" w:sz="4" w:space="0"/>
              <w:right w:val="single" w:color="auto" w:sz="4" w:space="0"/>
            </w:tcBorders>
            <w:shd w:val="clear" w:color="auto" w:fill="FFFFFF" w:themeFill="background1"/>
          </w:tcPr>
          <w:p>
            <w:pPr>
              <w:pStyle w:val="21"/>
              <w:spacing w:before="11"/>
              <w:rPr>
                <w:rFonts w:hint="eastAsia" w:ascii="宋体" w:hAnsi="宋体" w:eastAsia="宋体" w:cs="宋体"/>
                <w:b/>
                <w:sz w:val="21"/>
                <w:szCs w:val="21"/>
              </w:rPr>
            </w:pPr>
          </w:p>
          <w:p>
            <w:pPr>
              <w:pStyle w:val="21"/>
              <w:ind w:left="992" w:right="968"/>
              <w:jc w:val="center"/>
              <w:rPr>
                <w:rFonts w:hint="eastAsia" w:ascii="宋体" w:hAnsi="宋体" w:eastAsia="宋体" w:cs="宋体"/>
                <w:sz w:val="21"/>
                <w:szCs w:val="21"/>
              </w:rPr>
            </w:pPr>
            <w:r>
              <w:rPr>
                <w:rFonts w:hint="eastAsia" w:ascii="宋体" w:hAnsi="宋体" w:eastAsia="宋体" w:cs="宋体"/>
                <w:sz w:val="21"/>
                <w:szCs w:val="21"/>
              </w:rPr>
              <w:t>区域类别</w:t>
            </w:r>
          </w:p>
        </w:tc>
        <w:tc>
          <w:tcPr>
            <w:tcW w:w="6103" w:type="dxa"/>
            <w:gridSpan w:val="2"/>
            <w:tcBorders>
              <w:left w:val="single" w:color="auto" w:sz="4" w:space="0"/>
              <w:bottom w:val="single" w:color="auto" w:sz="4" w:space="0"/>
              <w:right w:val="nil"/>
            </w:tcBorders>
            <w:shd w:val="clear" w:color="auto" w:fill="FFFFFF" w:themeFill="background1"/>
          </w:tcPr>
          <w:p>
            <w:pPr>
              <w:pStyle w:val="21"/>
              <w:spacing w:before="62"/>
              <w:ind w:left="2406" w:right="2379"/>
              <w:jc w:val="center"/>
              <w:rPr>
                <w:rFonts w:hint="eastAsia" w:ascii="宋体" w:hAnsi="宋体" w:eastAsia="宋体" w:cs="宋体"/>
                <w:sz w:val="21"/>
                <w:szCs w:val="21"/>
              </w:rPr>
            </w:pPr>
            <w:r>
              <w:rPr>
                <w:rFonts w:hint="eastAsia" w:ascii="宋体" w:hAnsi="宋体" w:eastAsia="宋体" w:cs="宋体"/>
                <w:sz w:val="21"/>
                <w:szCs w:val="21"/>
              </w:rPr>
              <w:t>噪声值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512" w:type="dxa"/>
            <w:vMerge w:val="continue"/>
            <w:tcBorders>
              <w:top w:val="single" w:color="auto" w:sz="4" w:space="0"/>
              <w:left w:val="nil"/>
              <w:bottom w:val="single" w:color="auto" w:sz="4" w:space="0"/>
              <w:right w:val="single" w:color="auto" w:sz="4" w:space="0"/>
            </w:tcBorders>
            <w:shd w:val="clear" w:color="auto" w:fill="FFFFFF" w:themeFill="background1"/>
          </w:tcPr>
          <w:p>
            <w:pPr>
              <w:rPr>
                <w:rFonts w:hint="eastAsia" w:ascii="宋体" w:hAnsi="宋体" w:eastAsia="宋体" w:cs="宋体"/>
                <w:sz w:val="21"/>
                <w:szCs w:val="21"/>
              </w:rPr>
            </w:pPr>
          </w:p>
        </w:tc>
        <w:tc>
          <w:tcPr>
            <w:tcW w:w="2723"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1"/>
              <w:spacing w:before="62"/>
              <w:ind w:left="1136" w:right="1111"/>
              <w:jc w:val="center"/>
              <w:rPr>
                <w:rFonts w:hint="eastAsia" w:ascii="宋体" w:hAnsi="宋体" w:eastAsia="宋体" w:cs="宋体"/>
                <w:sz w:val="21"/>
                <w:szCs w:val="21"/>
              </w:rPr>
            </w:pPr>
            <w:r>
              <w:rPr>
                <w:rFonts w:hint="eastAsia" w:ascii="宋体" w:hAnsi="宋体" w:eastAsia="宋体" w:cs="宋体"/>
                <w:sz w:val="21"/>
                <w:szCs w:val="21"/>
              </w:rPr>
              <w:t>昼间</w:t>
            </w:r>
          </w:p>
        </w:tc>
        <w:tc>
          <w:tcPr>
            <w:tcW w:w="3380" w:type="dxa"/>
            <w:tcBorders>
              <w:top w:val="single" w:color="auto" w:sz="4" w:space="0"/>
              <w:left w:val="single" w:color="auto" w:sz="4" w:space="0"/>
              <w:bottom w:val="single" w:color="auto" w:sz="4" w:space="0"/>
              <w:right w:val="nil"/>
            </w:tcBorders>
            <w:shd w:val="clear" w:color="auto" w:fill="FFFFFF" w:themeFill="background1"/>
          </w:tcPr>
          <w:p>
            <w:pPr>
              <w:pStyle w:val="21"/>
              <w:spacing w:before="62"/>
              <w:ind w:left="1149" w:right="1123"/>
              <w:jc w:val="center"/>
              <w:rPr>
                <w:rFonts w:hint="eastAsia" w:ascii="宋体" w:hAnsi="宋体" w:eastAsia="宋体" w:cs="宋体"/>
                <w:sz w:val="21"/>
                <w:szCs w:val="21"/>
              </w:rPr>
            </w:pPr>
            <w:r>
              <w:rPr>
                <w:rFonts w:hint="eastAsia" w:ascii="宋体" w:hAnsi="宋体" w:eastAsia="宋体" w:cs="宋体"/>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3512" w:type="dxa"/>
            <w:tcBorders>
              <w:top w:val="single" w:color="auto" w:sz="4" w:space="0"/>
              <w:left w:val="nil"/>
              <w:right w:val="single" w:color="auto" w:sz="4" w:space="0"/>
            </w:tcBorders>
          </w:tcPr>
          <w:p>
            <w:pPr>
              <w:pStyle w:val="21"/>
              <w:spacing w:before="62"/>
              <w:ind w:left="992" w:right="966"/>
              <w:jc w:val="center"/>
              <w:rPr>
                <w:rFonts w:hint="default" w:ascii="Times New Roman" w:hAnsi="Times New Roman" w:cs="Times New Roman"/>
                <w:sz w:val="21"/>
              </w:rPr>
            </w:pPr>
            <w:r>
              <w:rPr>
                <w:rFonts w:hint="default" w:ascii="Times New Roman" w:hAnsi="Times New Roman" w:eastAsia="宋体" w:cs="Times New Roman"/>
                <w:spacing w:val="-10"/>
                <w:sz w:val="24"/>
                <w:szCs w:val="24"/>
                <w:lang w:val="en-US" w:eastAsia="zh-CN" w:bidi="zh-CN"/>
              </w:rPr>
              <w:t>2</w:t>
            </w:r>
            <w:r>
              <w:rPr>
                <w:rFonts w:hint="eastAsia" w:ascii="宋体" w:hAnsi="宋体" w:eastAsia="宋体" w:cs="宋体"/>
                <w:sz w:val="21"/>
              </w:rPr>
              <w:t>类</w:t>
            </w:r>
          </w:p>
        </w:tc>
        <w:tc>
          <w:tcPr>
            <w:tcW w:w="2723" w:type="dxa"/>
            <w:tcBorders>
              <w:top w:val="single" w:color="auto" w:sz="4" w:space="0"/>
              <w:left w:val="single" w:color="auto" w:sz="4" w:space="0"/>
              <w:right w:val="single" w:color="auto" w:sz="4" w:space="0"/>
            </w:tcBorders>
          </w:tcPr>
          <w:p>
            <w:pPr>
              <w:pStyle w:val="21"/>
              <w:spacing w:before="76"/>
              <w:ind w:left="1136" w:right="1107"/>
              <w:jc w:val="center"/>
              <w:rPr>
                <w:rFonts w:hint="default" w:ascii="Times New Roman" w:hAnsi="Times New Roman" w:eastAsia="宋体" w:cs="Times New Roman"/>
                <w:spacing w:val="-10"/>
                <w:sz w:val="24"/>
                <w:szCs w:val="24"/>
                <w:lang w:val="en-US" w:eastAsia="zh-CN" w:bidi="zh-CN"/>
              </w:rPr>
            </w:pPr>
            <w:r>
              <w:rPr>
                <w:rFonts w:hint="default" w:ascii="Times New Roman" w:hAnsi="Times New Roman" w:eastAsia="宋体" w:cs="Times New Roman"/>
                <w:spacing w:val="-10"/>
                <w:sz w:val="24"/>
                <w:szCs w:val="24"/>
                <w:lang w:val="en-US" w:eastAsia="zh-CN" w:bidi="zh-CN"/>
              </w:rPr>
              <w:t>60</w:t>
            </w:r>
          </w:p>
        </w:tc>
        <w:tc>
          <w:tcPr>
            <w:tcW w:w="3380" w:type="dxa"/>
            <w:tcBorders>
              <w:top w:val="single" w:color="auto" w:sz="4" w:space="0"/>
              <w:left w:val="single" w:color="auto" w:sz="4" w:space="0"/>
              <w:right w:val="nil"/>
            </w:tcBorders>
          </w:tcPr>
          <w:p>
            <w:pPr>
              <w:pStyle w:val="21"/>
              <w:spacing w:before="76"/>
              <w:ind w:left="1149" w:right="1120"/>
              <w:jc w:val="center"/>
              <w:rPr>
                <w:rFonts w:hint="default" w:ascii="Times New Roman" w:hAnsi="Times New Roman" w:eastAsia="宋体" w:cs="Times New Roman"/>
                <w:spacing w:val="-10"/>
                <w:sz w:val="24"/>
                <w:szCs w:val="24"/>
                <w:lang w:val="en-US" w:eastAsia="zh-CN" w:bidi="zh-CN"/>
              </w:rPr>
            </w:pPr>
            <w:r>
              <w:rPr>
                <w:rFonts w:hint="default" w:ascii="Times New Roman" w:hAnsi="Times New Roman" w:eastAsia="宋体" w:cs="Times New Roman"/>
                <w:spacing w:val="-10"/>
                <w:sz w:val="24"/>
                <w:szCs w:val="24"/>
                <w:lang w:val="en-US" w:eastAsia="zh-CN" w:bidi="zh-CN"/>
              </w:rPr>
              <w:t>50</w:t>
            </w:r>
          </w:p>
        </w:tc>
      </w:tr>
    </w:tbl>
    <w:p>
      <w:pPr>
        <w:pStyle w:val="7"/>
        <w:spacing w:before="1"/>
        <w:rPr>
          <w:rFonts w:ascii="Times New Roman"/>
          <w:b/>
          <w:sz w:val="12"/>
        </w:rPr>
      </w:pPr>
    </w:p>
    <w:p>
      <w:pPr>
        <w:pStyle w:val="20"/>
        <w:keepNext w:val="0"/>
        <w:keepLines w:val="0"/>
        <w:pageBreakBefore w:val="0"/>
        <w:widowControl w:val="0"/>
        <w:numPr>
          <w:ilvl w:val="0"/>
          <w:numId w:val="0"/>
        </w:numPr>
        <w:tabs>
          <w:tab w:val="left" w:pos="167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固体废物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项目固体废弃物中的危险废物按照《国家危险废物名录》</w:t>
      </w:r>
      <w:r>
        <w:rPr>
          <w:rFonts w:hint="eastAsia" w:ascii="宋体" w:hAnsi="宋体" w:eastAsia="宋体" w:cs="宋体"/>
        </w:rPr>
        <w:t>（环境保护部令第</w:t>
      </w:r>
      <w:r>
        <w:rPr>
          <w:rFonts w:hint="eastAsia" w:ascii="Times New Roman" w:hAnsi="Times New Roman" w:eastAsia="宋体" w:cs="Times New Roman"/>
        </w:rPr>
        <w:t xml:space="preserve">39 </w:t>
      </w:r>
      <w:r>
        <w:rPr>
          <w:rFonts w:hint="eastAsia" w:ascii="宋体" w:hAnsi="宋体" w:eastAsia="宋体" w:cs="宋体"/>
          <w:spacing w:val="11"/>
        </w:rPr>
        <w:t xml:space="preserve">号 </w:t>
      </w:r>
      <w:r>
        <w:rPr>
          <w:rFonts w:hint="eastAsia" w:ascii="Times New Roman" w:hAnsi="Times New Roman" w:eastAsia="宋体" w:cs="Times New Roman"/>
        </w:rPr>
        <w:t>2016.6.14</w:t>
      </w:r>
      <w:r>
        <w:rPr>
          <w:rFonts w:hint="eastAsia" w:ascii="宋体" w:hAnsi="宋体" w:eastAsia="宋体" w:cs="宋体"/>
        </w:rPr>
        <w:t>）</w:t>
      </w:r>
      <w:r>
        <w:rPr>
          <w:rFonts w:hint="eastAsia" w:ascii="宋体" w:hAnsi="宋体" w:eastAsia="宋体" w:cs="宋体"/>
          <w:spacing w:val="5"/>
        </w:rPr>
        <w:t>分类，危险废物贮存应符合《危险废物贮存污染控制标准》</w:t>
      </w:r>
      <w:r>
        <w:rPr>
          <w:rFonts w:hint="eastAsia" w:ascii="宋体" w:hAnsi="宋体" w:eastAsia="宋体" w:cs="宋体"/>
        </w:rPr>
        <w:t>（</w:t>
      </w:r>
      <w:r>
        <w:rPr>
          <w:rFonts w:hint="eastAsia" w:ascii="Times New Roman" w:hAnsi="Times New Roman" w:eastAsia="宋体" w:cs="Times New Roman"/>
        </w:rPr>
        <w:t>GB18597-2001</w:t>
      </w:r>
      <w:r>
        <w:rPr>
          <w:rFonts w:hint="eastAsia" w:ascii="宋体" w:hAnsi="宋体" w:eastAsia="宋体" w:cs="宋体"/>
        </w:rPr>
        <w:t>）及其标准修改单（</w:t>
      </w:r>
      <w:r>
        <w:rPr>
          <w:rFonts w:hint="eastAsia" w:ascii="宋体" w:hAnsi="宋体" w:eastAsia="宋体" w:cs="宋体"/>
          <w:spacing w:val="-7"/>
        </w:rPr>
        <w:t>环境保护部公告</w:t>
      </w:r>
      <w:r>
        <w:rPr>
          <w:rFonts w:hint="eastAsia" w:ascii="Times New Roman" w:hAnsi="Times New Roman" w:eastAsia="宋体" w:cs="Times New Roman"/>
        </w:rPr>
        <w:t xml:space="preserve"> 2013 年</w:t>
      </w:r>
      <w:r>
        <w:rPr>
          <w:rFonts w:hint="eastAsia" w:ascii="宋体" w:hAnsi="宋体" w:eastAsia="宋体" w:cs="宋体"/>
          <w:spacing w:val="-16"/>
        </w:rPr>
        <w:t>第</w:t>
      </w:r>
      <w:r>
        <w:rPr>
          <w:rFonts w:hint="eastAsia" w:ascii="Times New Roman" w:hAnsi="Times New Roman" w:eastAsia="宋体" w:cs="Times New Roman"/>
        </w:rPr>
        <w:t xml:space="preserve"> 36 </w:t>
      </w:r>
      <w:r>
        <w:rPr>
          <w:rFonts w:hint="eastAsia" w:ascii="宋体" w:hAnsi="宋体" w:eastAsia="宋体" w:cs="宋体"/>
          <w:spacing w:val="4"/>
        </w:rPr>
        <w:t>号</w:t>
      </w:r>
      <w:r>
        <w:rPr>
          <w:rFonts w:hint="eastAsia" w:ascii="宋体" w:hAnsi="宋体" w:eastAsia="宋体" w:cs="宋体"/>
          <w:spacing w:val="3"/>
        </w:rPr>
        <w:t>）</w:t>
      </w:r>
      <w:r>
        <w:rPr>
          <w:rFonts w:hint="eastAsia" w:ascii="宋体" w:hAnsi="宋体" w:eastAsia="宋体" w:cs="宋体"/>
        </w:rPr>
        <w:t>，《危险废物收集、贮存、运输技术规范》（</w:t>
      </w:r>
      <w:r>
        <w:rPr>
          <w:rFonts w:hint="default" w:ascii="Times New Roman" w:hAnsi="Times New Roman" w:eastAsia="宋体" w:cs="Times New Roman"/>
        </w:rPr>
        <w:t>HJ2025-2012</w:t>
      </w:r>
      <w:r>
        <w:rPr>
          <w:rFonts w:hint="eastAsia" w:ascii="宋体" w:hAnsi="宋体" w:eastAsia="宋体" w:cs="宋体"/>
        </w:rPr>
        <w:t>）要求；一般工业固体废弃物的贮存场所应符合《一般工业固体废物贮存、处置场污染控制标准》（</w:t>
      </w:r>
      <w:r>
        <w:rPr>
          <w:rFonts w:hint="eastAsia" w:ascii="Times New Roman" w:hAnsi="Times New Roman" w:eastAsia="宋体" w:cs="Times New Roman"/>
        </w:rPr>
        <w:t>GB18599-2001</w:t>
      </w:r>
      <w:r>
        <w:rPr>
          <w:rFonts w:hint="eastAsia" w:ascii="宋体" w:hAnsi="宋体" w:eastAsia="宋体" w:cs="宋体"/>
        </w:rPr>
        <w:t>）及其标准修改单（环境保护部公告</w:t>
      </w:r>
      <w:r>
        <w:rPr>
          <w:rFonts w:hint="eastAsia" w:ascii="Times New Roman" w:hAnsi="Times New Roman" w:eastAsia="宋体" w:cs="Times New Roman"/>
        </w:rPr>
        <w:t xml:space="preserve"> 2013 </w:t>
      </w:r>
      <w:r>
        <w:rPr>
          <w:rFonts w:hint="eastAsia" w:ascii="宋体" w:hAnsi="宋体" w:eastAsia="宋体" w:cs="宋体"/>
        </w:rPr>
        <w:t xml:space="preserve">年第 </w:t>
      </w:r>
      <w:r>
        <w:rPr>
          <w:rFonts w:hint="eastAsia" w:ascii="Times New Roman" w:hAnsi="Times New Roman" w:eastAsia="宋体" w:cs="Times New Roman"/>
        </w:rPr>
        <w:t xml:space="preserve">36 </w:t>
      </w:r>
      <w:r>
        <w:rPr>
          <w:rFonts w:hint="eastAsia" w:ascii="宋体" w:hAnsi="宋体" w:eastAsia="宋体" w:cs="宋体"/>
        </w:rPr>
        <w:t>号）要求。</w:t>
      </w:r>
    </w:p>
    <w:p>
      <w:pPr>
        <w:spacing w:after="0" w:line="306" w:lineRule="exact"/>
        <w:sectPr>
          <w:footerReference r:id="rId4" w:type="default"/>
          <w:pgSz w:w="11910" w:h="16840"/>
          <w:pgMar w:top="1360" w:right="1160" w:bottom="1180" w:left="1180" w:header="0" w:footer="991" w:gutter="0"/>
          <w:pgBorders>
            <w:top w:val="none" w:sz="0" w:space="0"/>
            <w:left w:val="none" w:sz="0" w:space="0"/>
            <w:bottom w:val="none" w:sz="0" w:space="0"/>
            <w:right w:val="none" w:sz="0" w:space="0"/>
          </w:pgBorders>
          <w:pgNumType w:fmt="decimal"/>
        </w:sectPr>
      </w:pPr>
    </w:p>
    <w:p>
      <w:pPr>
        <w:pStyle w:val="3"/>
        <w:numPr>
          <w:ilvl w:val="0"/>
          <w:numId w:val="3"/>
        </w:numPr>
        <w:tabs>
          <w:tab w:val="left" w:pos="978"/>
        </w:tabs>
        <w:spacing w:before="83" w:after="0" w:line="240" w:lineRule="auto"/>
        <w:ind w:left="977" w:right="0" w:hanging="361"/>
        <w:jc w:val="both"/>
        <w:rPr>
          <w:rFonts w:hint="eastAsia" w:ascii="宋体" w:hAnsi="宋体" w:eastAsia="宋体" w:cs="宋体"/>
        </w:rPr>
      </w:pPr>
      <w:bookmarkStart w:id="45" w:name="_bookmark9"/>
      <w:bookmarkEnd w:id="45"/>
      <w:bookmarkStart w:id="46" w:name="_bookmark9"/>
      <w:bookmarkEnd w:id="46"/>
      <w:bookmarkStart w:id="47" w:name="2工程调查"/>
      <w:bookmarkEnd w:id="47"/>
      <w:r>
        <w:rPr>
          <w:rFonts w:hint="eastAsia" w:ascii="宋体" w:hAnsi="宋体" w:eastAsia="宋体" w:cs="宋体"/>
        </w:rPr>
        <w:t>工程调查</w:t>
      </w:r>
    </w:p>
    <w:p>
      <w:pPr>
        <w:pStyle w:val="4"/>
        <w:numPr>
          <w:ilvl w:val="1"/>
          <w:numId w:val="3"/>
        </w:numPr>
        <w:tabs>
          <w:tab w:val="left" w:pos="1220"/>
        </w:tabs>
        <w:spacing w:before="0" w:after="0" w:line="240" w:lineRule="auto"/>
        <w:ind w:left="1220" w:right="0" w:hanging="603"/>
        <w:jc w:val="left"/>
        <w:rPr>
          <w:rFonts w:hint="eastAsia" w:ascii="宋体" w:hAnsi="宋体" w:eastAsia="宋体" w:cs="宋体"/>
        </w:rPr>
      </w:pPr>
      <w:bookmarkStart w:id="48" w:name="2.1工程立项、设计与审批"/>
      <w:bookmarkEnd w:id="48"/>
      <w:bookmarkStart w:id="49" w:name="_bookmark10"/>
      <w:bookmarkEnd w:id="49"/>
      <w:bookmarkStart w:id="50" w:name="_bookmark10"/>
      <w:bookmarkEnd w:id="50"/>
      <w:r>
        <w:rPr>
          <w:rFonts w:hint="eastAsia" w:ascii="宋体" w:hAnsi="宋体" w:eastAsia="宋体" w:cs="宋体"/>
        </w:rPr>
        <w:t>工程立项、设计与审批</w:t>
      </w:r>
    </w:p>
    <w:p>
      <w:pPr>
        <w:pStyle w:val="20"/>
        <w:numPr>
          <w:ilvl w:val="2"/>
          <w:numId w:val="3"/>
        </w:numPr>
        <w:tabs>
          <w:tab w:val="left" w:pos="1316"/>
        </w:tabs>
        <w:spacing w:before="244" w:after="0" w:line="240" w:lineRule="auto"/>
        <w:ind w:left="1316" w:right="0" w:hanging="699"/>
        <w:jc w:val="left"/>
        <w:rPr>
          <w:rFonts w:hint="eastAsia" w:ascii="宋体" w:hAnsi="宋体" w:eastAsia="宋体" w:cs="宋体"/>
          <w:b/>
          <w:sz w:val="28"/>
        </w:rPr>
      </w:pPr>
      <w:bookmarkStart w:id="51" w:name="2.1.1工程审批"/>
      <w:bookmarkEnd w:id="51"/>
      <w:bookmarkStart w:id="52" w:name="2.1.1工程审批"/>
      <w:bookmarkEnd w:id="52"/>
      <w:r>
        <w:rPr>
          <w:rFonts w:hint="eastAsia" w:ascii="宋体" w:hAnsi="宋体" w:eastAsia="宋体" w:cs="宋体"/>
          <w:b/>
          <w:sz w:val="28"/>
        </w:rPr>
        <w:t>工程审批</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rPr>
        <w:t>建设单位于</w:t>
      </w:r>
      <w:r>
        <w:rPr>
          <w:rFonts w:hint="eastAsia" w:ascii="Times New Roman" w:hAnsi="Times New Roman" w:eastAsia="宋体" w:cs="Times New Roman"/>
          <w:spacing w:val="-5"/>
          <w:sz w:val="24"/>
          <w:szCs w:val="24"/>
        </w:rPr>
        <w:t xml:space="preserve"> 20</w:t>
      </w:r>
      <w:r>
        <w:rPr>
          <w:rFonts w:hint="eastAsia" w:ascii="Times New Roman" w:hAnsi="Times New Roman" w:eastAsia="宋体" w:cs="Times New Roman"/>
          <w:spacing w:val="-5"/>
          <w:sz w:val="24"/>
          <w:szCs w:val="24"/>
          <w:lang w:val="en-US" w:eastAsia="zh-CN"/>
        </w:rPr>
        <w:t>20</w:t>
      </w:r>
      <w:r>
        <w:rPr>
          <w:rFonts w:hint="eastAsia" w:ascii="宋体" w:hAnsi="宋体" w:eastAsia="宋体" w:cs="宋体"/>
          <w:sz w:val="24"/>
          <w:szCs w:val="24"/>
        </w:rPr>
        <w:t>年</w:t>
      </w:r>
      <w:r>
        <w:rPr>
          <w:rFonts w:hint="eastAsia" w:ascii="Times New Roman" w:hAnsi="Times New Roman" w:eastAsia="宋体" w:cs="Times New Roman"/>
          <w:spacing w:val="-5"/>
          <w:sz w:val="24"/>
          <w:szCs w:val="24"/>
          <w:lang w:val="en-US" w:eastAsia="zh-CN"/>
        </w:rPr>
        <w:t>06</w:t>
      </w:r>
      <w:r>
        <w:rPr>
          <w:rFonts w:hint="eastAsia" w:ascii="宋体" w:hAnsi="宋体" w:eastAsia="宋体" w:cs="宋体"/>
          <w:sz w:val="24"/>
          <w:szCs w:val="24"/>
        </w:rPr>
        <w:t>月委托</w:t>
      </w:r>
      <w:r>
        <w:rPr>
          <w:rFonts w:hint="eastAsia" w:ascii="宋体" w:hAnsi="宋体" w:eastAsia="宋体" w:cs="宋体"/>
          <w:sz w:val="24"/>
          <w:szCs w:val="24"/>
          <w:lang w:eastAsia="zh-CN"/>
        </w:rPr>
        <w:t>赣州市辉昂环保科技有限公司</w:t>
      </w:r>
      <w:r>
        <w:rPr>
          <w:rFonts w:hint="eastAsia" w:ascii="宋体" w:hAnsi="宋体" w:eastAsia="宋体" w:cs="宋体"/>
          <w:sz w:val="24"/>
          <w:szCs w:val="24"/>
        </w:rPr>
        <w:t>编制完成</w:t>
      </w:r>
      <w:r>
        <w:rPr>
          <w:rFonts w:hint="eastAsia" w:ascii="宋体" w:hAnsi="宋体" w:eastAsia="宋体" w:cs="宋体"/>
          <w:spacing w:val="-8"/>
          <w:sz w:val="24"/>
          <w:szCs w:val="24"/>
        </w:rPr>
        <w:t>《崇义县上堡人形水电站</w:t>
      </w:r>
      <w:r>
        <w:rPr>
          <w:rFonts w:hint="eastAsia" w:ascii="宋体" w:hAnsi="宋体" w:eastAsia="宋体" w:cs="宋体"/>
          <w:spacing w:val="-8"/>
          <w:sz w:val="24"/>
          <w:szCs w:val="24"/>
          <w:lang w:eastAsia="zh-CN"/>
        </w:rPr>
        <w:t>工程</w:t>
      </w:r>
      <w:r>
        <w:rPr>
          <w:rFonts w:hint="eastAsia" w:ascii="宋体" w:hAnsi="宋体" w:eastAsia="宋体" w:cs="宋体"/>
          <w:spacing w:val="-8"/>
          <w:sz w:val="24"/>
          <w:szCs w:val="24"/>
        </w:rPr>
        <w:t>项目环境影响评价报告书》，</w:t>
      </w:r>
      <w:r>
        <w:rPr>
          <w:rFonts w:hint="eastAsia" w:ascii="宋体" w:hAnsi="宋体" w:eastAsia="宋体" w:cs="宋体"/>
          <w:spacing w:val="-8"/>
          <w:sz w:val="24"/>
          <w:szCs w:val="24"/>
          <w:highlight w:val="none"/>
        </w:rPr>
        <w:t>并于</w:t>
      </w:r>
      <w:r>
        <w:rPr>
          <w:rFonts w:hint="eastAsia" w:ascii="Times New Roman" w:hAnsi="Times New Roman" w:eastAsia="宋体" w:cs="Times New Roman"/>
          <w:spacing w:val="-5"/>
          <w:sz w:val="24"/>
          <w:szCs w:val="24"/>
          <w:highlight w:val="none"/>
        </w:rPr>
        <w:t xml:space="preserve"> 20</w:t>
      </w:r>
      <w:r>
        <w:rPr>
          <w:rFonts w:hint="eastAsia" w:ascii="Times New Roman" w:hAnsi="Times New Roman" w:eastAsia="宋体" w:cs="Times New Roman"/>
          <w:spacing w:val="-5"/>
          <w:sz w:val="24"/>
          <w:szCs w:val="24"/>
          <w:highlight w:val="none"/>
          <w:lang w:val="en-US" w:eastAsia="zh-CN"/>
        </w:rPr>
        <w:t>20</w:t>
      </w:r>
      <w:r>
        <w:rPr>
          <w:rFonts w:hint="eastAsia" w:ascii="Times New Roman" w:hAnsi="Times New Roman" w:eastAsia="宋体" w:cs="Times New Roman"/>
          <w:sz w:val="24"/>
          <w:szCs w:val="24"/>
          <w:highlight w:val="none"/>
        </w:rPr>
        <w:t xml:space="preserve"> </w:t>
      </w:r>
      <w:r>
        <w:rPr>
          <w:rFonts w:hint="eastAsia" w:ascii="宋体" w:hAnsi="宋体" w:eastAsia="宋体" w:cs="宋体"/>
          <w:spacing w:val="-30"/>
          <w:sz w:val="24"/>
          <w:szCs w:val="24"/>
          <w:highlight w:val="none"/>
        </w:rPr>
        <w:t>年</w:t>
      </w:r>
      <w:r>
        <w:rPr>
          <w:rFonts w:hint="eastAsia" w:ascii="Times New Roman" w:hAnsi="Times New Roman" w:eastAsia="宋体" w:cs="Times New Roman"/>
          <w:spacing w:val="-5"/>
          <w:sz w:val="24"/>
          <w:szCs w:val="24"/>
          <w:highlight w:val="none"/>
          <w:lang w:val="en-US" w:eastAsia="zh-CN"/>
        </w:rPr>
        <w:t>08</w:t>
      </w:r>
      <w:r>
        <w:rPr>
          <w:rFonts w:hint="eastAsia" w:ascii="宋体" w:hAnsi="宋体" w:eastAsia="宋体" w:cs="宋体"/>
          <w:spacing w:val="-30"/>
          <w:sz w:val="24"/>
          <w:szCs w:val="24"/>
          <w:highlight w:val="none"/>
        </w:rPr>
        <w:t>月</w:t>
      </w:r>
      <w:r>
        <w:rPr>
          <w:rFonts w:hint="eastAsia" w:ascii="Times New Roman" w:hAnsi="Times New Roman" w:eastAsia="宋体" w:cs="Times New Roman"/>
          <w:spacing w:val="-5"/>
          <w:sz w:val="24"/>
          <w:szCs w:val="24"/>
          <w:highlight w:val="none"/>
          <w:lang w:val="en-US" w:eastAsia="zh-CN"/>
        </w:rPr>
        <w:t>31</w:t>
      </w:r>
      <w:r>
        <w:rPr>
          <w:rFonts w:hint="eastAsia" w:ascii="宋体" w:hAnsi="宋体" w:eastAsia="宋体" w:cs="宋体"/>
          <w:spacing w:val="-3"/>
          <w:sz w:val="24"/>
          <w:szCs w:val="24"/>
          <w:highlight w:val="none"/>
        </w:rPr>
        <w:t>日取得</w:t>
      </w:r>
      <w:r>
        <w:rPr>
          <w:rFonts w:hint="eastAsia" w:ascii="宋体" w:hAnsi="宋体" w:eastAsia="宋体" w:cs="宋体"/>
          <w:spacing w:val="-3"/>
          <w:sz w:val="24"/>
          <w:szCs w:val="24"/>
          <w:highlight w:val="none"/>
          <w:lang w:eastAsia="zh-CN"/>
        </w:rPr>
        <w:t>上饶市生态环境</w:t>
      </w:r>
      <w:r>
        <w:rPr>
          <w:rFonts w:hint="eastAsia" w:ascii="宋体" w:hAnsi="宋体" w:eastAsia="宋体" w:cs="宋体"/>
          <w:spacing w:val="-9"/>
          <w:sz w:val="24"/>
          <w:szCs w:val="24"/>
          <w:highlight w:val="none"/>
        </w:rPr>
        <w:t>局，《</w:t>
      </w:r>
      <w:r>
        <w:rPr>
          <w:rFonts w:hint="eastAsia" w:ascii="宋体" w:hAnsi="宋体" w:eastAsia="宋体" w:cs="宋体"/>
          <w:sz w:val="24"/>
          <w:highlight w:val="none"/>
        </w:rPr>
        <w:t>关于</w:t>
      </w:r>
      <w:r>
        <w:rPr>
          <w:rFonts w:hint="eastAsia" w:ascii="Times New Roman" w:hAnsi="Times New Roman" w:eastAsia="宋体" w:cs="Times New Roman"/>
          <w:caps w:val="0"/>
          <w:smallCaps w:val="0"/>
          <w:snapToGrid/>
          <w:spacing w:val="0"/>
          <w:w w:val="100"/>
          <w:kern w:val="2"/>
          <w:position w:val="0"/>
          <w:sz w:val="24"/>
          <w:szCs w:val="22"/>
          <w:highlight w:val="none"/>
          <w:lang w:val="en-US" w:eastAsia="zh-CN"/>
        </w:rPr>
        <w:t>崇义县上堡人形水电站工程</w:t>
      </w:r>
      <w:r>
        <w:rPr>
          <w:rFonts w:hint="eastAsia" w:ascii="宋体" w:hAnsi="宋体" w:eastAsia="宋体" w:cs="宋体"/>
          <w:sz w:val="24"/>
          <w:highlight w:val="none"/>
          <w:lang w:eastAsia="zh-CN"/>
        </w:rPr>
        <w:t>项目</w:t>
      </w:r>
      <w:r>
        <w:rPr>
          <w:rFonts w:hint="eastAsia" w:ascii="宋体" w:hAnsi="宋体" w:eastAsia="宋体" w:cs="宋体"/>
          <w:sz w:val="24"/>
          <w:highlight w:val="none"/>
        </w:rPr>
        <w:t>环境影响报告书的</w:t>
      </w:r>
      <w:r>
        <w:rPr>
          <w:rFonts w:hint="eastAsia" w:ascii="宋体" w:hAnsi="宋体" w:eastAsia="宋体" w:cs="宋体"/>
          <w:sz w:val="24"/>
          <w:highlight w:val="none"/>
          <w:lang w:eastAsia="zh-CN"/>
        </w:rPr>
        <w:t>批复</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w:t>
      </w:r>
      <w:r>
        <w:rPr>
          <w:rFonts w:hint="eastAsia" w:ascii="宋体" w:hAnsi="宋体" w:eastAsia="宋体" w:cs="宋体"/>
          <w:sz w:val="24"/>
          <w:highlight w:val="none"/>
          <w:lang w:eastAsia="zh-CN"/>
        </w:rPr>
        <w:t>崇环审字[2020]74号</w:t>
      </w:r>
      <w:r>
        <w:rPr>
          <w:rFonts w:hint="eastAsia" w:ascii="宋体" w:hAnsi="宋体" w:eastAsia="宋体" w:cs="宋体"/>
          <w:sz w:val="24"/>
          <w:szCs w:val="24"/>
          <w:highlight w:val="none"/>
        </w:rPr>
        <w:t>）。</w:t>
      </w:r>
    </w:p>
    <w:p>
      <w:pPr>
        <w:pStyle w:val="20"/>
        <w:numPr>
          <w:ilvl w:val="2"/>
          <w:numId w:val="3"/>
        </w:numPr>
        <w:tabs>
          <w:tab w:val="left" w:pos="1316"/>
        </w:tabs>
        <w:spacing w:before="120" w:after="0" w:line="240" w:lineRule="auto"/>
        <w:ind w:left="1316" w:right="0" w:hanging="699"/>
        <w:jc w:val="left"/>
        <w:rPr>
          <w:rFonts w:hint="eastAsia" w:ascii="宋体" w:hAnsi="宋体" w:eastAsia="宋体" w:cs="宋体"/>
          <w:b/>
          <w:sz w:val="28"/>
        </w:rPr>
      </w:pPr>
      <w:bookmarkStart w:id="53" w:name="2.1.2工程建设进度"/>
      <w:bookmarkEnd w:id="53"/>
      <w:bookmarkStart w:id="54" w:name="2.1.2工程建设进度"/>
      <w:bookmarkEnd w:id="54"/>
      <w:r>
        <w:rPr>
          <w:rFonts w:hint="eastAsia" w:ascii="宋体" w:hAnsi="宋体" w:eastAsia="宋体" w:cs="宋体"/>
          <w:b/>
          <w:sz w:val="28"/>
        </w:rPr>
        <w:t>工程建设进度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default" w:ascii="Times New Roman" w:hAnsi="Times New Roman" w:eastAsia="宋体" w:cs="Times New Roman"/>
          <w:snapToGrid w:val="0"/>
          <w:color w:val="auto"/>
          <w:sz w:val="24"/>
          <w:lang w:val="en-US" w:eastAsia="zh-CN"/>
        </w:rPr>
        <w:t>崇义县上堡人形水电站始建于2005年8月，2006年9月基本建成并发挥效益，是单一发电的无调节径流式电站，建成投入运行已超过10年之久；电站初始装机容量为500kw（2台×250kw），之后未做增效扩容</w:t>
      </w:r>
      <w:r>
        <w:rPr>
          <w:rFonts w:hint="eastAsia" w:ascii="宋体" w:hAnsi="宋体" w:eastAsia="宋体" w:cs="宋体"/>
          <w:spacing w:val="-8"/>
          <w:sz w:val="24"/>
          <w:szCs w:val="24"/>
        </w:rPr>
        <w:t>。</w:t>
      </w:r>
    </w:p>
    <w:p>
      <w:pPr>
        <w:pStyle w:val="4"/>
        <w:numPr>
          <w:ilvl w:val="1"/>
          <w:numId w:val="3"/>
        </w:numPr>
        <w:tabs>
          <w:tab w:val="left" w:pos="1220"/>
        </w:tabs>
        <w:spacing w:before="44" w:after="0" w:line="240" w:lineRule="auto"/>
        <w:ind w:left="1220" w:right="0" w:hanging="603"/>
        <w:jc w:val="left"/>
        <w:rPr>
          <w:rFonts w:hint="eastAsia" w:ascii="宋体" w:hAnsi="宋体" w:eastAsia="宋体" w:cs="宋体"/>
        </w:rPr>
      </w:pPr>
      <w:bookmarkStart w:id="55" w:name="2.2工程概况"/>
      <w:bookmarkEnd w:id="55"/>
      <w:bookmarkStart w:id="56" w:name="_bookmark11"/>
      <w:bookmarkEnd w:id="56"/>
      <w:bookmarkStart w:id="57" w:name="_bookmark11"/>
      <w:bookmarkEnd w:id="57"/>
      <w:r>
        <w:rPr>
          <w:rFonts w:hint="eastAsia" w:ascii="宋体" w:hAnsi="宋体" w:eastAsia="宋体" w:cs="宋体"/>
          <w:w w:val="95"/>
        </w:rPr>
        <w:t>工程概况</w:t>
      </w:r>
    </w:p>
    <w:p>
      <w:pPr>
        <w:pStyle w:val="20"/>
        <w:numPr>
          <w:ilvl w:val="2"/>
          <w:numId w:val="3"/>
        </w:numPr>
        <w:tabs>
          <w:tab w:val="left" w:pos="1316"/>
        </w:tabs>
        <w:spacing w:before="245" w:after="0" w:line="240" w:lineRule="auto"/>
        <w:ind w:left="1316" w:right="0" w:hanging="699"/>
        <w:jc w:val="left"/>
        <w:rPr>
          <w:rFonts w:hint="eastAsia" w:ascii="宋体" w:hAnsi="宋体" w:eastAsia="宋体" w:cs="宋体"/>
          <w:b/>
          <w:sz w:val="28"/>
        </w:rPr>
      </w:pPr>
      <w:bookmarkStart w:id="58" w:name="2.2.1地理位置"/>
      <w:bookmarkEnd w:id="58"/>
      <w:bookmarkStart w:id="59" w:name="2.2.1地理位置"/>
      <w:bookmarkEnd w:id="59"/>
      <w:r>
        <w:rPr>
          <w:rFonts w:hint="eastAsia" w:ascii="宋体" w:hAnsi="宋体" w:eastAsia="宋体" w:cs="宋体"/>
          <w:b/>
          <w:spacing w:val="-1"/>
          <w:w w:val="95"/>
          <w:sz w:val="28"/>
        </w:rPr>
        <w:t>地理位置</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eastAsia" w:ascii="宋体" w:hAnsi="宋体" w:eastAsia="宋体" w:cs="宋体"/>
        </w:rPr>
      </w:pPr>
      <w:r>
        <w:rPr>
          <w:rFonts w:hint="default" w:ascii="宋体" w:hAnsi="宋体" w:eastAsia="宋体" w:cs="宋体"/>
          <w:lang w:eastAsia="zh-CN"/>
        </w:rPr>
        <w:t>本项目位于江西省赣州市崇义县上堡乡正井村。距崇义县城约</w:t>
      </w: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5km，</w:t>
      </w:r>
      <w:r>
        <w:rPr>
          <w:rFonts w:hint="default" w:ascii="宋体" w:hAnsi="宋体" w:eastAsia="宋体" w:cs="宋体"/>
          <w:lang w:eastAsia="zh-CN"/>
        </w:rPr>
        <w:t>均源河</w:t>
      </w:r>
      <w:r>
        <w:rPr>
          <w:rFonts w:hint="default" w:ascii="宋体" w:hAnsi="宋体" w:eastAsia="宋体" w:cs="宋体"/>
          <w:lang w:val="en-US" w:eastAsia="zh-CN"/>
        </w:rPr>
        <w:t>属古亭水二级支流上堡河一级支流，拦河</w:t>
      </w:r>
      <w:r>
        <w:rPr>
          <w:rFonts w:hint="default" w:ascii="宋体" w:hAnsi="宋体" w:eastAsia="宋体" w:cs="宋体"/>
          <w:lang w:eastAsia="zh-CN"/>
        </w:rPr>
        <w:t>坝中心地理位置坐标为东经</w:t>
      </w:r>
      <w:r>
        <w:rPr>
          <w:rFonts w:hint="default" w:ascii="Times New Roman" w:hAnsi="Times New Roman" w:eastAsia="宋体" w:cs="Times New Roman"/>
          <w:snapToGrid w:val="0"/>
          <w:color w:val="auto"/>
          <w:sz w:val="24"/>
          <w:szCs w:val="24"/>
          <w:highlight w:val="none"/>
          <w:u w:val="none"/>
          <w:lang w:eastAsia="zh-CN"/>
        </w:rPr>
        <w:t>113°57'</w:t>
      </w:r>
      <w:r>
        <w:rPr>
          <w:rFonts w:hint="default" w:ascii="Times New Roman" w:hAnsi="Times New Roman" w:eastAsia="宋体" w:cs="Times New Roman"/>
          <w:snapToGrid w:val="0"/>
          <w:color w:val="auto"/>
          <w:sz w:val="24"/>
          <w:szCs w:val="24"/>
          <w:highlight w:val="none"/>
          <w:u w:val="none"/>
          <w:lang w:val="en-US" w:eastAsia="zh-CN"/>
        </w:rPr>
        <w:t>06.48</w:t>
      </w:r>
      <w:r>
        <w:rPr>
          <w:rFonts w:hint="default" w:ascii="Times New Roman" w:hAnsi="Times New Roman" w:eastAsia="宋体" w:cs="Times New Roman"/>
          <w:snapToGrid w:val="0"/>
          <w:color w:val="auto"/>
          <w:sz w:val="24"/>
          <w:szCs w:val="24"/>
          <w:highlight w:val="none"/>
          <w:u w:val="none"/>
          <w:lang w:eastAsia="zh-CN"/>
        </w:rPr>
        <w:t>"，北纬25°43'</w:t>
      </w:r>
      <w:r>
        <w:rPr>
          <w:rFonts w:hint="default" w:ascii="Times New Roman" w:hAnsi="Times New Roman" w:eastAsia="宋体" w:cs="Times New Roman"/>
          <w:snapToGrid w:val="0"/>
          <w:color w:val="auto"/>
          <w:sz w:val="24"/>
          <w:szCs w:val="24"/>
          <w:highlight w:val="none"/>
          <w:u w:val="none"/>
          <w:lang w:val="en-US" w:eastAsia="zh-CN"/>
        </w:rPr>
        <w:t>09.69</w:t>
      </w:r>
      <w:r>
        <w:rPr>
          <w:rFonts w:hint="default" w:ascii="Times New Roman" w:hAnsi="Times New Roman" w:eastAsia="宋体" w:cs="Times New Roman"/>
          <w:snapToGrid w:val="0"/>
          <w:color w:val="auto"/>
          <w:sz w:val="24"/>
          <w:szCs w:val="24"/>
          <w:highlight w:val="none"/>
          <w:u w:val="none"/>
          <w:lang w:eastAsia="zh-CN"/>
        </w:rPr>
        <w:t>"，</w:t>
      </w:r>
      <w:r>
        <w:rPr>
          <w:rFonts w:hint="default" w:ascii="宋体" w:hAnsi="宋体" w:eastAsia="宋体" w:cs="宋体"/>
          <w:lang w:eastAsia="zh-CN"/>
        </w:rPr>
        <w:t>电站厂房中心地理位置坐标为东经</w:t>
      </w:r>
      <w:r>
        <w:rPr>
          <w:rFonts w:hint="default" w:ascii="Times New Roman" w:hAnsi="Times New Roman" w:eastAsia="宋体" w:cs="Times New Roman"/>
          <w:snapToGrid w:val="0"/>
          <w:color w:val="auto"/>
          <w:sz w:val="24"/>
          <w:szCs w:val="24"/>
          <w:highlight w:val="none"/>
          <w:u w:val="none"/>
          <w:lang w:eastAsia="zh-CN"/>
        </w:rPr>
        <w:t>113°57'48.02"，北纬25°43'58.01"</w:t>
      </w:r>
      <w:r>
        <w:rPr>
          <w:rFonts w:hint="eastAsia" w:ascii="宋体" w:hAnsi="宋体" w:eastAsia="宋体" w:cs="宋体"/>
        </w:rPr>
        <w:t>。工程地理位置见附图1。</w:t>
      </w:r>
    </w:p>
    <w:p>
      <w:pPr>
        <w:pStyle w:val="20"/>
        <w:numPr>
          <w:ilvl w:val="2"/>
          <w:numId w:val="3"/>
        </w:numPr>
        <w:tabs>
          <w:tab w:val="left" w:pos="1316"/>
        </w:tabs>
        <w:spacing w:before="120" w:after="0" w:line="240" w:lineRule="auto"/>
        <w:ind w:left="1316" w:right="0" w:hanging="699"/>
        <w:jc w:val="left"/>
        <w:rPr>
          <w:rFonts w:hint="eastAsia" w:ascii="宋体" w:hAnsi="宋体" w:eastAsia="宋体" w:cs="宋体"/>
          <w:b/>
          <w:sz w:val="28"/>
        </w:rPr>
      </w:pPr>
      <w:bookmarkStart w:id="60" w:name="2.2.2工程开发任务、规模"/>
      <w:bookmarkEnd w:id="60"/>
      <w:bookmarkStart w:id="61" w:name="2.2.2工程开发任务、规模"/>
      <w:bookmarkEnd w:id="61"/>
      <w:r>
        <w:rPr>
          <w:rFonts w:hint="eastAsia" w:ascii="宋体" w:hAnsi="宋体" w:eastAsia="宋体" w:cs="宋体"/>
          <w:b/>
          <w:sz w:val="28"/>
        </w:rPr>
        <w:t>工程开发规模</w:t>
      </w:r>
    </w:p>
    <w:p>
      <w:pPr>
        <w:pStyle w:val="7"/>
        <w:pageBreakBefore w:val="0"/>
        <w:tabs>
          <w:tab w:val="left" w:pos="9460"/>
        </w:tabs>
        <w:kinsoku/>
        <w:wordWrap/>
        <w:overflowPunct/>
        <w:topLinePunct w:val="0"/>
        <w:autoSpaceDE/>
        <w:autoSpaceDN/>
        <w:bidi w:val="0"/>
        <w:adjustRightInd/>
        <w:snapToGrid/>
        <w:spacing w:line="360" w:lineRule="auto"/>
        <w:ind w:firstLine="420" w:firstLineChars="200"/>
        <w:jc w:val="both"/>
        <w:rPr>
          <w:rFonts w:hint="eastAsia" w:ascii="宋体" w:hAnsi="宋体" w:eastAsia="宋体" w:cs="宋体"/>
          <w:color w:val="auto"/>
          <w:spacing w:val="0"/>
          <w:w w:val="100"/>
          <w:kern w:val="0"/>
          <w:position w:val="0"/>
        </w:rPr>
      </w:pPr>
      <w:r>
        <w:rPr>
          <w:rFonts w:hint="eastAsia" w:ascii="宋体" w:hAnsi="宋体" w:eastAsia="宋体" w:cs="宋体"/>
          <w:spacing w:val="-15"/>
        </w:rPr>
        <w:t>坝址处多年平均</w:t>
      </w:r>
      <w:r>
        <w:rPr>
          <w:rFonts w:hint="eastAsia" w:ascii="宋体" w:hAnsi="宋体" w:eastAsia="宋体" w:cs="宋体"/>
          <w:spacing w:val="-15"/>
          <w:lang w:val="en-US" w:eastAsia="zh-CN"/>
        </w:rPr>
        <w:t>径</w:t>
      </w:r>
      <w:r>
        <w:rPr>
          <w:rFonts w:hint="eastAsia" w:ascii="宋体" w:hAnsi="宋体" w:eastAsia="宋体" w:cs="宋体"/>
          <w:spacing w:val="-15"/>
        </w:rPr>
        <w:t>流量为</w:t>
      </w:r>
      <w:r>
        <w:rPr>
          <w:rFonts w:hint="default" w:ascii="Times New Roman" w:hAnsi="Times New Roman" w:eastAsia="宋体" w:cs="Times New Roman"/>
          <w:spacing w:val="-15"/>
          <w:lang w:val="en-US" w:eastAsia="zh-CN"/>
        </w:rPr>
        <w:t>0.34</w:t>
      </w:r>
      <w:r>
        <w:rPr>
          <w:rFonts w:hint="default" w:ascii="Times New Roman" w:hAnsi="Times New Roman" w:eastAsia="宋体" w:cs="Times New Roman"/>
          <w:spacing w:val="-15"/>
        </w:rPr>
        <w:t>m</w:t>
      </w:r>
      <w:r>
        <w:rPr>
          <w:rFonts w:hint="default" w:ascii="Times New Roman" w:hAnsi="Times New Roman" w:eastAsia="宋体" w:cs="Times New Roman"/>
          <w:spacing w:val="-15"/>
          <w:vertAlign w:val="superscript"/>
        </w:rPr>
        <w:t>3</w:t>
      </w:r>
      <w:r>
        <w:rPr>
          <w:rFonts w:hint="default" w:ascii="Times New Roman" w:hAnsi="Times New Roman" w:eastAsia="宋体" w:cs="Times New Roman"/>
          <w:spacing w:val="-15"/>
        </w:rPr>
        <w:t>/s</w:t>
      </w:r>
      <w:r>
        <w:rPr>
          <w:rFonts w:hint="eastAsia" w:ascii="宋体" w:hAnsi="宋体" w:eastAsia="宋体" w:cs="宋体"/>
          <w:spacing w:val="-15"/>
        </w:rPr>
        <w:t>，坝址以上集雨面积</w:t>
      </w:r>
      <w:r>
        <w:rPr>
          <w:rFonts w:hint="default" w:ascii="Times New Roman" w:hAnsi="Times New Roman" w:eastAsia="宋体" w:cs="Times New Roman"/>
          <w:spacing w:val="-15"/>
          <w:lang w:val="en-US" w:eastAsia="zh-CN"/>
        </w:rPr>
        <w:t>7.1</w:t>
      </w:r>
      <w:r>
        <w:rPr>
          <w:rFonts w:hint="default" w:ascii="Times New Roman" w:hAnsi="Times New Roman" w:eastAsia="宋体" w:cs="Times New Roman"/>
          <w:spacing w:val="-15"/>
          <w:lang w:val="en-US"/>
        </w:rPr>
        <w:t>km</w:t>
      </w:r>
      <w:r>
        <w:rPr>
          <w:rFonts w:hint="default" w:ascii="Times New Roman" w:hAnsi="Times New Roman" w:eastAsia="宋体" w:cs="Times New Roman"/>
          <w:spacing w:val="-15"/>
          <w:vertAlign w:val="superscript"/>
          <w:lang w:val="en-US"/>
        </w:rPr>
        <w:t>2</w:t>
      </w:r>
      <w:r>
        <w:rPr>
          <w:rFonts w:hint="eastAsia" w:ascii="宋体" w:hAnsi="宋体" w:eastAsia="宋体" w:cs="宋体"/>
          <w:spacing w:val="-15"/>
          <w:lang w:val="en-US" w:eastAsia="zh-CN"/>
        </w:rPr>
        <w:t>，</w:t>
      </w:r>
      <w:r>
        <w:rPr>
          <w:rFonts w:hint="eastAsia" w:ascii="宋体" w:hAnsi="宋体" w:eastAsia="宋体" w:cs="宋体"/>
          <w:spacing w:val="-15"/>
        </w:rPr>
        <w:t>多年平均年径流量为</w:t>
      </w:r>
      <w:r>
        <w:rPr>
          <w:rFonts w:hint="default" w:ascii="Times New Roman" w:hAnsi="Times New Roman" w:eastAsia="宋体" w:cs="Times New Roman"/>
          <w:spacing w:val="-15"/>
          <w:lang w:val="en-US" w:eastAsia="zh-CN"/>
        </w:rPr>
        <w:t>1072.22</w:t>
      </w:r>
      <w:r>
        <w:rPr>
          <w:rFonts w:hint="eastAsia" w:ascii="宋体" w:hAnsi="宋体" w:eastAsia="宋体" w:cs="宋体"/>
          <w:spacing w:val="-15"/>
        </w:rPr>
        <w:t>万</w:t>
      </w:r>
      <w:r>
        <w:rPr>
          <w:rFonts w:hint="default" w:ascii="Times New Roman" w:hAnsi="Times New Roman" w:eastAsia="宋体" w:cs="Times New Roman"/>
          <w:spacing w:val="-15"/>
        </w:rPr>
        <w:t>m</w:t>
      </w:r>
      <w:r>
        <w:rPr>
          <w:rFonts w:hint="default" w:ascii="Times New Roman" w:hAnsi="Times New Roman" w:eastAsia="宋体" w:cs="Times New Roman"/>
          <w:spacing w:val="-15"/>
          <w:vertAlign w:val="superscript"/>
        </w:rPr>
        <w:t>3</w:t>
      </w:r>
      <w:r>
        <w:rPr>
          <w:rFonts w:hint="eastAsia" w:ascii="宋体" w:hAnsi="宋体" w:eastAsia="宋体" w:cs="宋体"/>
          <w:spacing w:val="-15"/>
        </w:rPr>
        <w:t>。设计水头</w:t>
      </w:r>
      <w:r>
        <w:rPr>
          <w:rFonts w:hint="default" w:ascii="Times New Roman" w:hAnsi="Times New Roman" w:eastAsia="宋体" w:cs="Times New Roman"/>
          <w:spacing w:val="-15"/>
          <w:lang w:val="en-US" w:eastAsia="zh-CN"/>
        </w:rPr>
        <w:t>110</w:t>
      </w:r>
      <w:r>
        <w:rPr>
          <w:rFonts w:hint="default" w:ascii="Times New Roman" w:hAnsi="Times New Roman" w:eastAsia="宋体" w:cs="Times New Roman"/>
          <w:spacing w:val="-15"/>
        </w:rPr>
        <w:t>m</w:t>
      </w:r>
      <w:r>
        <w:rPr>
          <w:rFonts w:hint="eastAsia" w:ascii="宋体" w:hAnsi="宋体" w:eastAsia="宋体" w:cs="宋体"/>
          <w:spacing w:val="-15"/>
        </w:rPr>
        <w:t>，电站装机容量</w:t>
      </w:r>
      <w:r>
        <w:rPr>
          <w:rFonts w:hint="eastAsia" w:ascii="Times New Roman" w:hAnsi="Times New Roman" w:eastAsia="宋体" w:cs="Times New Roman"/>
          <w:spacing w:val="-15"/>
          <w:lang w:val="en-US" w:eastAsia="zh-CN"/>
        </w:rPr>
        <w:t>500kw</w:t>
      </w:r>
      <w:r>
        <w:rPr>
          <w:rFonts w:hint="eastAsia" w:ascii="宋体" w:hAnsi="宋体" w:eastAsia="宋体" w:cs="宋体"/>
          <w:spacing w:val="-15"/>
        </w:rPr>
        <w:t>，</w:t>
      </w:r>
      <w:r>
        <w:rPr>
          <w:rFonts w:hint="eastAsia" w:ascii="宋体" w:hAnsi="宋体" w:eastAsia="宋体" w:cs="宋体"/>
          <w:spacing w:val="-15"/>
          <w:lang w:val="en-US" w:eastAsia="zh-CN"/>
        </w:rPr>
        <w:t>年利用小时数为</w:t>
      </w:r>
      <w:r>
        <w:rPr>
          <w:rFonts w:hint="eastAsia" w:ascii="Times New Roman" w:hAnsi="Times New Roman" w:eastAsia="宋体" w:cs="Times New Roman"/>
          <w:spacing w:val="-15"/>
          <w:lang w:val="en-US" w:eastAsia="zh-CN"/>
        </w:rPr>
        <w:t>3240h</w:t>
      </w:r>
      <w:r>
        <w:rPr>
          <w:rFonts w:hint="eastAsia" w:ascii="宋体" w:hAnsi="宋体" w:eastAsia="宋体" w:cs="宋体"/>
          <w:spacing w:val="-15"/>
        </w:rPr>
        <w:t>，多年平均发电量</w:t>
      </w:r>
      <w:r>
        <w:rPr>
          <w:rFonts w:hint="eastAsia" w:ascii="Times New Roman" w:hAnsi="Times New Roman" w:eastAsia="宋体" w:cs="Times New Roman"/>
          <w:spacing w:val="-15"/>
          <w:lang w:val="en-US" w:eastAsia="zh-CN"/>
        </w:rPr>
        <w:t>162</w:t>
      </w:r>
      <w:r>
        <w:rPr>
          <w:rFonts w:hint="eastAsia" w:ascii="宋体" w:hAnsi="宋体" w:eastAsia="宋体" w:cs="宋体"/>
          <w:spacing w:val="-15"/>
        </w:rPr>
        <w:t>万</w:t>
      </w:r>
      <w:r>
        <w:rPr>
          <w:rFonts w:hint="eastAsia" w:ascii="Times New Roman" w:hAnsi="Times New Roman" w:eastAsia="宋体" w:cs="Times New Roman"/>
          <w:spacing w:val="-15"/>
          <w:lang w:val="en-US" w:eastAsia="zh-CN"/>
        </w:rPr>
        <w:t>kW·h</w:t>
      </w:r>
      <w:r>
        <w:rPr>
          <w:rFonts w:hint="eastAsia" w:ascii="宋体" w:hAnsi="宋体" w:eastAsia="宋体" w:cs="宋体"/>
          <w:spacing w:val="-15"/>
        </w:rPr>
        <w:t>，是一座引水式无调节性能以发电为主的小</w:t>
      </w:r>
      <w:r>
        <w:rPr>
          <w:rFonts w:hint="eastAsia" w:ascii="Times New Roman" w:hAnsi="Times New Roman" w:eastAsia="宋体" w:cs="Times New Roman"/>
          <w:spacing w:val="-15"/>
          <w:lang w:val="en-US" w:eastAsia="zh-CN"/>
        </w:rPr>
        <w:t>(2)</w:t>
      </w:r>
      <w:r>
        <w:rPr>
          <w:rFonts w:hint="eastAsia" w:ascii="宋体" w:hAnsi="宋体" w:eastAsia="宋体" w:cs="宋体"/>
          <w:spacing w:val="-15"/>
        </w:rPr>
        <w:t>型水电站，总投资约</w:t>
      </w:r>
      <w:r>
        <w:rPr>
          <w:rFonts w:hint="eastAsia" w:ascii="Times New Roman" w:hAnsi="Times New Roman" w:eastAsia="宋体" w:cs="Times New Roman"/>
          <w:spacing w:val="-15"/>
          <w:lang w:val="en-US" w:eastAsia="zh-CN"/>
        </w:rPr>
        <w:t>252</w:t>
      </w:r>
      <w:r>
        <w:rPr>
          <w:rFonts w:hint="eastAsia" w:ascii="宋体" w:hAnsi="宋体" w:eastAsia="宋体" w:cs="宋体"/>
          <w:spacing w:val="-15"/>
        </w:rPr>
        <w:t>万。</w:t>
      </w:r>
      <w:r>
        <w:rPr>
          <w:rFonts w:hint="eastAsia" w:ascii="宋体" w:hAnsi="宋体" w:eastAsia="宋体" w:cs="宋体"/>
          <w:color w:val="auto"/>
          <w:spacing w:val="0"/>
          <w:w w:val="100"/>
          <w:kern w:val="0"/>
          <w:position w:val="0"/>
        </w:rPr>
        <w:t>本项目的工程特性如下表所示：</w:t>
      </w:r>
    </w:p>
    <w:p>
      <w:pPr>
        <w:rPr>
          <w:rFonts w:hint="eastAsia" w:ascii="宋体" w:hAnsi="宋体" w:eastAsia="宋体" w:cs="宋体"/>
          <w:color w:val="auto"/>
          <w:spacing w:val="0"/>
          <w:w w:val="100"/>
          <w:kern w:val="0"/>
          <w:position w:val="0"/>
        </w:rPr>
      </w:pPr>
      <w:r>
        <w:rPr>
          <w:rFonts w:hint="eastAsia" w:ascii="宋体" w:hAnsi="宋体" w:eastAsia="宋体" w:cs="宋体"/>
          <w:color w:val="auto"/>
          <w:spacing w:val="0"/>
          <w:w w:val="100"/>
          <w:kern w:val="0"/>
          <w:position w:val="0"/>
        </w:rPr>
        <w:br w:type="page"/>
      </w:r>
    </w:p>
    <w:p>
      <w:pPr>
        <w:pageBreakBefore w:val="0"/>
        <w:tabs>
          <w:tab w:val="left" w:pos="2484"/>
          <w:tab w:val="left" w:pos="5648"/>
          <w:tab w:val="left" w:pos="9460"/>
        </w:tabs>
        <w:kinsoku/>
        <w:wordWrap/>
        <w:overflowPunct/>
        <w:topLinePunct w:val="0"/>
        <w:autoSpaceDE/>
        <w:autoSpaceDN/>
        <w:bidi w:val="0"/>
        <w:adjustRightInd/>
        <w:snapToGrid/>
        <w:ind w:right="249" w:rightChars="113"/>
        <w:jc w:val="center"/>
        <w:rPr>
          <w:rFonts w:hint="eastAsia" w:ascii="宋体" w:hAnsi="宋体" w:eastAsia="宋体" w:cs="宋体"/>
          <w:b/>
          <w:color w:val="auto"/>
          <w:spacing w:val="0"/>
          <w:w w:val="100"/>
          <w:kern w:val="0"/>
          <w:position w:val="0"/>
          <w:sz w:val="24"/>
          <w:szCs w:val="24"/>
        </w:rPr>
      </w:pPr>
      <w:r>
        <w:rPr>
          <w:rFonts w:hint="eastAsia" w:ascii="宋体" w:hAnsi="宋体" w:eastAsia="宋体" w:cs="宋体"/>
          <w:b/>
          <w:color w:val="auto"/>
          <w:spacing w:val="0"/>
          <w:w w:val="100"/>
          <w:kern w:val="0"/>
          <w:position w:val="0"/>
          <w:sz w:val="24"/>
          <w:szCs w:val="24"/>
        </w:rPr>
        <w:t>表 2-1  本项目工程特性表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6"/>
        <w:gridCol w:w="3307"/>
        <w:gridCol w:w="1558"/>
        <w:gridCol w:w="1731"/>
        <w:gridCol w:w="11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规模</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color w:val="auto"/>
                <w:sz w:val="21"/>
                <w:szCs w:val="21"/>
              </w:rPr>
              <w:t>一</w:t>
            </w:r>
          </w:p>
        </w:tc>
        <w:tc>
          <w:tcPr>
            <w:tcW w:w="772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水文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流域面积</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上堡河</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rPr>
              <w:t>2</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坝址以上</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rPr>
              <w:t>2</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渠道区间</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rPr>
              <w:t>2</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多年平均降水量</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mm</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1606.8</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多年平均径流深</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mm</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1094.1</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年平均径流量</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万</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1072.22.</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多年平均流量</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bCs w:val="0"/>
                <w:color w:val="auto"/>
                <w:sz w:val="21"/>
                <w:szCs w:val="21"/>
                <w:lang w:eastAsia="zh-CN"/>
              </w:rPr>
              <w:t>二</w:t>
            </w:r>
          </w:p>
        </w:tc>
        <w:tc>
          <w:tcPr>
            <w:tcW w:w="772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发电效益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装机容量</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kW</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保证出力（P=90%）</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多年平均发电量</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万kW·h</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162</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年利用小时数</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3240</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三</w:t>
            </w:r>
          </w:p>
        </w:tc>
        <w:tc>
          <w:tcPr>
            <w:tcW w:w="772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经济指标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252</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单位千瓦投资</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元/kw</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5040</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33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单位电量投资</w:t>
            </w:r>
          </w:p>
        </w:tc>
        <w:tc>
          <w:tcPr>
            <w:tcW w:w="15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元/kw·h</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1.56</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auto"/>
                <w:sz w:val="21"/>
                <w:szCs w:val="21"/>
              </w:rPr>
            </w:pPr>
          </w:p>
        </w:tc>
      </w:tr>
    </w:tbl>
    <w:p>
      <w:pPr>
        <w:pStyle w:val="20"/>
        <w:numPr>
          <w:ilvl w:val="2"/>
          <w:numId w:val="3"/>
        </w:numPr>
        <w:tabs>
          <w:tab w:val="left" w:pos="1316"/>
        </w:tabs>
        <w:spacing w:before="120" w:after="0" w:line="240" w:lineRule="auto"/>
        <w:ind w:left="1316" w:right="0" w:hanging="699"/>
        <w:jc w:val="left"/>
        <w:rPr>
          <w:rFonts w:hint="eastAsia" w:ascii="宋体" w:hAnsi="宋体" w:eastAsia="宋体" w:cs="宋体"/>
          <w:b/>
          <w:sz w:val="28"/>
        </w:rPr>
      </w:pPr>
      <w:bookmarkStart w:id="62" w:name="2.2.3工程布置及主要建筑物"/>
      <w:bookmarkEnd w:id="62"/>
      <w:bookmarkStart w:id="63" w:name="2.2.3工程布置及主要建筑物"/>
      <w:bookmarkEnd w:id="63"/>
      <w:r>
        <w:rPr>
          <w:rFonts w:hint="eastAsia" w:ascii="宋体" w:hAnsi="宋体" w:eastAsia="宋体" w:cs="宋体"/>
          <w:b/>
          <w:sz w:val="28"/>
        </w:rPr>
        <w:t>工程布置及主要建筑物</w:t>
      </w:r>
    </w:p>
    <w:p>
      <w:pPr>
        <w:keepNext w:val="0"/>
        <w:keepLines w:val="0"/>
        <w:pageBreakBefore w:val="0"/>
        <w:widowControl w:val="0"/>
        <w:kinsoku/>
        <w:wordWrap/>
        <w:overflowPunct/>
        <w:topLinePunct w:val="0"/>
        <w:autoSpaceDE/>
        <w:autoSpaceDN/>
        <w:bidi w:val="0"/>
        <w:adjustRightInd/>
        <w:snapToGrid/>
        <w:spacing w:before="0" w:line="360" w:lineRule="auto"/>
        <w:ind w:left="0" w:right="0" w:rightChars="0" w:firstLine="480" w:firstLineChars="200"/>
        <w:jc w:val="left"/>
        <w:textAlignment w:val="auto"/>
        <w:outlineLvl w:val="9"/>
        <w:rPr>
          <w:rFonts w:hint="eastAsia" w:ascii="宋体" w:hAnsi="宋体" w:eastAsia="宋体" w:cs="宋体"/>
          <w:color w:val="auto"/>
          <w:spacing w:val="0"/>
          <w:w w:val="100"/>
          <w:kern w:val="0"/>
          <w:position w:val="0"/>
          <w:sz w:val="24"/>
          <w:szCs w:val="24"/>
        </w:rPr>
      </w:pPr>
      <w:r>
        <w:rPr>
          <w:rFonts w:hint="eastAsia" w:ascii="Times New Roman" w:eastAsia="宋体" w:cs="Times New Roman"/>
          <w:caps w:val="0"/>
          <w:smallCaps w:val="0"/>
          <w:snapToGrid/>
          <w:spacing w:val="0"/>
          <w:w w:val="100"/>
          <w:kern w:val="2"/>
          <w:position w:val="0"/>
          <w:sz w:val="24"/>
          <w:szCs w:val="22"/>
          <w:lang w:val="en-US" w:eastAsia="zh-CN"/>
        </w:rPr>
        <w:t>水</w:t>
      </w:r>
      <w:r>
        <w:rPr>
          <w:rFonts w:hint="default" w:ascii="Times New Roman" w:hAnsi="Times New Roman" w:eastAsia="宋体" w:cs="Times New Roman"/>
          <w:caps w:val="0"/>
          <w:smallCaps w:val="0"/>
          <w:snapToGrid/>
          <w:spacing w:val="0"/>
          <w:w w:val="100"/>
          <w:kern w:val="2"/>
          <w:position w:val="0"/>
          <w:sz w:val="24"/>
          <w:szCs w:val="22"/>
          <w:lang w:val="en-US" w:eastAsia="zh-CN"/>
        </w:rPr>
        <w:t>电站主要由主体工程（挡水泄洪建筑物、厂区建筑物）、辅助工程和环境保护工程等组成</w:t>
      </w:r>
      <w:r>
        <w:rPr>
          <w:rFonts w:hint="eastAsia" w:ascii="宋体" w:hAnsi="宋体" w:eastAsia="宋体" w:cs="宋体"/>
          <w:color w:val="auto"/>
          <w:spacing w:val="0"/>
          <w:w w:val="100"/>
          <w:kern w:val="0"/>
          <w:position w:val="0"/>
          <w:sz w:val="24"/>
          <w:szCs w:val="24"/>
        </w:rPr>
        <w:t>。具体见下表：</w:t>
      </w:r>
    </w:p>
    <w:p>
      <w:pPr>
        <w:keepNext w:val="0"/>
        <w:keepLines w:val="0"/>
        <w:pageBreakBefore w:val="0"/>
        <w:widowControl w:val="0"/>
        <w:tabs>
          <w:tab w:val="left" w:pos="2484"/>
          <w:tab w:val="left" w:pos="5648"/>
          <w:tab w:val="left" w:pos="9460"/>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color w:val="auto"/>
          <w:spacing w:val="0"/>
          <w:w w:val="100"/>
          <w:kern w:val="0"/>
          <w:position w:val="0"/>
          <w:sz w:val="24"/>
          <w:szCs w:val="24"/>
        </w:rPr>
      </w:pPr>
      <w:r>
        <w:rPr>
          <w:rFonts w:hint="eastAsia" w:ascii="宋体" w:hAnsi="宋体" w:eastAsia="宋体" w:cs="宋体"/>
          <w:b/>
          <w:color w:val="auto"/>
          <w:spacing w:val="0"/>
          <w:w w:val="100"/>
          <w:kern w:val="0"/>
          <w:position w:val="0"/>
          <w:sz w:val="24"/>
          <w:szCs w:val="24"/>
        </w:rPr>
        <w:t>表</w:t>
      </w:r>
      <w:r>
        <w:rPr>
          <w:rFonts w:ascii="Times New Roman" w:hAnsi="Times New Roman" w:cs="Times New Roman"/>
          <w:b/>
          <w:color w:val="auto"/>
          <w:spacing w:val="0"/>
          <w:w w:val="100"/>
          <w:kern w:val="0"/>
          <w:position w:val="0"/>
          <w:sz w:val="24"/>
          <w:szCs w:val="24"/>
        </w:rPr>
        <w:t xml:space="preserve"> 2</w:t>
      </w:r>
      <w:r>
        <w:rPr>
          <w:rFonts w:hint="eastAsia" w:ascii="Times New Roman" w:hAnsi="Times New Roman" w:cs="Times New Roman"/>
          <w:b/>
          <w:color w:val="auto"/>
          <w:spacing w:val="0"/>
          <w:w w:val="100"/>
          <w:kern w:val="0"/>
          <w:position w:val="0"/>
          <w:sz w:val="24"/>
          <w:szCs w:val="24"/>
          <w:lang w:val="en-US" w:eastAsia="zh-CN"/>
        </w:rPr>
        <w:t>-2</w:t>
      </w:r>
      <w:r>
        <w:rPr>
          <w:rFonts w:ascii="Times New Roman" w:hAnsi="Times New Roman" w:cs="Times New Roman"/>
          <w:b/>
          <w:color w:val="auto"/>
          <w:spacing w:val="0"/>
          <w:w w:val="100"/>
          <w:kern w:val="0"/>
          <w:position w:val="0"/>
          <w:sz w:val="24"/>
          <w:szCs w:val="24"/>
        </w:rPr>
        <w:t xml:space="preserve">  </w:t>
      </w:r>
      <w:r>
        <w:rPr>
          <w:rFonts w:hint="eastAsia" w:ascii="宋体" w:hAnsi="宋体" w:eastAsia="宋体" w:cs="宋体"/>
          <w:b/>
          <w:color w:val="auto"/>
          <w:spacing w:val="0"/>
          <w:w w:val="100"/>
          <w:kern w:val="0"/>
          <w:position w:val="0"/>
          <w:sz w:val="24"/>
          <w:szCs w:val="24"/>
        </w:rPr>
        <w:t>本项目电站工程项目组成表</w:t>
      </w:r>
    </w:p>
    <w:tbl>
      <w:tblPr>
        <w:tblStyle w:val="16"/>
        <w:tblW w:w="952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6"/>
        <w:gridCol w:w="855"/>
        <w:gridCol w:w="3541"/>
        <w:gridCol w:w="3541"/>
        <w:gridCol w:w="9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pacing w:val="0"/>
                <w:kern w:val="2"/>
                <w:sz w:val="21"/>
                <w:szCs w:val="21"/>
              </w:rPr>
            </w:pPr>
            <w:r>
              <w:rPr>
                <w:rFonts w:hint="default" w:ascii="Times New Roman" w:hAnsi="Times New Roman" w:eastAsia="宋体" w:cs="Times New Roman"/>
                <w:b/>
                <w:bCs/>
                <w:color w:val="auto"/>
                <w:spacing w:val="0"/>
                <w:kern w:val="2"/>
                <w:sz w:val="21"/>
                <w:szCs w:val="21"/>
              </w:rPr>
              <w:t>项目组成</w:t>
            </w:r>
          </w:p>
        </w:tc>
        <w:tc>
          <w:tcPr>
            <w:tcW w:w="85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auto"/>
                <w:spacing w:val="0"/>
                <w:kern w:val="2"/>
                <w:sz w:val="21"/>
                <w:szCs w:val="21"/>
              </w:rPr>
            </w:pPr>
            <w:r>
              <w:rPr>
                <w:rFonts w:hint="default" w:ascii="Times New Roman" w:hAnsi="Times New Roman" w:eastAsia="宋体" w:cs="Times New Roman"/>
                <w:b/>
                <w:bCs/>
                <w:color w:val="auto"/>
                <w:spacing w:val="0"/>
                <w:kern w:val="2"/>
                <w:sz w:val="21"/>
                <w:szCs w:val="21"/>
              </w:rPr>
              <w:t>内容</w:t>
            </w:r>
          </w:p>
        </w:tc>
        <w:tc>
          <w:tcPr>
            <w:tcW w:w="3541"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b/>
                <w:bCs/>
                <w:color w:val="auto"/>
                <w:spacing w:val="0"/>
                <w:kern w:val="2"/>
                <w:sz w:val="21"/>
                <w:szCs w:val="21"/>
                <w:lang w:eastAsia="zh-CN"/>
              </w:rPr>
            </w:pPr>
            <w:r>
              <w:rPr>
                <w:rFonts w:hint="eastAsia" w:ascii="Times New Roman" w:hAnsi="Times New Roman" w:eastAsia="宋体" w:cs="Times New Roman"/>
                <w:b/>
                <w:bCs/>
                <w:color w:val="auto"/>
                <w:spacing w:val="0"/>
                <w:kern w:val="2"/>
                <w:sz w:val="21"/>
                <w:szCs w:val="21"/>
                <w:lang w:eastAsia="zh-CN"/>
              </w:rPr>
              <w:t>设计规模</w:t>
            </w:r>
          </w:p>
        </w:tc>
        <w:tc>
          <w:tcPr>
            <w:tcW w:w="3541"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b/>
                <w:bCs/>
                <w:color w:val="auto"/>
                <w:spacing w:val="0"/>
                <w:kern w:val="2"/>
                <w:sz w:val="21"/>
                <w:szCs w:val="21"/>
                <w:lang w:eastAsia="zh-CN"/>
              </w:rPr>
            </w:pPr>
            <w:r>
              <w:rPr>
                <w:rFonts w:hint="eastAsia" w:ascii="Times New Roman" w:hAnsi="Times New Roman" w:eastAsia="宋体" w:cs="Times New Roman"/>
                <w:b/>
                <w:bCs/>
                <w:color w:val="auto"/>
                <w:spacing w:val="0"/>
                <w:kern w:val="2"/>
                <w:sz w:val="21"/>
                <w:szCs w:val="21"/>
                <w:lang w:eastAsia="zh-CN"/>
              </w:rPr>
              <w:t>实际</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b/>
                <w:bCs/>
                <w:color w:val="auto"/>
                <w:spacing w:val="0"/>
                <w:kern w:val="2"/>
                <w:sz w:val="21"/>
                <w:szCs w:val="21"/>
                <w:lang w:eastAsia="zh-CN"/>
              </w:rPr>
            </w:pPr>
            <w:r>
              <w:rPr>
                <w:rFonts w:hint="eastAsia" w:ascii="Times New Roman" w:hAnsi="Times New Roman" w:eastAsia="宋体" w:cs="Times New Roman"/>
                <w:b/>
                <w:bCs/>
                <w:color w:val="auto"/>
                <w:spacing w:val="0"/>
                <w:kern w:val="2"/>
                <w:sz w:val="21"/>
                <w:szCs w:val="21"/>
                <w:lang w:eastAsia="zh-CN"/>
              </w:rPr>
              <w:t>一致性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restar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主体工程</w:t>
            </w:r>
          </w:p>
        </w:tc>
        <w:tc>
          <w:tcPr>
            <w:tcW w:w="855"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eastAsia" w:ascii="Times New Roman" w:eastAsia="宋体" w:cs="Times New Roman"/>
                <w:color w:val="auto"/>
                <w:spacing w:val="0"/>
                <w:kern w:val="2"/>
                <w:sz w:val="21"/>
                <w:szCs w:val="21"/>
                <w:lang w:eastAsia="zh-CN"/>
              </w:rPr>
              <w:t>大</w:t>
            </w:r>
            <w:r>
              <w:rPr>
                <w:rFonts w:hint="default" w:ascii="Times New Roman" w:hAnsi="Times New Roman" w:eastAsia="宋体" w:cs="Times New Roman"/>
                <w:color w:val="auto"/>
                <w:spacing w:val="0"/>
                <w:kern w:val="2"/>
                <w:sz w:val="21"/>
                <w:szCs w:val="21"/>
              </w:rPr>
              <w:t>坝</w:t>
            </w:r>
          </w:p>
        </w:tc>
        <w:tc>
          <w:tcPr>
            <w:tcW w:w="3541" w:type="dxa"/>
            <w:tcBorders>
              <w:tl2br w:val="nil"/>
              <w:tr2bl w:val="nil"/>
            </w:tcBorders>
            <w:noWrap w:val="0"/>
            <w:vAlign w:val="center"/>
          </w:tcPr>
          <w:p>
            <w:pPr>
              <w:widowControl/>
              <w:spacing w:line="240" w:lineRule="auto"/>
              <w:ind w:firstLine="0" w:firstLineChars="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lang w:val="en-US" w:eastAsia="zh-CN"/>
              </w:rPr>
              <w:t>为浆砌块石重力坝，大坝全长20m，最大坝高6.2m（与下游河床高差仅1.2m左右），坝顶厚度1.0m，坝底宽度3.4m；溢流面顶高程197.6m，溢流前沿宽度2.0m。</w:t>
            </w:r>
          </w:p>
        </w:tc>
        <w:tc>
          <w:tcPr>
            <w:tcW w:w="3541" w:type="dxa"/>
            <w:tcBorders>
              <w:tl2br w:val="nil"/>
              <w:tr2bl w:val="nil"/>
            </w:tcBorders>
            <w:noWrap w:val="0"/>
            <w:vAlign w:val="center"/>
          </w:tcPr>
          <w:p>
            <w:pPr>
              <w:widowControl/>
              <w:spacing w:line="240" w:lineRule="auto"/>
              <w:ind w:firstLine="0" w:firstLineChars="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lang w:val="en-US" w:eastAsia="zh-CN"/>
              </w:rPr>
              <w:t>为浆砌块石重力坝，大坝全长20m，最大坝高6.2m（与下游河床高差仅1.2m左右），坝顶厚度1.0m，坝底宽度3.4m；溢流面顶高程197.6m，溢流前沿宽度2.0m。</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rPr>
                <w:rFonts w:hint="eastAsia" w:ascii="Times New Roman" w:hAnsi="Times New Roman" w:eastAsia="宋体" w:cs="Times New Roman"/>
                <w:color w:val="auto"/>
                <w:spacing w:val="0"/>
                <w:kern w:val="2"/>
                <w:sz w:val="21"/>
                <w:szCs w:val="21"/>
                <w:lang w:eastAsia="zh-CN"/>
              </w:rPr>
            </w:pPr>
            <w:r>
              <w:rPr>
                <w:rFonts w:hint="default" w:ascii="Times New Roman" w:hAnsi="Times New Roman" w:eastAsia="宋体" w:cs="Times New Roman"/>
                <w:snapToGrid w:val="0"/>
                <w:color w:val="auto"/>
                <w:sz w:val="21"/>
                <w:szCs w:val="21"/>
              </w:rPr>
              <w:t>引水渠</w:t>
            </w:r>
            <w:r>
              <w:rPr>
                <w:rFonts w:hint="default" w:ascii="Times New Roman" w:hAnsi="Times New Roman" w:eastAsia="宋体" w:cs="Times New Roman"/>
                <w:snapToGrid w:val="0"/>
                <w:color w:val="auto"/>
                <w:sz w:val="21"/>
                <w:szCs w:val="21"/>
                <w:lang w:eastAsia="zh-CN"/>
              </w:rPr>
              <w:t>道</w:t>
            </w:r>
          </w:p>
        </w:tc>
        <w:tc>
          <w:tcPr>
            <w:tcW w:w="3541"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jc w:val="left"/>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lang w:eastAsia="zh-CN"/>
              </w:rPr>
              <w:t>为沟槽式，全</w:t>
            </w:r>
            <w:r>
              <w:rPr>
                <w:rFonts w:hint="eastAsia" w:ascii="宋体" w:hAnsi="宋体" w:eastAsia="宋体" w:cs="宋体"/>
                <w:color w:val="auto"/>
                <w:sz w:val="21"/>
                <w:szCs w:val="21"/>
              </w:rPr>
              <w:t>长</w:t>
            </w:r>
            <w:r>
              <w:rPr>
                <w:rFonts w:hint="eastAsia" w:ascii="Times New Roman" w:hAnsi="Times New Roman" w:eastAsia="宋体" w:cs="Times New Roman"/>
                <w:color w:val="auto"/>
                <w:sz w:val="21"/>
                <w:szCs w:val="21"/>
                <w:vertAlign w:val="baseline"/>
                <w:lang w:val="en-US" w:eastAsia="zh-CN"/>
              </w:rPr>
              <w:t>2000m</w:t>
            </w:r>
            <w:r>
              <w:rPr>
                <w:rFonts w:hint="eastAsia" w:ascii="宋体" w:hAnsi="宋体" w:eastAsia="宋体" w:cs="宋体"/>
                <w:color w:val="auto"/>
                <w:sz w:val="21"/>
                <w:szCs w:val="21"/>
                <w:lang w:eastAsia="zh-CN"/>
              </w:rPr>
              <w:t>，设计引用流量</w:t>
            </w:r>
            <w:r>
              <w:rPr>
                <w:rFonts w:hint="eastAsia" w:ascii="Times New Roman" w:hAnsi="Times New Roman" w:eastAsia="宋体" w:cs="Times New Roman"/>
                <w:color w:val="auto"/>
                <w:sz w:val="21"/>
                <w:szCs w:val="21"/>
                <w:vertAlign w:val="baseline"/>
                <w:lang w:val="en-US" w:eastAsia="zh-CN"/>
              </w:rPr>
              <w:t>0.7m3/s</w:t>
            </w:r>
            <w:r>
              <w:rPr>
                <w:rFonts w:hint="eastAsia" w:ascii="宋体" w:hAnsi="宋体" w:eastAsia="宋体" w:cs="宋体"/>
                <w:color w:val="auto"/>
                <w:sz w:val="21"/>
                <w:szCs w:val="21"/>
                <w:vertAlign w:val="baseline"/>
                <w:lang w:val="en-US" w:eastAsia="zh-CN"/>
              </w:rPr>
              <w:t>，断面尺寸（</w:t>
            </w:r>
            <w:r>
              <w:rPr>
                <w:rFonts w:hint="default" w:ascii="Times New Roman" w:hAnsi="Times New Roman" w:eastAsia="宋体" w:cs="Times New Roman"/>
                <w:color w:val="auto"/>
                <w:sz w:val="21"/>
                <w:szCs w:val="21"/>
                <w:vertAlign w:val="baseline"/>
                <w:lang w:val="en-US" w:eastAsia="zh-CN"/>
              </w:rPr>
              <w:t>0.5~1.34</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1.4m</w:t>
            </w:r>
            <w:r>
              <w:rPr>
                <w:rFonts w:hint="eastAsia" w:ascii="宋体" w:hAnsi="宋体" w:eastAsia="宋体" w:cs="宋体"/>
                <w:color w:val="auto"/>
                <w:sz w:val="21"/>
                <w:szCs w:val="21"/>
                <w:vertAlign w:val="baseline"/>
                <w:lang w:val="en-US" w:eastAsia="zh-CN"/>
              </w:rPr>
              <w:t>，过水深度1.1m，进口高程</w:t>
            </w:r>
            <w:r>
              <w:rPr>
                <w:rFonts w:hint="eastAsia" w:ascii="Times New Roman" w:hAnsi="Times New Roman" w:eastAsia="宋体" w:cs="Times New Roman"/>
                <w:color w:val="auto"/>
                <w:sz w:val="21"/>
                <w:szCs w:val="21"/>
                <w:vertAlign w:val="baseline"/>
                <w:lang w:val="en-US" w:eastAsia="zh-CN"/>
              </w:rPr>
              <w:t>196.5m</w:t>
            </w:r>
            <w:r>
              <w:rPr>
                <w:rFonts w:hint="eastAsia" w:ascii="宋体" w:hAnsi="宋体" w:eastAsia="宋体" w:cs="宋体"/>
                <w:color w:val="auto"/>
                <w:sz w:val="21"/>
                <w:szCs w:val="21"/>
                <w:vertAlign w:val="baseline"/>
                <w:lang w:val="en-US" w:eastAsia="zh-CN"/>
              </w:rPr>
              <w:t>，纵坡</w:t>
            </w:r>
            <w:r>
              <w:rPr>
                <w:rFonts w:hint="eastAsia" w:ascii="Times New Roman" w:hAnsi="Times New Roman" w:eastAsia="宋体" w:cs="Times New Roman"/>
                <w:color w:val="auto"/>
                <w:sz w:val="21"/>
                <w:szCs w:val="21"/>
                <w:vertAlign w:val="baseline"/>
                <w:lang w:val="en-US" w:eastAsia="zh-CN"/>
              </w:rPr>
              <w:t>1/1000</w:t>
            </w:r>
            <w:r>
              <w:rPr>
                <w:rFonts w:hint="eastAsia" w:ascii="宋体" w:hAnsi="宋体" w:eastAsia="宋体" w:cs="宋体"/>
                <w:color w:val="auto"/>
                <w:sz w:val="21"/>
                <w:szCs w:val="21"/>
                <w:vertAlign w:val="baseline"/>
                <w:lang w:val="en-US" w:eastAsia="zh-CN"/>
              </w:rPr>
              <w:t>，渠道结构采用浆砌石，内墙厚</w:t>
            </w:r>
            <w:r>
              <w:rPr>
                <w:rFonts w:hint="eastAsia" w:ascii="Times New Roman" w:hAnsi="Times New Roman" w:eastAsia="宋体" w:cs="Times New Roman"/>
                <w:color w:val="auto"/>
                <w:sz w:val="21"/>
                <w:szCs w:val="21"/>
                <w:vertAlign w:val="baseline"/>
                <w:lang w:val="en-US" w:eastAsia="zh-CN"/>
              </w:rPr>
              <w:t>0.25m</w:t>
            </w:r>
            <w:r>
              <w:rPr>
                <w:rFonts w:hint="eastAsia" w:ascii="宋体" w:hAnsi="宋体" w:eastAsia="宋体" w:cs="宋体"/>
                <w:color w:val="auto"/>
                <w:sz w:val="21"/>
                <w:szCs w:val="21"/>
                <w:vertAlign w:val="baseline"/>
                <w:lang w:val="en-US" w:eastAsia="zh-CN"/>
              </w:rPr>
              <w:t>，外墙厚</w:t>
            </w:r>
            <w:r>
              <w:rPr>
                <w:rFonts w:hint="eastAsia" w:ascii="Times New Roman" w:hAnsi="Times New Roman" w:eastAsia="宋体" w:cs="Times New Roman"/>
                <w:color w:val="auto"/>
                <w:sz w:val="21"/>
                <w:szCs w:val="21"/>
                <w:vertAlign w:val="baseline"/>
                <w:lang w:val="en-US" w:eastAsia="zh-CN"/>
              </w:rPr>
              <w:t>0.25m</w:t>
            </w:r>
            <w:r>
              <w:rPr>
                <w:rFonts w:hint="eastAsia" w:ascii="宋体" w:hAnsi="宋体" w:eastAsia="宋体" w:cs="宋体"/>
                <w:color w:val="auto"/>
                <w:sz w:val="21"/>
                <w:szCs w:val="21"/>
                <w:vertAlign w:val="baseline"/>
                <w:lang w:val="en-US" w:eastAsia="zh-CN"/>
              </w:rPr>
              <w:t>，底板为砼，厚度</w:t>
            </w:r>
            <w:r>
              <w:rPr>
                <w:rFonts w:hint="eastAsia" w:ascii="Times New Roman" w:hAnsi="Times New Roman" w:eastAsia="宋体" w:cs="Times New Roman"/>
                <w:color w:val="auto"/>
                <w:sz w:val="21"/>
                <w:szCs w:val="21"/>
                <w:vertAlign w:val="baseline"/>
                <w:lang w:val="en-US" w:eastAsia="zh-CN"/>
              </w:rPr>
              <w:t>0.1m</w:t>
            </w:r>
            <w:r>
              <w:rPr>
                <w:rFonts w:hint="eastAsia" w:ascii="宋体" w:hAnsi="宋体" w:eastAsia="宋体" w:cs="宋体"/>
                <w:color w:val="auto"/>
                <w:sz w:val="21"/>
                <w:szCs w:val="21"/>
                <w:vertAlign w:val="baseline"/>
                <w:lang w:val="en-US" w:eastAsia="zh-CN"/>
              </w:rPr>
              <w:t>。</w:t>
            </w:r>
          </w:p>
        </w:tc>
        <w:tc>
          <w:tcPr>
            <w:tcW w:w="354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lang w:eastAsia="zh-CN"/>
              </w:rPr>
              <w:t>为沟槽式，全</w:t>
            </w:r>
            <w:r>
              <w:rPr>
                <w:rFonts w:hint="eastAsia" w:ascii="宋体" w:hAnsi="宋体" w:eastAsia="宋体" w:cs="宋体"/>
                <w:color w:val="auto"/>
                <w:sz w:val="21"/>
                <w:szCs w:val="21"/>
              </w:rPr>
              <w:t>长</w:t>
            </w:r>
            <w:r>
              <w:rPr>
                <w:rFonts w:hint="eastAsia" w:ascii="Times New Roman" w:hAnsi="Times New Roman" w:eastAsia="宋体" w:cs="Times New Roman"/>
                <w:color w:val="auto"/>
                <w:sz w:val="21"/>
                <w:szCs w:val="21"/>
                <w:vertAlign w:val="baseline"/>
                <w:lang w:val="en-US" w:eastAsia="zh-CN"/>
              </w:rPr>
              <w:t>2000m</w:t>
            </w:r>
            <w:r>
              <w:rPr>
                <w:rFonts w:hint="eastAsia" w:ascii="宋体" w:hAnsi="宋体" w:eastAsia="宋体" w:cs="宋体"/>
                <w:color w:val="auto"/>
                <w:sz w:val="21"/>
                <w:szCs w:val="21"/>
                <w:lang w:eastAsia="zh-CN"/>
              </w:rPr>
              <w:t>，设计引用流量</w:t>
            </w:r>
            <w:r>
              <w:rPr>
                <w:rFonts w:hint="eastAsia" w:ascii="Times New Roman" w:hAnsi="Times New Roman" w:eastAsia="宋体" w:cs="Times New Roman"/>
                <w:color w:val="auto"/>
                <w:sz w:val="21"/>
                <w:szCs w:val="21"/>
                <w:vertAlign w:val="baseline"/>
                <w:lang w:val="en-US" w:eastAsia="zh-CN"/>
              </w:rPr>
              <w:t>0.7m3/s</w:t>
            </w:r>
            <w:r>
              <w:rPr>
                <w:rFonts w:hint="eastAsia" w:ascii="宋体" w:hAnsi="宋体" w:eastAsia="宋体" w:cs="宋体"/>
                <w:color w:val="auto"/>
                <w:sz w:val="21"/>
                <w:szCs w:val="21"/>
                <w:vertAlign w:val="baseline"/>
                <w:lang w:val="en-US" w:eastAsia="zh-CN"/>
              </w:rPr>
              <w:t>，断面尺寸（</w:t>
            </w:r>
            <w:r>
              <w:rPr>
                <w:rFonts w:hint="default" w:ascii="Times New Roman" w:hAnsi="Times New Roman" w:eastAsia="宋体" w:cs="Times New Roman"/>
                <w:color w:val="auto"/>
                <w:sz w:val="21"/>
                <w:szCs w:val="21"/>
                <w:vertAlign w:val="baseline"/>
                <w:lang w:val="en-US" w:eastAsia="zh-CN"/>
              </w:rPr>
              <w:t>0.5~1.34</w:t>
            </w:r>
            <w:r>
              <w:rPr>
                <w:rFonts w:hint="eastAsia" w:ascii="宋体" w:hAnsi="宋体" w:eastAsia="宋体" w:cs="宋体"/>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1.4m</w:t>
            </w:r>
            <w:r>
              <w:rPr>
                <w:rFonts w:hint="eastAsia" w:ascii="宋体" w:hAnsi="宋体" w:eastAsia="宋体" w:cs="宋体"/>
                <w:color w:val="auto"/>
                <w:sz w:val="21"/>
                <w:szCs w:val="21"/>
                <w:vertAlign w:val="baseline"/>
                <w:lang w:val="en-US" w:eastAsia="zh-CN"/>
              </w:rPr>
              <w:t>，过水深度1.1m，进口高程</w:t>
            </w:r>
            <w:r>
              <w:rPr>
                <w:rFonts w:hint="eastAsia" w:ascii="Times New Roman" w:hAnsi="Times New Roman" w:eastAsia="宋体" w:cs="Times New Roman"/>
                <w:color w:val="auto"/>
                <w:sz w:val="21"/>
                <w:szCs w:val="21"/>
                <w:vertAlign w:val="baseline"/>
                <w:lang w:val="en-US" w:eastAsia="zh-CN"/>
              </w:rPr>
              <w:t>196.5m</w:t>
            </w:r>
            <w:r>
              <w:rPr>
                <w:rFonts w:hint="eastAsia" w:ascii="宋体" w:hAnsi="宋体" w:eastAsia="宋体" w:cs="宋体"/>
                <w:color w:val="auto"/>
                <w:sz w:val="21"/>
                <w:szCs w:val="21"/>
                <w:vertAlign w:val="baseline"/>
                <w:lang w:val="en-US" w:eastAsia="zh-CN"/>
              </w:rPr>
              <w:t>，纵坡</w:t>
            </w:r>
            <w:r>
              <w:rPr>
                <w:rFonts w:hint="eastAsia" w:ascii="Times New Roman" w:hAnsi="Times New Roman" w:eastAsia="宋体" w:cs="Times New Roman"/>
                <w:color w:val="auto"/>
                <w:sz w:val="21"/>
                <w:szCs w:val="21"/>
                <w:vertAlign w:val="baseline"/>
                <w:lang w:val="en-US" w:eastAsia="zh-CN"/>
              </w:rPr>
              <w:t>1/1000</w:t>
            </w:r>
            <w:r>
              <w:rPr>
                <w:rFonts w:hint="eastAsia" w:ascii="宋体" w:hAnsi="宋体" w:eastAsia="宋体" w:cs="宋体"/>
                <w:color w:val="auto"/>
                <w:sz w:val="21"/>
                <w:szCs w:val="21"/>
                <w:vertAlign w:val="baseline"/>
                <w:lang w:val="en-US" w:eastAsia="zh-CN"/>
              </w:rPr>
              <w:t>，渠道结构采用浆砌石，内墙厚</w:t>
            </w:r>
            <w:r>
              <w:rPr>
                <w:rFonts w:hint="eastAsia" w:ascii="Times New Roman" w:hAnsi="Times New Roman" w:eastAsia="宋体" w:cs="Times New Roman"/>
                <w:color w:val="auto"/>
                <w:sz w:val="21"/>
                <w:szCs w:val="21"/>
                <w:vertAlign w:val="baseline"/>
                <w:lang w:val="en-US" w:eastAsia="zh-CN"/>
              </w:rPr>
              <w:t>0.25m</w:t>
            </w:r>
            <w:r>
              <w:rPr>
                <w:rFonts w:hint="eastAsia" w:ascii="宋体" w:hAnsi="宋体" w:eastAsia="宋体" w:cs="宋体"/>
                <w:color w:val="auto"/>
                <w:sz w:val="21"/>
                <w:szCs w:val="21"/>
                <w:vertAlign w:val="baseline"/>
                <w:lang w:val="en-US" w:eastAsia="zh-CN"/>
              </w:rPr>
              <w:t>，外墙厚</w:t>
            </w:r>
            <w:r>
              <w:rPr>
                <w:rFonts w:hint="eastAsia" w:ascii="Times New Roman" w:hAnsi="Times New Roman" w:eastAsia="宋体" w:cs="Times New Roman"/>
                <w:color w:val="auto"/>
                <w:sz w:val="21"/>
                <w:szCs w:val="21"/>
                <w:vertAlign w:val="baseline"/>
                <w:lang w:val="en-US" w:eastAsia="zh-CN"/>
              </w:rPr>
              <w:t>0.25m</w:t>
            </w:r>
            <w:r>
              <w:rPr>
                <w:rFonts w:hint="eastAsia" w:ascii="宋体" w:hAnsi="宋体" w:eastAsia="宋体" w:cs="宋体"/>
                <w:color w:val="auto"/>
                <w:sz w:val="21"/>
                <w:szCs w:val="21"/>
                <w:vertAlign w:val="baseline"/>
                <w:lang w:val="en-US" w:eastAsia="zh-CN"/>
              </w:rPr>
              <w:t>，底板为砼，厚度</w:t>
            </w:r>
            <w:r>
              <w:rPr>
                <w:rFonts w:hint="eastAsia" w:ascii="Times New Roman" w:hAnsi="Times New Roman" w:eastAsia="宋体" w:cs="Times New Roman"/>
                <w:color w:val="auto"/>
                <w:sz w:val="21"/>
                <w:szCs w:val="21"/>
                <w:vertAlign w:val="baseline"/>
                <w:lang w:val="en-US" w:eastAsia="zh-CN"/>
              </w:rPr>
              <w:t>0.1m</w:t>
            </w:r>
            <w:r>
              <w:rPr>
                <w:rFonts w:hint="eastAsia" w:ascii="宋体" w:hAnsi="宋体" w:eastAsia="宋体" w:cs="宋体"/>
                <w:color w:val="auto"/>
                <w:sz w:val="21"/>
                <w:szCs w:val="21"/>
                <w:vertAlign w:val="baseline"/>
                <w:lang w:val="en-US" w:eastAsia="zh-CN"/>
              </w:rPr>
              <w:t>。</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01"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rPr>
                <w:rFonts w:hint="eastAsia" w:ascii="宋体" w:hAnsi="宋体" w:eastAsia="宋体" w:cs="宋体"/>
                <w:caps w:val="0"/>
                <w:smallCaps w:val="0"/>
                <w:snapToGrid/>
                <w:color w:val="auto"/>
                <w:spacing w:val="0"/>
                <w:w w:val="100"/>
                <w:kern w:val="2"/>
                <w:position w:val="0"/>
                <w:sz w:val="21"/>
                <w:szCs w:val="21"/>
                <w:lang w:val="en-US" w:eastAsia="zh-CN"/>
              </w:rPr>
            </w:pPr>
            <w:r>
              <w:rPr>
                <w:rFonts w:hint="eastAsia" w:ascii="宋体" w:hAnsi="宋体" w:eastAsia="宋体" w:cs="宋体"/>
                <w:snapToGrid w:val="0"/>
                <w:color w:val="auto"/>
                <w:sz w:val="21"/>
                <w:szCs w:val="21"/>
                <w:lang w:eastAsia="zh-CN"/>
              </w:rPr>
              <w:t>引水隧洞</w:t>
            </w:r>
          </w:p>
        </w:tc>
        <w:tc>
          <w:tcPr>
            <w:tcW w:w="3541"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jc w:val="left"/>
              <w:rPr>
                <w:rFonts w:hint="eastAsia" w:ascii="宋体" w:hAnsi="宋体" w:eastAsia="宋体" w:cs="宋体"/>
                <w:caps w:val="0"/>
                <w:smallCaps w:val="0"/>
                <w:snapToGrid/>
                <w:color w:val="auto"/>
                <w:spacing w:val="0"/>
                <w:w w:val="100"/>
                <w:kern w:val="2"/>
                <w:position w:val="0"/>
                <w:sz w:val="21"/>
                <w:szCs w:val="21"/>
                <w:lang w:val="en-US" w:eastAsia="zh-CN"/>
              </w:rPr>
            </w:pPr>
            <w:r>
              <w:rPr>
                <w:rFonts w:hint="eastAsia" w:ascii="宋体" w:hAnsi="宋体" w:eastAsia="宋体" w:cs="宋体"/>
                <w:color w:val="auto"/>
                <w:sz w:val="21"/>
                <w:szCs w:val="21"/>
                <w:lang w:eastAsia="zh-CN"/>
              </w:rPr>
              <w:t>隧洞总长</w:t>
            </w:r>
            <w:r>
              <w:rPr>
                <w:rFonts w:hint="eastAsia" w:ascii="宋体" w:hAnsi="宋体" w:eastAsia="宋体" w:cs="宋体"/>
                <w:color w:val="auto"/>
                <w:sz w:val="21"/>
                <w:szCs w:val="21"/>
                <w:lang w:val="en-US" w:eastAsia="zh-CN"/>
              </w:rPr>
              <w:t>63m，隧洞洞身开挖断面0.9×1.8m，纵坡为1/1000，进口高程为195.58m，出口高程195.51m，结构形式为城门形，砼衬砌厚度为0.15m。</w:t>
            </w:r>
          </w:p>
        </w:tc>
        <w:tc>
          <w:tcPr>
            <w:tcW w:w="354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lang w:eastAsia="zh-CN"/>
              </w:rPr>
              <w:t>隧洞总长</w:t>
            </w:r>
            <w:r>
              <w:rPr>
                <w:rFonts w:hint="eastAsia" w:ascii="宋体" w:hAnsi="宋体" w:eastAsia="宋体" w:cs="宋体"/>
                <w:color w:val="auto"/>
                <w:sz w:val="21"/>
                <w:szCs w:val="21"/>
                <w:lang w:val="en-US" w:eastAsia="zh-CN"/>
              </w:rPr>
              <w:t>63m，隧洞洞身开挖断面0.9×1.8m，纵坡为1/1000，进口高程为195.58m，出口高程195.51m，结构形式为城门形，砼衬砌厚度为0.15m。</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snapToGrid w:val="0"/>
                <w:color w:val="auto"/>
                <w:sz w:val="21"/>
                <w:szCs w:val="21"/>
                <w:lang w:eastAsia="zh-CN"/>
              </w:rPr>
              <w:t>压力前池</w:t>
            </w:r>
          </w:p>
        </w:tc>
        <w:tc>
          <w:tcPr>
            <w:tcW w:w="3541"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jc w:val="left"/>
              <w:rPr>
                <w:rFonts w:hint="eastAsia" w:ascii="宋体" w:hAnsi="宋体" w:eastAsia="宋体" w:cs="宋体"/>
                <w:color w:val="auto"/>
                <w:spacing w:val="0"/>
                <w:kern w:val="2"/>
                <w:sz w:val="21"/>
                <w:szCs w:val="21"/>
              </w:rPr>
            </w:pPr>
            <w:r>
              <w:rPr>
                <w:rFonts w:hint="eastAsia" w:ascii="宋体" w:hAnsi="宋体" w:eastAsia="宋体" w:cs="宋体"/>
                <w:color w:val="auto"/>
                <w:sz w:val="21"/>
                <w:szCs w:val="21"/>
                <w:lang w:eastAsia="zh-CN"/>
              </w:rPr>
              <w:t>位于电站西侧，平面尺寸</w:t>
            </w:r>
            <w:r>
              <w:rPr>
                <w:rFonts w:hint="eastAsia" w:ascii="宋体" w:hAnsi="宋体" w:eastAsia="宋体" w:cs="宋体"/>
                <w:color w:val="auto"/>
                <w:sz w:val="21"/>
                <w:szCs w:val="21"/>
                <w:lang w:val="en-US" w:eastAsia="zh-CN"/>
              </w:rPr>
              <w:t>4×10m，池深3.92m，前池正常水位195.5m；结构形式为沉塘式，内墙厚0.4m，外墙厚0.5m，底厚0.2m。</w:t>
            </w:r>
          </w:p>
        </w:tc>
        <w:tc>
          <w:tcPr>
            <w:tcW w:w="354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lang w:eastAsia="zh-CN"/>
              </w:rPr>
              <w:t>位于电站西侧，平面尺寸</w:t>
            </w:r>
            <w:r>
              <w:rPr>
                <w:rFonts w:hint="eastAsia" w:ascii="宋体" w:hAnsi="宋体" w:eastAsia="宋体" w:cs="宋体"/>
                <w:color w:val="auto"/>
                <w:sz w:val="21"/>
                <w:szCs w:val="21"/>
                <w:lang w:val="en-US" w:eastAsia="zh-CN"/>
              </w:rPr>
              <w:t>4×10m，池深3.92m，前池正常水位195.5m；结构形式为沉塘式，内墙厚0.4m，外墙厚0.5m，底厚0.2m。</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9"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snapToGrid w:val="0"/>
                <w:color w:val="auto"/>
                <w:sz w:val="21"/>
                <w:szCs w:val="21"/>
                <w:lang w:eastAsia="zh-CN"/>
              </w:rPr>
              <w:t>压力干管</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left"/>
              <w:rPr>
                <w:rFonts w:hint="eastAsia" w:ascii="宋体" w:hAnsi="宋体" w:eastAsia="宋体" w:cs="宋体"/>
                <w:color w:val="auto"/>
                <w:spacing w:val="0"/>
                <w:kern w:val="2"/>
                <w:sz w:val="21"/>
                <w:szCs w:val="21"/>
              </w:rPr>
            </w:pPr>
            <w:r>
              <w:rPr>
                <w:rFonts w:hint="eastAsia" w:ascii="宋体" w:hAnsi="宋体" w:eastAsia="宋体" w:cs="宋体"/>
                <w:color w:val="auto"/>
                <w:kern w:val="2"/>
                <w:sz w:val="21"/>
                <w:szCs w:val="21"/>
                <w:lang w:val="en-US" w:eastAsia="zh-CN" w:bidi="ar-SA"/>
              </w:rPr>
              <w:t>主管全长350m，采用螺旋钢管，钢管内径0.72m，管壁厚度7-9mm。</w:t>
            </w:r>
          </w:p>
        </w:tc>
        <w:tc>
          <w:tcPr>
            <w:tcW w:w="3541" w:type="dxa"/>
            <w:tcBorders>
              <w:tl2br w:val="nil"/>
              <w:tr2bl w:val="nil"/>
            </w:tcBorders>
            <w:noWrap w:val="0"/>
            <w:vAlign w:val="center"/>
          </w:tcPr>
          <w:p>
            <w:pPr>
              <w:widowControl/>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kern w:val="2"/>
                <w:sz w:val="21"/>
                <w:szCs w:val="21"/>
                <w:lang w:val="en-US" w:eastAsia="zh-CN" w:bidi="ar-SA"/>
              </w:rPr>
              <w:t>主管全长350m，采用螺旋钢管，钢管内径0.72m，管壁厚度7-9mm。</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restar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辅助工程</w:t>
            </w:r>
          </w:p>
        </w:tc>
        <w:tc>
          <w:tcPr>
            <w:tcW w:w="855"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供水</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山泉水</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lang w:val="zh-CN" w:eastAsia="zh-CN" w:bidi="zh-CN"/>
              </w:rPr>
            </w:pPr>
            <w:r>
              <w:rPr>
                <w:rFonts w:hint="default" w:ascii="Times New Roman" w:hAnsi="Times New Roman" w:eastAsia="宋体" w:cs="Times New Roman"/>
                <w:color w:val="auto"/>
                <w:sz w:val="21"/>
                <w:szCs w:val="21"/>
              </w:rPr>
              <w:t>山泉水</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val="en-US" w:eastAsia="zh-CN"/>
              </w:rPr>
            </w:pPr>
            <w:r>
              <w:rPr>
                <w:rFonts w:hint="eastAsia" w:ascii="Times New Roman" w:hAnsi="Times New Roman" w:eastAsia="宋体" w:cs="Times New Roman"/>
                <w:color w:val="auto"/>
                <w:spacing w:val="0"/>
                <w:kern w:val="2"/>
                <w:sz w:val="21"/>
                <w:szCs w:val="21"/>
                <w:lang w:val="en-US"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供电</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Times New Roman"/>
                <w:color w:val="auto"/>
                <w:spacing w:val="0"/>
                <w:kern w:val="2"/>
                <w:sz w:val="21"/>
                <w:szCs w:val="21"/>
                <w:lang w:eastAsia="zh-CN"/>
              </w:rPr>
            </w:pPr>
            <w:r>
              <w:rPr>
                <w:rFonts w:hint="default" w:ascii="Times New Roman" w:hAnsi="Times New Roman" w:eastAsia="宋体" w:cs="Times New Roman"/>
                <w:color w:val="auto"/>
                <w:sz w:val="21"/>
                <w:szCs w:val="21"/>
              </w:rPr>
              <w:t>由当地电网供给</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Times New Roman"/>
                <w:color w:val="auto"/>
                <w:spacing w:val="0"/>
                <w:kern w:val="2"/>
                <w:sz w:val="21"/>
                <w:szCs w:val="21"/>
                <w:lang w:val="zh-CN" w:eastAsia="zh-CN" w:bidi="zh-CN"/>
              </w:rPr>
            </w:pPr>
            <w:r>
              <w:rPr>
                <w:rFonts w:hint="default" w:ascii="Times New Roman" w:hAnsi="Times New Roman" w:eastAsia="宋体" w:cs="Times New Roman"/>
                <w:color w:val="auto"/>
                <w:sz w:val="21"/>
                <w:szCs w:val="21"/>
              </w:rPr>
              <w:t>由当地电网供给</w:t>
            </w:r>
          </w:p>
        </w:tc>
        <w:tc>
          <w:tcPr>
            <w:tcW w:w="907" w:type="dxa"/>
            <w:vMerge w:val="restar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运输</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eastAsia" w:ascii="Times New Roman" w:hAnsi="Times New Roman" w:eastAsia="宋体" w:cs="Times New Roman"/>
                <w:color w:val="auto"/>
                <w:spacing w:val="0"/>
                <w:kern w:val="2"/>
                <w:sz w:val="21"/>
                <w:szCs w:val="21"/>
                <w:lang w:eastAsia="zh-CN"/>
              </w:rPr>
            </w:pPr>
            <w:r>
              <w:rPr>
                <w:rFonts w:hint="default" w:ascii="Times New Roman" w:hAnsi="Times New Roman" w:eastAsia="宋体" w:cs="Times New Roman"/>
                <w:color w:val="auto"/>
                <w:sz w:val="21"/>
                <w:szCs w:val="21"/>
              </w:rPr>
              <w:t>公路运输</w:t>
            </w:r>
          </w:p>
        </w:tc>
        <w:tc>
          <w:tcPr>
            <w:tcW w:w="3541" w:type="dxa"/>
            <w:tcBorders>
              <w:tl2br w:val="nil"/>
              <w:tr2bl w:val="nil"/>
            </w:tcBorders>
            <w:noWrap w:val="0"/>
            <w:vAlign w:val="center"/>
          </w:tcPr>
          <w:p>
            <w:pPr>
              <w:keepNext w:val="0"/>
              <w:keepLines w:val="0"/>
              <w:pageBreakBefore w:val="0"/>
              <w:kinsoku/>
              <w:wordWrap/>
              <w:overflowPunct/>
              <w:topLinePunct w:val="0"/>
              <w:bidi w:val="0"/>
              <w:spacing w:line="240" w:lineRule="auto"/>
              <w:ind w:left="0" w:leftChars="0" w:right="0" w:rightChars="0" w:firstLine="0" w:firstLineChars="0"/>
              <w:jc w:val="center"/>
              <w:rPr>
                <w:rFonts w:hint="default" w:ascii="Times New Roman" w:hAnsi="Times New Roman" w:eastAsia="宋体" w:cs="Times New Roman"/>
                <w:color w:val="auto"/>
                <w:spacing w:val="0"/>
                <w:kern w:val="2"/>
                <w:sz w:val="21"/>
                <w:szCs w:val="21"/>
                <w:lang w:val="zh-CN" w:eastAsia="zh-CN" w:bidi="zh-CN"/>
              </w:rPr>
            </w:pPr>
            <w:r>
              <w:rPr>
                <w:rFonts w:hint="default" w:ascii="Times New Roman" w:hAnsi="Times New Roman" w:eastAsia="宋体" w:cs="Times New Roman"/>
                <w:color w:val="auto"/>
                <w:sz w:val="21"/>
                <w:szCs w:val="21"/>
              </w:rPr>
              <w:t>公路运输</w:t>
            </w:r>
          </w:p>
        </w:tc>
        <w:tc>
          <w:tcPr>
            <w:tcW w:w="907"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rPr>
                <w:rFonts w:hint="eastAsia" w:ascii="Times New Roman" w:hAnsi="Times New Roman" w:eastAsia="宋体" w:cs="Times New Roman"/>
                <w:color w:val="auto"/>
                <w:spacing w:val="0"/>
                <w:kern w:val="2"/>
                <w:sz w:val="21"/>
                <w:szCs w:val="21"/>
                <w:lang w:eastAsia="zh-CN"/>
              </w:rPr>
            </w:pPr>
            <w:r>
              <w:rPr>
                <w:rFonts w:hint="eastAsia" w:ascii="宋体" w:hAnsi="宋体" w:eastAsia="宋体" w:cs="宋体"/>
                <w:snapToGrid w:val="0"/>
                <w:color w:val="auto"/>
                <w:sz w:val="21"/>
                <w:szCs w:val="21"/>
                <w:lang w:eastAsia="zh-CN"/>
              </w:rPr>
              <w:t>办公生活用房</w:t>
            </w:r>
          </w:p>
        </w:tc>
        <w:tc>
          <w:tcPr>
            <w:tcW w:w="3541" w:type="dxa"/>
            <w:tcBorders>
              <w:tl2br w:val="nil"/>
              <w:tr2bl w:val="nil"/>
            </w:tcBorders>
            <w:noWrap w:val="0"/>
            <w:vAlign w:val="center"/>
          </w:tcPr>
          <w:p>
            <w:pPr>
              <w:pStyle w:val="29"/>
              <w:keepNext w:val="0"/>
              <w:keepLines w:val="0"/>
              <w:pageBreakBefore w:val="0"/>
              <w:kinsoku/>
              <w:wordWrap/>
              <w:overflowPunct/>
              <w:topLinePunct w:val="0"/>
              <w:bidi w:val="0"/>
              <w:spacing w:line="240" w:lineRule="auto"/>
              <w:ind w:left="0" w:leftChars="0" w:right="0" w:rightChars="0" w:firstLine="0" w:firstLineChars="0"/>
              <w:jc w:val="left"/>
              <w:rPr>
                <w:rFonts w:hint="eastAsia" w:ascii="Times New Roman" w:hAnsi="Times New Roman" w:eastAsia="宋体" w:cs="Times New Roman"/>
                <w:color w:val="auto"/>
                <w:spacing w:val="0"/>
                <w:kern w:val="2"/>
                <w:sz w:val="21"/>
                <w:szCs w:val="21"/>
                <w:lang w:eastAsia="zh-CN"/>
              </w:rPr>
            </w:pPr>
            <w:r>
              <w:rPr>
                <w:rFonts w:hint="default" w:ascii="Times New Roman" w:hAnsi="Times New Roman" w:eastAsia="宋体" w:cs="Times New Roman"/>
                <w:snapToGrid w:val="0"/>
                <w:color w:val="auto"/>
                <w:sz w:val="21"/>
                <w:szCs w:val="21"/>
                <w:lang w:val="en-US" w:eastAsia="zh-CN"/>
              </w:rPr>
              <w:t>1层，</w:t>
            </w:r>
            <w:r>
              <w:rPr>
                <w:rFonts w:hint="eastAsia" w:ascii="宋体" w:hAnsi="宋体" w:eastAsia="宋体" w:cs="宋体"/>
                <w:snapToGrid w:val="0"/>
                <w:color w:val="auto"/>
                <w:sz w:val="21"/>
                <w:szCs w:val="21"/>
                <w:lang w:val="en-US" w:eastAsia="zh-CN"/>
              </w:rPr>
              <w:t>砖混机构</w:t>
            </w:r>
            <w:r>
              <w:rPr>
                <w:rFonts w:hint="eastAsia" w:cs="Times New Roman"/>
                <w:snapToGrid w:val="0"/>
                <w:color w:val="auto"/>
                <w:sz w:val="21"/>
                <w:szCs w:val="21"/>
                <w:lang w:val="en-US" w:eastAsia="zh-CN"/>
              </w:rPr>
              <w:t>，</w:t>
            </w:r>
            <w:r>
              <w:rPr>
                <w:rFonts w:hint="default" w:ascii="Times New Roman" w:hAnsi="Times New Roman" w:eastAsia="宋体" w:cs="Times New Roman"/>
                <w:snapToGrid w:val="0"/>
                <w:color w:val="auto"/>
                <w:sz w:val="21"/>
                <w:szCs w:val="21"/>
                <w:lang w:val="en-US" w:eastAsia="zh-CN"/>
              </w:rPr>
              <w:t>建筑面积100平方米</w:t>
            </w:r>
          </w:p>
        </w:tc>
        <w:tc>
          <w:tcPr>
            <w:tcW w:w="3541"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snapToGrid w:val="0"/>
                <w:color w:val="auto"/>
                <w:sz w:val="21"/>
                <w:szCs w:val="21"/>
                <w:lang w:val="en-US" w:eastAsia="zh-CN"/>
              </w:rPr>
              <w:t>1层，</w:t>
            </w:r>
            <w:r>
              <w:rPr>
                <w:rFonts w:hint="eastAsia" w:ascii="宋体" w:hAnsi="宋体" w:eastAsia="宋体" w:cs="宋体"/>
                <w:snapToGrid w:val="0"/>
                <w:color w:val="auto"/>
                <w:sz w:val="21"/>
                <w:szCs w:val="21"/>
                <w:lang w:val="en-US" w:eastAsia="zh-CN"/>
              </w:rPr>
              <w:t>砖混机构</w:t>
            </w:r>
            <w:r>
              <w:rPr>
                <w:rFonts w:hint="eastAsia" w:cs="Times New Roman"/>
                <w:snapToGrid w:val="0"/>
                <w:color w:val="auto"/>
                <w:sz w:val="21"/>
                <w:szCs w:val="21"/>
                <w:lang w:val="en-US" w:eastAsia="zh-CN"/>
              </w:rPr>
              <w:t>，</w:t>
            </w:r>
            <w:r>
              <w:rPr>
                <w:rFonts w:hint="default" w:ascii="Times New Roman" w:hAnsi="Times New Roman" w:eastAsia="宋体" w:cs="Times New Roman"/>
                <w:snapToGrid w:val="0"/>
                <w:color w:val="auto"/>
                <w:sz w:val="21"/>
                <w:szCs w:val="21"/>
                <w:lang w:val="en-US" w:eastAsia="zh-CN"/>
              </w:rPr>
              <w:t>建筑面积100平方米</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restar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环保工程</w:t>
            </w:r>
          </w:p>
        </w:tc>
        <w:tc>
          <w:tcPr>
            <w:tcW w:w="855" w:type="dxa"/>
            <w:tcBorders>
              <w:tl2br w:val="nil"/>
              <w:tr2bl w:val="nil"/>
            </w:tcBorders>
            <w:noWrap w:val="0"/>
            <w:vAlign w:val="center"/>
          </w:tcPr>
          <w:p>
            <w:pPr>
              <w:pStyle w:val="21"/>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污水防治工程</w:t>
            </w:r>
          </w:p>
        </w:tc>
        <w:tc>
          <w:tcPr>
            <w:tcW w:w="3541" w:type="dxa"/>
            <w:tcBorders>
              <w:tl2br w:val="nil"/>
              <w:tr2bl w:val="nil"/>
            </w:tcBorders>
            <w:noWrap w:val="0"/>
            <w:vAlign w:val="center"/>
          </w:tcPr>
          <w:p>
            <w:pPr>
              <w:pStyle w:val="21"/>
              <w:spacing w:line="240" w:lineRule="auto"/>
              <w:ind w:left="0" w:leftChars="0" w:right="0" w:rightChars="0" w:firstLine="0" w:firstLineChars="0"/>
              <w:rPr>
                <w:rFonts w:hint="eastAsia" w:ascii="宋体" w:hAnsi="宋体" w:eastAsia="宋体" w:cs="宋体"/>
                <w:color w:val="auto"/>
                <w:spacing w:val="0"/>
                <w:kern w:val="2"/>
                <w:sz w:val="21"/>
                <w:szCs w:val="21"/>
                <w:lang w:eastAsia="zh-CN"/>
              </w:rPr>
            </w:pPr>
            <w:r>
              <w:rPr>
                <w:rFonts w:hint="eastAsia" w:ascii="宋体" w:hAnsi="宋体" w:eastAsia="宋体" w:cs="宋体"/>
                <w:color w:val="auto"/>
                <w:sz w:val="21"/>
                <w:szCs w:val="21"/>
              </w:rPr>
              <w:t>生活污水采取</w:t>
            </w:r>
            <w:r>
              <w:rPr>
                <w:rFonts w:hint="eastAsia" w:ascii="宋体" w:hAnsi="宋体" w:eastAsia="宋体" w:cs="宋体"/>
                <w:color w:val="auto"/>
                <w:sz w:val="21"/>
                <w:szCs w:val="21"/>
                <w:lang w:val="en-US"/>
              </w:rPr>
              <w:t>化粪池</w:t>
            </w:r>
            <w:r>
              <w:rPr>
                <w:rFonts w:hint="eastAsia" w:ascii="宋体" w:hAnsi="宋体" w:eastAsia="宋体" w:cs="宋体"/>
                <w:color w:val="auto"/>
                <w:sz w:val="21"/>
                <w:szCs w:val="21"/>
              </w:rPr>
              <w:t>方式进行处理，用于</w:t>
            </w:r>
            <w:r>
              <w:rPr>
                <w:rFonts w:hint="eastAsia" w:ascii="宋体" w:hAnsi="宋体" w:eastAsia="宋体" w:cs="宋体"/>
                <w:color w:val="auto"/>
                <w:sz w:val="21"/>
                <w:szCs w:val="21"/>
                <w:lang w:val="en-US" w:eastAsia="zh-CN"/>
              </w:rPr>
              <w:t>农肥使用，不外排</w:t>
            </w:r>
          </w:p>
        </w:tc>
        <w:tc>
          <w:tcPr>
            <w:tcW w:w="3541" w:type="dxa"/>
            <w:tcBorders>
              <w:tl2br w:val="nil"/>
              <w:tr2bl w:val="nil"/>
            </w:tcBorders>
            <w:noWrap w:val="0"/>
            <w:vAlign w:val="center"/>
          </w:tcPr>
          <w:p>
            <w:pPr>
              <w:pStyle w:val="21"/>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rPr>
              <w:t>生活污水采取</w:t>
            </w:r>
            <w:r>
              <w:rPr>
                <w:rFonts w:hint="eastAsia" w:ascii="宋体" w:hAnsi="宋体" w:eastAsia="宋体" w:cs="宋体"/>
                <w:color w:val="auto"/>
                <w:sz w:val="21"/>
                <w:szCs w:val="21"/>
                <w:lang w:val="en-US"/>
              </w:rPr>
              <w:t>化粪池</w:t>
            </w:r>
            <w:r>
              <w:rPr>
                <w:rFonts w:hint="eastAsia" w:ascii="宋体" w:hAnsi="宋体" w:eastAsia="宋体" w:cs="宋体"/>
                <w:color w:val="auto"/>
                <w:sz w:val="21"/>
                <w:szCs w:val="21"/>
              </w:rPr>
              <w:t>方式进行处理，用于</w:t>
            </w:r>
            <w:r>
              <w:rPr>
                <w:rFonts w:hint="eastAsia" w:ascii="宋体" w:hAnsi="宋体" w:eastAsia="宋体" w:cs="宋体"/>
                <w:color w:val="auto"/>
                <w:sz w:val="21"/>
                <w:szCs w:val="21"/>
                <w:lang w:val="en-US" w:eastAsia="zh-CN"/>
              </w:rPr>
              <w:t>农肥使用，不外排</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地下水污染防治工程</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color w:val="auto"/>
                <w:sz w:val="21"/>
                <w:szCs w:val="21"/>
              </w:rPr>
              <w:t>地面落实防腐防渗措施，并设置相应的围堰，防止</w:t>
            </w:r>
            <w:r>
              <w:rPr>
                <w:rFonts w:hint="eastAsia" w:ascii="宋体" w:hAnsi="宋体" w:eastAsia="宋体" w:cs="宋体"/>
                <w:color w:val="auto"/>
                <w:sz w:val="21"/>
                <w:szCs w:val="21"/>
                <w:lang w:val="en-US" w:eastAsia="zh-CN"/>
              </w:rPr>
              <w:t>润滑油</w:t>
            </w:r>
            <w:r>
              <w:rPr>
                <w:rFonts w:hint="eastAsia" w:ascii="宋体" w:hAnsi="宋体" w:eastAsia="宋体" w:cs="宋体"/>
                <w:color w:val="auto"/>
                <w:sz w:val="21"/>
                <w:szCs w:val="21"/>
              </w:rPr>
              <w:t>泄漏到外环境</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rPr>
              <w:t>地面落实防腐防渗措施，并设置相应的围堰，防止</w:t>
            </w:r>
            <w:r>
              <w:rPr>
                <w:rFonts w:hint="eastAsia" w:ascii="宋体" w:hAnsi="宋体" w:eastAsia="宋体" w:cs="宋体"/>
                <w:color w:val="auto"/>
                <w:sz w:val="21"/>
                <w:szCs w:val="21"/>
                <w:lang w:val="en-US" w:eastAsia="zh-CN"/>
              </w:rPr>
              <w:t>润滑油</w:t>
            </w:r>
            <w:r>
              <w:rPr>
                <w:rFonts w:hint="eastAsia" w:ascii="宋体" w:hAnsi="宋体" w:eastAsia="宋体" w:cs="宋体"/>
                <w:color w:val="auto"/>
                <w:sz w:val="21"/>
                <w:szCs w:val="21"/>
              </w:rPr>
              <w:t>泄漏到外环境</w:t>
            </w:r>
          </w:p>
        </w:tc>
        <w:tc>
          <w:tcPr>
            <w:tcW w:w="907"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lang w:val="en-US" w:eastAsia="zh-CN"/>
              </w:rPr>
            </w:pPr>
            <w:r>
              <w:rPr>
                <w:rFonts w:hint="eastAsia" w:ascii="Times New Roman" w:hAnsi="Times New Roman" w:eastAsia="宋体" w:cs="Times New Roman"/>
                <w:color w:val="auto"/>
                <w:spacing w:val="0"/>
                <w:kern w:val="2"/>
                <w:sz w:val="21"/>
                <w:szCs w:val="21"/>
                <w:lang w:val="en-US"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废气防治工程</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color w:val="auto"/>
                <w:sz w:val="21"/>
                <w:szCs w:val="21"/>
              </w:rPr>
              <w:t>本项目无生产性废气产生</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rPr>
              <w:t>本项目无生产性废气产生</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val="en-US" w:eastAsia="zh-CN"/>
              </w:rPr>
            </w:pPr>
            <w:r>
              <w:rPr>
                <w:rFonts w:hint="eastAsia" w:ascii="Times New Roman" w:hAnsi="Times New Roman" w:eastAsia="宋体" w:cs="Times New Roman"/>
                <w:color w:val="auto"/>
                <w:spacing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固体废物防治工程</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color w:val="auto"/>
                <w:spacing w:val="-8"/>
                <w:sz w:val="21"/>
                <w:szCs w:val="21"/>
              </w:rPr>
              <w:t>分类收集固体废物，交环卫部门</w:t>
            </w:r>
            <w:r>
              <w:rPr>
                <w:rFonts w:hint="eastAsia" w:ascii="宋体" w:hAnsi="宋体" w:eastAsia="宋体" w:cs="宋体"/>
                <w:color w:val="auto"/>
                <w:spacing w:val="-7"/>
                <w:sz w:val="21"/>
                <w:szCs w:val="21"/>
              </w:rPr>
              <w:t>处理</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pacing w:val="-8"/>
                <w:sz w:val="21"/>
                <w:szCs w:val="21"/>
              </w:rPr>
              <w:t>分类收集固体废物，交环卫部门</w:t>
            </w:r>
            <w:r>
              <w:rPr>
                <w:rFonts w:hint="eastAsia" w:ascii="宋体" w:hAnsi="宋体" w:eastAsia="宋体" w:cs="宋体"/>
                <w:color w:val="auto"/>
                <w:spacing w:val="-7"/>
                <w:sz w:val="21"/>
                <w:szCs w:val="21"/>
              </w:rPr>
              <w:t>处理</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待改进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噪声防治工程</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color w:val="auto"/>
                <w:sz w:val="21"/>
                <w:szCs w:val="21"/>
              </w:rPr>
              <w:t>机电设备采用减震基座，设置在专门的机房内</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rPr>
              <w:t>机电设备采用减震基座，设置在专门的机房内</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6"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auto"/>
                <w:spacing w:val="0"/>
                <w:kern w:val="2"/>
                <w:sz w:val="21"/>
                <w:szCs w:val="21"/>
              </w:rPr>
            </w:pPr>
          </w:p>
        </w:tc>
        <w:tc>
          <w:tcPr>
            <w:tcW w:w="855"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z w:val="21"/>
                <w:szCs w:val="21"/>
              </w:rPr>
              <w:t>生态保护工程</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eastAsia" w:ascii="宋体" w:hAnsi="宋体" w:eastAsia="宋体" w:cs="宋体"/>
                <w:color w:val="auto"/>
                <w:spacing w:val="0"/>
                <w:kern w:val="2"/>
                <w:sz w:val="21"/>
                <w:szCs w:val="21"/>
              </w:rPr>
            </w:pPr>
            <w:r>
              <w:rPr>
                <w:rFonts w:hint="eastAsia" w:ascii="宋体" w:hAnsi="宋体" w:eastAsia="宋体" w:cs="宋体"/>
                <w:color w:val="auto"/>
                <w:sz w:val="21"/>
                <w:szCs w:val="21"/>
              </w:rPr>
              <w:t>通过专门的生态流下泄口控制下泄生态流量在下泄生态流量口处，安装电磁流量计和摄像采集前端,实现联网在线监测，并增设流量监控设施；运营期定期通过人工放养方式增殖鱼类</w:t>
            </w:r>
          </w:p>
        </w:tc>
        <w:tc>
          <w:tcPr>
            <w:tcW w:w="3541" w:type="dxa"/>
            <w:tcBorders>
              <w:tl2br w:val="nil"/>
              <w:tr2bl w:val="nil"/>
            </w:tcBorders>
            <w:noWrap w:val="0"/>
            <w:vAlign w:val="center"/>
          </w:tcPr>
          <w:p>
            <w:pPr>
              <w:pStyle w:val="21"/>
              <w:tabs>
                <w:tab w:val="left" w:pos="9460"/>
              </w:tabs>
              <w:spacing w:line="240" w:lineRule="auto"/>
              <w:ind w:left="0" w:leftChars="0" w:right="0" w:rightChars="0" w:firstLine="0" w:firstLineChars="0"/>
              <w:rPr>
                <w:rFonts w:hint="default" w:ascii="Times New Roman" w:hAnsi="Times New Roman" w:eastAsia="宋体" w:cs="Times New Roman"/>
                <w:color w:val="auto"/>
                <w:spacing w:val="0"/>
                <w:kern w:val="2"/>
                <w:sz w:val="21"/>
                <w:szCs w:val="21"/>
              </w:rPr>
            </w:pPr>
            <w:r>
              <w:rPr>
                <w:rFonts w:hint="eastAsia" w:ascii="宋体" w:hAnsi="宋体" w:eastAsia="宋体" w:cs="宋体"/>
                <w:color w:val="auto"/>
                <w:sz w:val="21"/>
                <w:szCs w:val="21"/>
              </w:rPr>
              <w:t>通过专门的生态流下泄口控制下泄生态流量在下泄生态流量口处，安装电磁流量计和摄像采集前端,实现联网在线监测，并增设流量监控设施；运营期定期通过人工放养方式增殖鱼类</w:t>
            </w:r>
          </w:p>
        </w:tc>
        <w:tc>
          <w:tcPr>
            <w:tcW w:w="907" w:type="dxa"/>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auto"/>
                <w:spacing w:val="0"/>
                <w:kern w:val="2"/>
                <w:sz w:val="21"/>
                <w:szCs w:val="21"/>
                <w:lang w:eastAsia="zh-CN"/>
              </w:rPr>
            </w:pPr>
            <w:r>
              <w:rPr>
                <w:rFonts w:hint="eastAsia" w:ascii="Times New Roman" w:hAnsi="Times New Roman" w:eastAsia="宋体" w:cs="Times New Roman"/>
                <w:color w:val="auto"/>
                <w:spacing w:val="0"/>
                <w:kern w:val="2"/>
                <w:sz w:val="21"/>
                <w:szCs w:val="21"/>
                <w:lang w:eastAsia="zh-CN"/>
              </w:rPr>
              <w:t>一致</w:t>
            </w:r>
          </w:p>
        </w:tc>
      </w:tr>
    </w:tbl>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（1）拦水建筑物</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本项目拦水建筑物为为浆砌块石重力坝，大坝全长</w:t>
      </w:r>
      <w:r>
        <w:rPr>
          <w:rFonts w:hint="default" w:ascii="Times New Roman" w:hAnsi="Times New Roman" w:eastAsia="宋体" w:cs="Times New Roman"/>
          <w:color w:val="auto"/>
          <w:spacing w:val="0"/>
          <w:w w:val="100"/>
          <w:kern w:val="0"/>
          <w:position w:val="0"/>
          <w:sz w:val="24"/>
          <w:szCs w:val="21"/>
          <w:lang w:val="zh-CN" w:eastAsia="zh-CN" w:bidi="zh-CN"/>
        </w:rPr>
        <w:t>20m</w:t>
      </w:r>
      <w:r>
        <w:rPr>
          <w:rFonts w:hint="eastAsia" w:ascii="宋体" w:hAnsi="宋体" w:eastAsia="宋体" w:cs="宋体"/>
          <w:color w:val="auto"/>
          <w:spacing w:val="0"/>
          <w:w w:val="100"/>
          <w:kern w:val="0"/>
          <w:position w:val="0"/>
          <w:sz w:val="24"/>
          <w:szCs w:val="21"/>
          <w:lang w:val="zh-CN" w:eastAsia="zh-CN" w:bidi="zh-CN"/>
        </w:rPr>
        <w:t>，最大坝高</w:t>
      </w:r>
      <w:r>
        <w:rPr>
          <w:rFonts w:hint="eastAsia" w:ascii="Times New Roman" w:hAnsi="Times New Roman" w:eastAsia="宋体" w:cs="Times New Roman"/>
          <w:color w:val="auto"/>
          <w:spacing w:val="0"/>
          <w:w w:val="100"/>
          <w:kern w:val="0"/>
          <w:position w:val="0"/>
          <w:sz w:val="24"/>
          <w:szCs w:val="21"/>
          <w:lang w:val="zh-CN" w:eastAsia="zh-CN" w:bidi="zh-CN"/>
        </w:rPr>
        <w:t>6.2m</w:t>
      </w:r>
      <w:r>
        <w:rPr>
          <w:rFonts w:hint="eastAsia" w:ascii="宋体" w:hAnsi="宋体" w:eastAsia="宋体" w:cs="宋体"/>
          <w:color w:val="auto"/>
          <w:spacing w:val="0"/>
          <w:w w:val="100"/>
          <w:kern w:val="0"/>
          <w:position w:val="0"/>
          <w:sz w:val="24"/>
          <w:szCs w:val="21"/>
          <w:lang w:val="zh-CN" w:eastAsia="zh-CN" w:bidi="zh-CN"/>
        </w:rPr>
        <w:t>（与下游河床高差仅</w:t>
      </w:r>
      <w:r>
        <w:rPr>
          <w:rFonts w:hint="eastAsia" w:ascii="Times New Roman" w:hAnsi="Times New Roman" w:eastAsia="宋体" w:cs="Times New Roman"/>
          <w:color w:val="auto"/>
          <w:spacing w:val="0"/>
          <w:w w:val="100"/>
          <w:kern w:val="0"/>
          <w:position w:val="0"/>
          <w:sz w:val="24"/>
          <w:szCs w:val="21"/>
          <w:lang w:val="zh-CN" w:eastAsia="zh-CN" w:bidi="zh-CN"/>
        </w:rPr>
        <w:t>1.2m</w:t>
      </w:r>
      <w:r>
        <w:rPr>
          <w:rFonts w:hint="eastAsia" w:ascii="宋体" w:hAnsi="宋体" w:eastAsia="宋体" w:cs="宋体"/>
          <w:color w:val="auto"/>
          <w:spacing w:val="0"/>
          <w:w w:val="100"/>
          <w:kern w:val="0"/>
          <w:position w:val="0"/>
          <w:sz w:val="24"/>
          <w:szCs w:val="21"/>
          <w:lang w:val="zh-CN" w:eastAsia="zh-CN" w:bidi="zh-CN"/>
        </w:rPr>
        <w:t>左右），坝顶厚度</w:t>
      </w:r>
      <w:r>
        <w:rPr>
          <w:rFonts w:hint="eastAsia" w:ascii="Times New Roman" w:hAnsi="Times New Roman" w:eastAsia="宋体" w:cs="Times New Roman"/>
          <w:color w:val="auto"/>
          <w:spacing w:val="0"/>
          <w:w w:val="100"/>
          <w:kern w:val="0"/>
          <w:position w:val="0"/>
          <w:sz w:val="24"/>
          <w:szCs w:val="21"/>
          <w:lang w:val="zh-CN" w:eastAsia="zh-CN" w:bidi="zh-CN"/>
        </w:rPr>
        <w:t>1.0m</w:t>
      </w:r>
      <w:r>
        <w:rPr>
          <w:rFonts w:hint="eastAsia" w:ascii="宋体" w:hAnsi="宋体" w:eastAsia="宋体" w:cs="宋体"/>
          <w:color w:val="auto"/>
          <w:spacing w:val="0"/>
          <w:w w:val="100"/>
          <w:kern w:val="0"/>
          <w:position w:val="0"/>
          <w:sz w:val="24"/>
          <w:szCs w:val="21"/>
          <w:lang w:val="zh-CN" w:eastAsia="zh-CN" w:bidi="zh-CN"/>
        </w:rPr>
        <w:t>，坝底宽度</w:t>
      </w:r>
      <w:r>
        <w:rPr>
          <w:rFonts w:hint="eastAsia" w:ascii="Times New Roman" w:hAnsi="Times New Roman" w:eastAsia="宋体" w:cs="Times New Roman"/>
          <w:color w:val="auto"/>
          <w:spacing w:val="0"/>
          <w:w w:val="100"/>
          <w:kern w:val="0"/>
          <w:position w:val="0"/>
          <w:sz w:val="24"/>
          <w:szCs w:val="21"/>
          <w:lang w:val="zh-CN" w:eastAsia="zh-CN" w:bidi="zh-CN"/>
        </w:rPr>
        <w:t>3.4m</w:t>
      </w:r>
      <w:r>
        <w:rPr>
          <w:rFonts w:hint="eastAsia" w:ascii="宋体" w:hAnsi="宋体" w:eastAsia="宋体" w:cs="宋体"/>
          <w:color w:val="auto"/>
          <w:spacing w:val="0"/>
          <w:w w:val="100"/>
          <w:kern w:val="0"/>
          <w:position w:val="0"/>
          <w:sz w:val="24"/>
          <w:szCs w:val="21"/>
          <w:lang w:val="zh-CN" w:eastAsia="zh-CN" w:bidi="zh-CN"/>
        </w:rPr>
        <w:t>；溢流面顶高程</w:t>
      </w:r>
      <w:r>
        <w:rPr>
          <w:rFonts w:hint="eastAsia" w:ascii="Times New Roman" w:hAnsi="Times New Roman" w:eastAsia="宋体" w:cs="Times New Roman"/>
          <w:color w:val="auto"/>
          <w:spacing w:val="0"/>
          <w:w w:val="100"/>
          <w:kern w:val="0"/>
          <w:position w:val="0"/>
          <w:sz w:val="24"/>
          <w:szCs w:val="21"/>
          <w:lang w:val="zh-CN" w:eastAsia="zh-CN" w:bidi="zh-CN"/>
        </w:rPr>
        <w:t>197.6m</w:t>
      </w:r>
      <w:r>
        <w:rPr>
          <w:rFonts w:hint="eastAsia" w:ascii="宋体" w:hAnsi="宋体" w:eastAsia="宋体" w:cs="宋体"/>
          <w:color w:val="auto"/>
          <w:spacing w:val="0"/>
          <w:w w:val="100"/>
          <w:kern w:val="0"/>
          <w:position w:val="0"/>
          <w:sz w:val="24"/>
          <w:szCs w:val="21"/>
          <w:lang w:val="zh-CN" w:eastAsia="zh-CN" w:bidi="zh-CN"/>
        </w:rPr>
        <w:t>，溢流前沿宽度</w:t>
      </w:r>
      <w:r>
        <w:rPr>
          <w:rFonts w:hint="eastAsia" w:ascii="Times New Roman" w:hAnsi="Times New Roman" w:eastAsia="宋体" w:cs="Times New Roman"/>
          <w:color w:val="auto"/>
          <w:spacing w:val="0"/>
          <w:w w:val="100"/>
          <w:kern w:val="0"/>
          <w:position w:val="0"/>
          <w:sz w:val="24"/>
          <w:szCs w:val="21"/>
          <w:lang w:val="zh-CN" w:eastAsia="zh-CN" w:bidi="zh-CN"/>
        </w:rPr>
        <w:t>2.0m</w:t>
      </w:r>
      <w:r>
        <w:rPr>
          <w:rFonts w:hint="eastAsia" w:ascii="宋体" w:hAnsi="宋体" w:eastAsia="宋体" w:cs="宋体"/>
          <w:color w:val="auto"/>
          <w:spacing w:val="0"/>
          <w:w w:val="100"/>
          <w:kern w:val="0"/>
          <w:position w:val="0"/>
          <w:sz w:val="24"/>
          <w:szCs w:val="21"/>
          <w:lang w:val="zh-CN" w:eastAsia="zh-CN" w:bidi="zh-CN"/>
        </w:rPr>
        <w:t>。</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（2）发电引水建筑</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本项目引水建筑物为大坝至电站厂房之间的引水渠道、引水隧洞和压力前池。引水渠道总长</w:t>
      </w:r>
      <w:r>
        <w:rPr>
          <w:rFonts w:hint="eastAsia" w:ascii="Times New Roman" w:hAnsi="Times New Roman" w:eastAsia="宋体" w:cs="Times New Roman"/>
          <w:color w:val="auto"/>
          <w:spacing w:val="0"/>
          <w:w w:val="100"/>
          <w:kern w:val="0"/>
          <w:position w:val="0"/>
          <w:sz w:val="24"/>
          <w:szCs w:val="21"/>
          <w:lang w:val="zh-CN" w:eastAsia="zh-CN" w:bidi="zh-CN"/>
        </w:rPr>
        <w:t>2000m</w:t>
      </w:r>
      <w:r>
        <w:rPr>
          <w:rFonts w:hint="eastAsia" w:ascii="宋体" w:hAnsi="宋体" w:eastAsia="宋体" w:cs="宋体"/>
          <w:color w:val="auto"/>
          <w:spacing w:val="0"/>
          <w:w w:val="100"/>
          <w:kern w:val="0"/>
          <w:position w:val="0"/>
          <w:sz w:val="24"/>
          <w:szCs w:val="21"/>
          <w:lang w:val="zh-CN" w:eastAsia="zh-CN" w:bidi="zh-CN"/>
        </w:rPr>
        <w:t>，为明水沟渠，引水隧洞总长</w:t>
      </w:r>
      <w:r>
        <w:rPr>
          <w:rFonts w:hint="eastAsia" w:ascii="Times New Roman" w:hAnsi="Times New Roman" w:eastAsia="宋体" w:cs="Times New Roman"/>
          <w:color w:val="auto"/>
          <w:spacing w:val="0"/>
          <w:w w:val="100"/>
          <w:kern w:val="0"/>
          <w:position w:val="0"/>
          <w:sz w:val="24"/>
          <w:szCs w:val="21"/>
          <w:lang w:val="zh-CN" w:eastAsia="zh-CN" w:bidi="zh-CN"/>
        </w:rPr>
        <w:t>63m</w:t>
      </w:r>
      <w:r>
        <w:rPr>
          <w:rFonts w:hint="eastAsia" w:ascii="宋体" w:hAnsi="宋体" w:eastAsia="宋体" w:cs="宋体"/>
          <w:color w:val="auto"/>
          <w:spacing w:val="0"/>
          <w:w w:val="100"/>
          <w:kern w:val="0"/>
          <w:position w:val="0"/>
          <w:sz w:val="24"/>
          <w:szCs w:val="21"/>
          <w:lang w:val="zh-CN" w:eastAsia="zh-CN" w:bidi="zh-CN"/>
        </w:rPr>
        <w:t>，压力前池平面尺寸</w:t>
      </w:r>
      <w:r>
        <w:rPr>
          <w:rFonts w:hint="eastAsia" w:ascii="Times New Roman" w:hAnsi="Times New Roman" w:eastAsia="宋体" w:cs="Times New Roman"/>
          <w:color w:val="auto"/>
          <w:spacing w:val="0"/>
          <w:w w:val="100"/>
          <w:kern w:val="0"/>
          <w:position w:val="0"/>
          <w:sz w:val="24"/>
          <w:szCs w:val="21"/>
          <w:lang w:val="zh-CN" w:eastAsia="zh-CN" w:bidi="zh-CN"/>
        </w:rPr>
        <w:t>4×10m</w:t>
      </w:r>
      <w:r>
        <w:rPr>
          <w:rFonts w:hint="eastAsia" w:ascii="宋体" w:hAnsi="宋体" w:eastAsia="宋体" w:cs="宋体"/>
          <w:color w:val="auto"/>
          <w:spacing w:val="0"/>
          <w:w w:val="100"/>
          <w:kern w:val="0"/>
          <w:position w:val="0"/>
          <w:sz w:val="24"/>
          <w:szCs w:val="21"/>
          <w:lang w:val="zh-CN" w:eastAsia="zh-CN" w:bidi="zh-CN"/>
        </w:rPr>
        <w:t>，池深</w:t>
      </w:r>
      <w:r>
        <w:rPr>
          <w:rFonts w:hint="eastAsia" w:ascii="Times New Roman" w:hAnsi="Times New Roman" w:eastAsia="宋体" w:cs="Times New Roman"/>
          <w:color w:val="auto"/>
          <w:spacing w:val="0"/>
          <w:w w:val="100"/>
          <w:kern w:val="0"/>
          <w:position w:val="0"/>
          <w:sz w:val="24"/>
          <w:szCs w:val="21"/>
          <w:lang w:val="zh-CN" w:eastAsia="zh-CN" w:bidi="zh-CN"/>
        </w:rPr>
        <w:t>3.92m</w:t>
      </w:r>
      <w:r>
        <w:rPr>
          <w:rFonts w:hint="eastAsia" w:ascii="宋体" w:hAnsi="宋体" w:eastAsia="宋体" w:cs="宋体"/>
          <w:color w:val="auto"/>
          <w:spacing w:val="0"/>
          <w:w w:val="100"/>
          <w:kern w:val="0"/>
          <w:position w:val="0"/>
          <w:sz w:val="24"/>
          <w:szCs w:val="21"/>
          <w:lang w:val="zh-CN" w:eastAsia="zh-CN" w:bidi="zh-CN"/>
        </w:rPr>
        <w:t>，引水建筑沿由西南往东北方向沿地势建造。</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（3）电站厂区布置</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①厂区布置</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厂房发电采用压力管道引水，主管全长</w:t>
      </w:r>
      <w:r>
        <w:rPr>
          <w:rFonts w:hint="eastAsia" w:ascii="Times New Roman" w:hAnsi="Times New Roman" w:eastAsia="宋体" w:cs="Times New Roman"/>
          <w:color w:val="auto"/>
          <w:spacing w:val="0"/>
          <w:w w:val="100"/>
          <w:kern w:val="0"/>
          <w:position w:val="0"/>
          <w:sz w:val="24"/>
          <w:szCs w:val="21"/>
          <w:lang w:val="zh-CN" w:eastAsia="zh-CN" w:bidi="zh-CN"/>
        </w:rPr>
        <w:t>350m</w:t>
      </w:r>
      <w:r>
        <w:rPr>
          <w:rFonts w:hint="eastAsia" w:ascii="宋体" w:hAnsi="宋体" w:eastAsia="宋体" w:cs="宋体"/>
          <w:color w:val="auto"/>
          <w:spacing w:val="0"/>
          <w:w w:val="100"/>
          <w:kern w:val="0"/>
          <w:position w:val="0"/>
          <w:sz w:val="24"/>
          <w:szCs w:val="21"/>
          <w:lang w:val="zh-CN" w:eastAsia="zh-CN" w:bidi="zh-CN"/>
        </w:rPr>
        <w:t>，采用螺旋钢管，钢管内径</w:t>
      </w:r>
      <w:r>
        <w:rPr>
          <w:rFonts w:hint="eastAsia" w:ascii="Times New Roman" w:hAnsi="Times New Roman" w:eastAsia="宋体" w:cs="Times New Roman"/>
          <w:color w:val="auto"/>
          <w:spacing w:val="0"/>
          <w:w w:val="100"/>
          <w:kern w:val="0"/>
          <w:position w:val="0"/>
          <w:sz w:val="24"/>
          <w:szCs w:val="21"/>
          <w:lang w:val="zh-CN" w:eastAsia="zh-CN" w:bidi="zh-CN"/>
        </w:rPr>
        <w:t>0.72m</w:t>
      </w:r>
      <w:r>
        <w:rPr>
          <w:rFonts w:hint="eastAsia" w:ascii="宋体" w:hAnsi="宋体" w:eastAsia="宋体" w:cs="宋体"/>
          <w:color w:val="auto"/>
          <w:spacing w:val="0"/>
          <w:w w:val="100"/>
          <w:kern w:val="0"/>
          <w:position w:val="0"/>
          <w:sz w:val="24"/>
          <w:szCs w:val="21"/>
          <w:lang w:val="zh-CN" w:eastAsia="zh-CN" w:bidi="zh-CN"/>
        </w:rPr>
        <w:t>，升压站位于厂房南侧。</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②发电进水口</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发电进水口为每台机组一个，进水口由底板、闸墩、支承墩和渐变段等组成，进口段为喇叭型，进水口设置快速工作闸门和拦污栅各一道。</w:t>
      </w:r>
      <w:r>
        <w:rPr>
          <w:rFonts w:hint="eastAsia" w:ascii="Times New Roman" w:hAnsi="Times New Roman" w:eastAsia="宋体" w:cs="Times New Roman"/>
          <w:color w:val="auto"/>
          <w:spacing w:val="0"/>
          <w:w w:val="100"/>
          <w:kern w:val="0"/>
          <w:position w:val="0"/>
          <w:sz w:val="24"/>
          <w:szCs w:val="21"/>
          <w:lang w:val="zh-CN" w:eastAsia="zh-CN" w:bidi="zh-CN"/>
        </w:rPr>
        <w:t>2</w:t>
      </w:r>
      <w:r>
        <w:rPr>
          <w:rFonts w:hint="eastAsia" w:ascii="宋体" w:hAnsi="宋体" w:eastAsia="宋体" w:cs="宋体"/>
          <w:color w:val="auto"/>
          <w:spacing w:val="0"/>
          <w:w w:val="100"/>
          <w:kern w:val="0"/>
          <w:position w:val="0"/>
          <w:sz w:val="24"/>
          <w:szCs w:val="21"/>
          <w:lang w:val="zh-CN" w:eastAsia="zh-CN" w:bidi="zh-CN"/>
        </w:rPr>
        <w:t>个电站厂房进水阀为进水液动蝶阀，驱动方式为蓄能罐式油压装置。在进水口前设置拦砂坎及浮筒式拦污排各一道。</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③厂房</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厂房为框架结构，长1</w:t>
      </w:r>
      <w:r>
        <w:rPr>
          <w:rFonts w:hint="eastAsia" w:ascii="Times New Roman" w:hAnsi="Times New Roman" w:eastAsia="宋体" w:cs="Times New Roman"/>
          <w:color w:val="auto"/>
          <w:spacing w:val="0"/>
          <w:w w:val="100"/>
          <w:kern w:val="0"/>
          <w:position w:val="0"/>
          <w:sz w:val="24"/>
          <w:szCs w:val="21"/>
          <w:lang w:val="zh-CN" w:eastAsia="zh-CN" w:bidi="zh-CN"/>
        </w:rPr>
        <w:t>2.25m</w:t>
      </w:r>
      <w:r>
        <w:rPr>
          <w:rFonts w:hint="eastAsia" w:ascii="宋体" w:hAnsi="宋体" w:eastAsia="宋体" w:cs="宋体"/>
          <w:color w:val="auto"/>
          <w:spacing w:val="0"/>
          <w:w w:val="100"/>
          <w:kern w:val="0"/>
          <w:position w:val="0"/>
          <w:sz w:val="24"/>
          <w:szCs w:val="21"/>
          <w:lang w:val="zh-CN" w:eastAsia="zh-CN" w:bidi="zh-CN"/>
        </w:rPr>
        <w:t>，宽</w:t>
      </w:r>
      <w:r>
        <w:rPr>
          <w:rFonts w:hint="eastAsia" w:ascii="Times New Roman" w:hAnsi="Times New Roman" w:eastAsia="宋体" w:cs="Times New Roman"/>
          <w:color w:val="auto"/>
          <w:spacing w:val="0"/>
          <w:w w:val="100"/>
          <w:kern w:val="0"/>
          <w:position w:val="0"/>
          <w:sz w:val="24"/>
          <w:szCs w:val="21"/>
          <w:lang w:val="zh-CN" w:eastAsia="zh-CN" w:bidi="zh-CN"/>
        </w:rPr>
        <w:t>7.05m</w:t>
      </w:r>
      <w:r>
        <w:rPr>
          <w:rFonts w:hint="eastAsia" w:ascii="宋体" w:hAnsi="宋体" w:eastAsia="宋体" w:cs="宋体"/>
          <w:color w:val="auto"/>
          <w:spacing w:val="0"/>
          <w:w w:val="100"/>
          <w:kern w:val="0"/>
          <w:position w:val="0"/>
          <w:sz w:val="24"/>
          <w:szCs w:val="21"/>
          <w:lang w:val="zh-CN" w:eastAsia="zh-CN" w:bidi="zh-CN"/>
        </w:rPr>
        <w:t>，建筑面积为</w:t>
      </w:r>
      <w:r>
        <w:rPr>
          <w:rFonts w:hint="eastAsia" w:ascii="Times New Roman" w:hAnsi="Times New Roman" w:eastAsia="宋体" w:cs="Times New Roman"/>
          <w:color w:val="auto"/>
          <w:spacing w:val="0"/>
          <w:w w:val="100"/>
          <w:kern w:val="0"/>
          <w:position w:val="0"/>
          <w:sz w:val="24"/>
          <w:szCs w:val="21"/>
          <w:lang w:val="zh-CN" w:eastAsia="zh-CN" w:bidi="zh-CN"/>
        </w:rPr>
        <w:t>86.36m</w:t>
      </w:r>
      <w:r>
        <w:rPr>
          <w:rFonts w:hint="eastAsia" w:ascii="Times New Roman" w:hAnsi="Times New Roman" w:eastAsia="宋体" w:cs="Times New Roman"/>
          <w:color w:val="auto"/>
          <w:spacing w:val="0"/>
          <w:w w:val="100"/>
          <w:kern w:val="0"/>
          <w:position w:val="0"/>
          <w:sz w:val="24"/>
          <w:szCs w:val="21"/>
          <w:vertAlign w:val="superscript"/>
          <w:lang w:val="zh-CN" w:eastAsia="zh-CN" w:bidi="zh-CN"/>
        </w:rPr>
        <w:t>2</w:t>
      </w:r>
      <w:r>
        <w:rPr>
          <w:rFonts w:hint="eastAsia" w:ascii="宋体" w:hAnsi="宋体" w:eastAsia="宋体" w:cs="宋体"/>
          <w:color w:val="auto"/>
          <w:spacing w:val="0"/>
          <w:w w:val="100"/>
          <w:kern w:val="0"/>
          <w:position w:val="0"/>
          <w:sz w:val="24"/>
          <w:szCs w:val="21"/>
          <w:lang w:val="zh-CN" w:eastAsia="zh-CN" w:bidi="zh-CN"/>
        </w:rPr>
        <w:t>。厂内布置</w:t>
      </w:r>
      <w:r>
        <w:rPr>
          <w:rFonts w:hint="eastAsia" w:ascii="Times New Roman" w:hAnsi="Times New Roman" w:eastAsia="宋体" w:cs="Times New Roman"/>
          <w:color w:val="auto"/>
          <w:spacing w:val="0"/>
          <w:w w:val="100"/>
          <w:kern w:val="0"/>
          <w:position w:val="0"/>
          <w:sz w:val="24"/>
          <w:szCs w:val="21"/>
          <w:lang w:val="zh-CN" w:eastAsia="zh-CN" w:bidi="zh-CN"/>
        </w:rPr>
        <w:t>2</w:t>
      </w:r>
      <w:r>
        <w:rPr>
          <w:rFonts w:hint="eastAsia" w:ascii="宋体" w:hAnsi="宋体" w:eastAsia="宋体" w:cs="宋体"/>
          <w:color w:val="auto"/>
          <w:spacing w:val="0"/>
          <w:w w:val="100"/>
          <w:kern w:val="0"/>
          <w:position w:val="0"/>
          <w:sz w:val="24"/>
          <w:szCs w:val="21"/>
          <w:lang w:val="zh-CN" w:eastAsia="zh-CN" w:bidi="zh-CN"/>
        </w:rPr>
        <w:t>台水轮发电机组，水轮机型号为</w:t>
      </w:r>
      <w:r>
        <w:rPr>
          <w:rFonts w:hint="eastAsia" w:ascii="Times New Roman" w:hAnsi="Times New Roman" w:eastAsia="宋体" w:cs="Times New Roman"/>
          <w:color w:val="auto"/>
          <w:spacing w:val="0"/>
          <w:w w:val="100"/>
          <w:kern w:val="0"/>
          <w:position w:val="0"/>
          <w:sz w:val="24"/>
          <w:szCs w:val="21"/>
          <w:lang w:val="zh-CN" w:eastAsia="zh-CN" w:bidi="zh-CN"/>
        </w:rPr>
        <w:t>XJ-W-40/1×10</w:t>
      </w:r>
      <w:r>
        <w:rPr>
          <w:rFonts w:hint="eastAsia" w:ascii="宋体" w:hAnsi="宋体" w:eastAsia="宋体" w:cs="宋体"/>
          <w:color w:val="auto"/>
          <w:spacing w:val="0"/>
          <w:w w:val="100"/>
          <w:kern w:val="0"/>
          <w:position w:val="0"/>
          <w:sz w:val="24"/>
          <w:szCs w:val="21"/>
          <w:lang w:val="zh-CN" w:eastAsia="zh-CN" w:bidi="zh-CN"/>
        </w:rPr>
        <w:t>，发电机型号为</w:t>
      </w:r>
      <w:r>
        <w:rPr>
          <w:rFonts w:hint="eastAsia" w:ascii="Times New Roman" w:hAnsi="Times New Roman" w:eastAsia="宋体" w:cs="Times New Roman"/>
          <w:color w:val="auto"/>
          <w:spacing w:val="0"/>
          <w:w w:val="100"/>
          <w:kern w:val="0"/>
          <w:position w:val="0"/>
          <w:sz w:val="24"/>
          <w:szCs w:val="21"/>
          <w:lang w:val="zh-CN" w:eastAsia="zh-CN" w:bidi="zh-CN"/>
        </w:rPr>
        <w:t>SFW250-6/740</w:t>
      </w:r>
      <w:r>
        <w:rPr>
          <w:rFonts w:hint="eastAsia" w:ascii="宋体" w:hAnsi="宋体" w:eastAsia="宋体" w:cs="宋体"/>
          <w:color w:val="auto"/>
          <w:spacing w:val="0"/>
          <w:w w:val="100"/>
          <w:kern w:val="0"/>
          <w:position w:val="0"/>
          <w:sz w:val="24"/>
          <w:szCs w:val="21"/>
          <w:lang w:val="zh-CN" w:eastAsia="zh-CN" w:bidi="zh-CN"/>
        </w:rPr>
        <w:t>，设尾水检修闸门。</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④升压站</w:t>
      </w:r>
    </w:p>
    <w:p>
      <w:pPr>
        <w:pStyle w:val="7"/>
        <w:keepNext w:val="0"/>
        <w:keepLines w:val="0"/>
        <w:pageBreakBefore w:val="0"/>
        <w:widowControl w:val="0"/>
        <w:kinsoku/>
        <w:wordWrap/>
        <w:overflowPunct/>
        <w:topLinePunct w:val="0"/>
        <w:bidi w:val="0"/>
        <w:adjustRightInd/>
        <w:snapToGrid/>
        <w:spacing w:before="0" w:line="360" w:lineRule="auto"/>
        <w:ind w:left="0" w:firstLine="480" w:firstLineChars="200"/>
        <w:jc w:val="left"/>
        <w:textAlignment w:val="auto"/>
        <w:rPr>
          <w:rFonts w:hint="eastAsia" w:ascii="宋体" w:hAnsi="宋体" w:eastAsia="宋体" w:cs="宋体"/>
          <w:color w:val="auto"/>
          <w:spacing w:val="0"/>
          <w:w w:val="100"/>
          <w:kern w:val="0"/>
          <w:position w:val="0"/>
          <w:sz w:val="24"/>
          <w:szCs w:val="21"/>
          <w:lang w:val="zh-CN" w:eastAsia="zh-CN" w:bidi="zh-CN"/>
        </w:rPr>
      </w:pPr>
      <w:r>
        <w:rPr>
          <w:rFonts w:hint="eastAsia" w:ascii="宋体" w:hAnsi="宋体" w:eastAsia="宋体" w:cs="宋体"/>
          <w:color w:val="auto"/>
          <w:spacing w:val="0"/>
          <w:w w:val="100"/>
          <w:kern w:val="0"/>
          <w:position w:val="0"/>
          <w:sz w:val="24"/>
          <w:szCs w:val="21"/>
          <w:lang w:val="zh-CN" w:eastAsia="zh-CN" w:bidi="zh-CN"/>
        </w:rPr>
        <w:t>升压站均布置厂房南侧，占地面积</w:t>
      </w:r>
      <w:r>
        <w:rPr>
          <w:rFonts w:hint="eastAsia" w:ascii="Times New Roman" w:hAnsi="Times New Roman" w:eastAsia="宋体" w:cs="Times New Roman"/>
          <w:color w:val="auto"/>
          <w:spacing w:val="0"/>
          <w:w w:val="100"/>
          <w:kern w:val="0"/>
          <w:position w:val="0"/>
          <w:sz w:val="24"/>
          <w:szCs w:val="21"/>
          <w:lang w:val="zh-CN" w:eastAsia="zh-CN" w:bidi="zh-CN"/>
        </w:rPr>
        <w:t>20m</w:t>
      </w:r>
      <w:r>
        <w:rPr>
          <w:rFonts w:hint="eastAsia" w:ascii="Times New Roman" w:hAnsi="Times New Roman" w:eastAsia="宋体" w:cs="Times New Roman"/>
          <w:color w:val="auto"/>
          <w:spacing w:val="0"/>
          <w:w w:val="100"/>
          <w:kern w:val="0"/>
          <w:position w:val="0"/>
          <w:sz w:val="24"/>
          <w:szCs w:val="21"/>
          <w:vertAlign w:val="superscript"/>
          <w:lang w:val="zh-CN" w:eastAsia="zh-CN" w:bidi="zh-CN"/>
        </w:rPr>
        <w:t>2</w:t>
      </w:r>
      <w:r>
        <w:rPr>
          <w:rFonts w:hint="eastAsia" w:ascii="宋体" w:hAnsi="宋体" w:eastAsia="宋体" w:cs="宋体"/>
          <w:color w:val="auto"/>
          <w:spacing w:val="0"/>
          <w:w w:val="100"/>
          <w:kern w:val="0"/>
          <w:position w:val="0"/>
          <w:sz w:val="24"/>
          <w:szCs w:val="21"/>
          <w:lang w:val="zh-CN" w:eastAsia="zh-CN" w:bidi="zh-CN"/>
        </w:rPr>
        <w:t>，布置两台变压器型号为</w:t>
      </w:r>
      <w:r>
        <w:rPr>
          <w:rFonts w:hint="eastAsia" w:ascii="Times New Roman" w:hAnsi="Times New Roman" w:eastAsia="宋体" w:cs="Times New Roman"/>
          <w:color w:val="auto"/>
          <w:spacing w:val="0"/>
          <w:w w:val="100"/>
          <w:kern w:val="0"/>
          <w:position w:val="0"/>
          <w:sz w:val="24"/>
          <w:szCs w:val="21"/>
          <w:lang w:val="zh-CN" w:eastAsia="zh-CN" w:bidi="zh-CN"/>
        </w:rPr>
        <w:t>S9-315-10/0.4</w:t>
      </w:r>
      <w:r>
        <w:rPr>
          <w:rFonts w:hint="eastAsia" w:ascii="宋体" w:hAnsi="宋体" w:eastAsia="宋体" w:cs="宋体"/>
          <w:color w:val="auto"/>
          <w:spacing w:val="0"/>
          <w:w w:val="100"/>
          <w:kern w:val="0"/>
          <w:position w:val="0"/>
          <w:sz w:val="24"/>
          <w:szCs w:val="21"/>
          <w:lang w:val="zh-CN" w:eastAsia="zh-CN" w:bidi="zh-CN"/>
        </w:rPr>
        <w:t>。</w:t>
      </w:r>
    </w:p>
    <w:p>
      <w:pPr>
        <w:pStyle w:val="20"/>
        <w:numPr>
          <w:ilvl w:val="2"/>
          <w:numId w:val="3"/>
        </w:numPr>
        <w:tabs>
          <w:tab w:val="left" w:pos="1316"/>
        </w:tabs>
        <w:spacing w:before="116" w:after="0" w:line="240" w:lineRule="auto"/>
        <w:ind w:left="1316" w:right="0" w:hanging="699"/>
        <w:jc w:val="both"/>
        <w:rPr>
          <w:rFonts w:hint="eastAsia" w:ascii="宋体" w:hAnsi="宋体" w:eastAsia="宋体" w:cs="宋体"/>
          <w:b/>
          <w:sz w:val="28"/>
          <w:highlight w:val="none"/>
        </w:rPr>
      </w:pPr>
      <w:bookmarkStart w:id="64" w:name="2.2.4水库淹没处理及工程永久占地"/>
      <w:bookmarkEnd w:id="64"/>
      <w:bookmarkStart w:id="65" w:name="2.2.4水库淹没处理及工程永久占地"/>
      <w:bookmarkEnd w:id="65"/>
      <w:r>
        <w:rPr>
          <w:rFonts w:hint="eastAsia" w:ascii="宋体" w:hAnsi="宋体" w:eastAsia="宋体" w:cs="宋体"/>
          <w:b/>
          <w:sz w:val="28"/>
          <w:highlight w:val="none"/>
        </w:rPr>
        <w:t>水库淹没处理及工程永久占地</w:t>
      </w:r>
    </w:p>
    <w:p>
      <w:pPr>
        <w:pStyle w:val="7"/>
        <w:spacing w:before="11"/>
        <w:rPr>
          <w:b/>
          <w:sz w:val="23"/>
          <w:highlight w:val="none"/>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根据现场踏勘和水资源论证报告，水库淹没主要包括拦河坝上游两岸河床滩涂荒地，不涉及具有开采价值的矿产和已公布的文物保护单位被淹</w:t>
      </w:r>
      <w:r>
        <w:rPr>
          <w:rFonts w:hint="eastAsia" w:ascii="宋体" w:hAnsi="宋体" w:eastAsia="宋体" w:cs="宋体"/>
          <w:highlight w:val="none"/>
          <w:lang w:eastAsia="zh-CN"/>
        </w:rPr>
        <w:t>，不涉及农牧民的生产资料及搬迁问题</w:t>
      </w:r>
      <w:r>
        <w:rPr>
          <w:rFonts w:hint="eastAsia" w:ascii="宋体" w:hAnsi="宋体" w:eastAsia="宋体" w:cs="宋体"/>
          <w:highlight w:val="none"/>
        </w:rPr>
        <w:t>。</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eastAsia" w:ascii="宋体" w:hAnsi="宋体" w:eastAsia="宋体" w:cs="宋体"/>
          <w:highlight w:val="none"/>
        </w:rPr>
      </w:pPr>
      <w:r>
        <w:rPr>
          <w:rFonts w:hint="default" w:ascii="Times New Roman" w:hAnsi="Times New Roman" w:eastAsia="宋体" w:cs="Times New Roman"/>
          <w:caps w:val="0"/>
          <w:smallCaps w:val="0"/>
          <w:snapToGrid/>
          <w:color w:val="auto"/>
          <w:spacing w:val="0"/>
          <w:w w:val="100"/>
          <w:kern w:val="2"/>
          <w:position w:val="0"/>
          <w:sz w:val="24"/>
        </w:rPr>
        <w:t>本工程不占基本农田，工程永久占地588.2平方米，属存量建设用地</w:t>
      </w:r>
      <w:r>
        <w:rPr>
          <w:rFonts w:hint="eastAsia" w:ascii="宋体" w:hAnsi="宋体" w:eastAsia="宋体" w:cs="宋体"/>
          <w:highlight w:val="none"/>
        </w:rPr>
        <w:t>。</w:t>
      </w:r>
    </w:p>
    <w:p>
      <w:pPr>
        <w:pStyle w:val="20"/>
        <w:numPr>
          <w:ilvl w:val="2"/>
          <w:numId w:val="3"/>
        </w:numPr>
        <w:tabs>
          <w:tab w:val="left" w:pos="1316"/>
        </w:tabs>
        <w:spacing w:before="115" w:after="0" w:line="240" w:lineRule="auto"/>
        <w:ind w:left="1316" w:right="0" w:hanging="699"/>
        <w:jc w:val="both"/>
        <w:rPr>
          <w:rFonts w:hint="eastAsia" w:ascii="宋体" w:hAnsi="宋体" w:eastAsia="宋体" w:cs="宋体"/>
          <w:b/>
          <w:sz w:val="28"/>
          <w:highlight w:val="none"/>
        </w:rPr>
      </w:pPr>
      <w:bookmarkStart w:id="66" w:name="2.2.5弃渣场、砂石料场"/>
      <w:bookmarkEnd w:id="66"/>
      <w:bookmarkStart w:id="67" w:name="2.2.5弃渣场、砂石料场"/>
      <w:bookmarkEnd w:id="67"/>
      <w:r>
        <w:rPr>
          <w:rFonts w:hint="eastAsia" w:ascii="宋体" w:hAnsi="宋体" w:eastAsia="宋体" w:cs="宋体"/>
          <w:b/>
          <w:sz w:val="28"/>
          <w:highlight w:val="none"/>
        </w:rPr>
        <w:t>弃渣场、砂石料场</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eastAsia" w:ascii="宋体" w:hAnsi="宋体" w:eastAsia="宋体" w:cs="宋体"/>
          <w:highlight w:val="none"/>
        </w:rPr>
      </w:pPr>
      <w:r>
        <w:rPr>
          <w:rFonts w:hint="eastAsia" w:ascii="宋体" w:hAnsi="宋体" w:eastAsia="宋体" w:cs="宋体"/>
          <w:highlight w:val="none"/>
        </w:rPr>
        <w:t>工程水保方案中共规划了</w:t>
      </w:r>
      <w:r>
        <w:rPr>
          <w:rFonts w:hint="eastAsia" w:ascii="宋体" w:hAnsi="宋体" w:eastAsia="宋体" w:cs="宋体"/>
          <w:highlight w:val="none"/>
          <w:lang w:val="en-US" w:eastAsia="zh-CN"/>
        </w:rPr>
        <w:t>1</w:t>
      </w:r>
      <w:r>
        <w:rPr>
          <w:rFonts w:hint="eastAsia" w:ascii="宋体" w:hAnsi="宋体" w:eastAsia="宋体" w:cs="宋体"/>
          <w:highlight w:val="none"/>
        </w:rPr>
        <w:t>个弃渣场，弃渣场周围设置了挡渣墙、截水沟和排水沟，避免了流失造成水质污染和影响鱼类栖息环境。</w:t>
      </w:r>
    </w:p>
    <w:p>
      <w:pPr>
        <w:pStyle w:val="7"/>
        <w:spacing w:before="12"/>
        <w:rPr>
          <w:sz w:val="21"/>
          <w:highlight w:val="yellow"/>
        </w:rPr>
      </w:pPr>
    </w:p>
    <w:p>
      <w:pPr>
        <w:pStyle w:val="4"/>
        <w:ind w:left="617" w:firstLine="0"/>
        <w:rPr>
          <w:b/>
          <w:bCs/>
          <w:highlight w:val="none"/>
        </w:rPr>
      </w:pPr>
      <w:bookmarkStart w:id="68" w:name="2.2.6水土流失"/>
      <w:bookmarkEnd w:id="68"/>
      <w:bookmarkStart w:id="69" w:name="2.2.6水土流失"/>
      <w:bookmarkEnd w:id="69"/>
      <w:r>
        <w:rPr>
          <w:rFonts w:ascii="Arial" w:eastAsia="Arial"/>
          <w:highlight w:val="none"/>
        </w:rPr>
        <w:t>2.3</w:t>
      </w:r>
      <w:bookmarkStart w:id="70" w:name="2.3工程变更及调整"/>
      <w:bookmarkEnd w:id="70"/>
      <w:r>
        <w:rPr>
          <w:rFonts w:ascii="Arial" w:eastAsia="Arial"/>
          <w:spacing w:val="68"/>
          <w:highlight w:val="none"/>
        </w:rPr>
        <w:t xml:space="preserve"> </w:t>
      </w:r>
      <w:r>
        <w:rPr>
          <w:rFonts w:hint="eastAsia" w:ascii="宋体" w:hAnsi="宋体" w:eastAsia="宋体" w:cs="宋体"/>
          <w:highlight w:val="none"/>
        </w:rPr>
        <w:t>工程变更及调整</w:t>
      </w:r>
      <w:r>
        <w:rPr>
          <w:rFonts w:hint="eastAsia" w:ascii="宋体" w:hAnsi="宋体" w:eastAsia="宋体" w:cs="宋体"/>
          <w:highlight w:val="none"/>
        </w:rPr>
        <w:br w:type="textWrapping"/>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textAlignment w:val="auto"/>
        <w:rPr>
          <w:rFonts w:hint="eastAsia" w:ascii="宋体" w:hAnsi="宋体" w:eastAsia="宋体" w:cs="宋体"/>
          <w:highlight w:val="none"/>
        </w:rPr>
      </w:pPr>
      <w:r>
        <w:rPr>
          <w:rFonts w:hint="eastAsia" w:ascii="宋体" w:hAnsi="宋体" w:eastAsia="宋体" w:cs="宋体"/>
          <w:spacing w:val="-15"/>
          <w:highlight w:val="none"/>
        </w:rPr>
        <w:t xml:space="preserve">根据工程设计、环评报告、机组启动阶段验收鉴定书等资料，结合现场调查， </w:t>
      </w:r>
      <w:r>
        <w:rPr>
          <w:rFonts w:hint="eastAsia" w:ascii="宋体" w:hAnsi="宋体" w:eastAsia="宋体" w:cs="宋体"/>
          <w:highlight w:val="none"/>
        </w:rPr>
        <w:t>工程报批及竣工后的情况比较见表 2-</w:t>
      </w:r>
      <w:r>
        <w:rPr>
          <w:rFonts w:hint="eastAsia" w:ascii="宋体" w:hAnsi="宋体" w:eastAsia="宋体" w:cs="宋体"/>
          <w:spacing w:val="-25"/>
          <w:highlight w:val="none"/>
        </w:rPr>
        <w:t xml:space="preserve"> </w:t>
      </w:r>
      <w:r>
        <w:rPr>
          <w:rFonts w:hint="eastAsia" w:ascii="宋体" w:hAnsi="宋体" w:eastAsia="宋体" w:cs="宋体"/>
          <w:spacing w:val="4"/>
          <w:highlight w:val="none"/>
        </w:rPr>
        <w:t>1</w:t>
      </w:r>
      <w:r>
        <w:rPr>
          <w:rFonts w:hint="eastAsia" w:ascii="宋体" w:hAnsi="宋体" w:eastAsia="宋体" w:cs="宋体"/>
          <w:highlight w:val="none"/>
        </w:rPr>
        <w:t>。</w:t>
      </w:r>
    </w:p>
    <w:p>
      <w:pPr>
        <w:spacing w:after="0" w:line="362" w:lineRule="auto"/>
        <w:sectPr>
          <w:pgSz w:w="11910" w:h="16840"/>
          <w:pgMar w:top="1380" w:right="1160" w:bottom="1180" w:left="1180" w:header="0" w:footer="991" w:gutter="0"/>
          <w:pgBorders>
            <w:top w:val="none" w:sz="0" w:space="0"/>
            <w:left w:val="none" w:sz="0" w:space="0"/>
            <w:bottom w:val="none" w:sz="0" w:space="0"/>
            <w:right w:val="none" w:sz="0" w:space="0"/>
          </w:pgBorders>
          <w:pgNumType w:fmt="decimal"/>
        </w:sectPr>
      </w:pPr>
    </w:p>
    <w:p>
      <w:pPr>
        <w:pStyle w:val="7"/>
        <w:spacing w:before="3"/>
        <w:rPr>
          <w:sz w:val="20"/>
        </w:rPr>
      </w:pPr>
    </w:p>
    <w:p>
      <w:pPr>
        <w:spacing w:before="77"/>
        <w:ind w:left="-24" w:right="0" w:firstLine="0"/>
        <w:jc w:val="center"/>
        <w:rPr>
          <w:rFonts w:hint="eastAsia" w:ascii="宋体" w:hAnsi="宋体" w:eastAsia="宋体" w:cs="宋体"/>
          <w:b/>
          <w:sz w:val="22"/>
          <w:szCs w:val="28"/>
        </w:rPr>
      </w:pPr>
      <w:r>
        <w:rPr>
          <w:rFonts w:hint="eastAsia" w:ascii="宋体" w:hAnsi="宋体" w:eastAsia="宋体" w:cs="宋体"/>
          <w:b/>
          <w:sz w:val="22"/>
          <w:szCs w:val="28"/>
        </w:rPr>
        <w:t>表 2- 1 工程建设、运行变更情况一览表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10"/>
        <w:gridCol w:w="5027"/>
        <w:gridCol w:w="5038"/>
        <w:gridCol w:w="1425"/>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序号</w:t>
            </w:r>
          </w:p>
        </w:tc>
        <w:tc>
          <w:tcPr>
            <w:tcW w:w="710" w:type="dxa"/>
            <w:vAlign w:val="center"/>
          </w:tcPr>
          <w:p>
            <w:pPr>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工程内容</w:t>
            </w:r>
          </w:p>
        </w:tc>
        <w:tc>
          <w:tcPr>
            <w:tcW w:w="5027" w:type="dxa"/>
            <w:vAlign w:val="center"/>
          </w:tcPr>
          <w:p>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新建项目环评报告及批复要求建设情况</w:t>
            </w:r>
          </w:p>
          <w:p>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w:t>
            </w:r>
            <w:r>
              <w:rPr>
                <w:rFonts w:hint="eastAsia" w:ascii="宋体" w:hAnsi="宋体" w:eastAsia="宋体" w:cs="宋体"/>
                <w:b/>
                <w:bCs/>
                <w:sz w:val="24"/>
                <w:szCs w:val="24"/>
                <w:lang w:eastAsia="zh-CN"/>
              </w:rPr>
              <w:t>崇环审</w:t>
            </w:r>
            <w:r>
              <w:rPr>
                <w:rFonts w:hint="eastAsia" w:ascii="宋体" w:hAnsi="宋体" w:eastAsia="宋体" w:cs="宋体"/>
                <w:b/>
                <w:bCs/>
                <w:sz w:val="24"/>
                <w:szCs w:val="24"/>
              </w:rPr>
              <w:t>字</w:t>
            </w:r>
            <w:r>
              <w:rPr>
                <w:rFonts w:hint="eastAsia" w:ascii="Times New Roman" w:hAnsi="Times New Roman" w:eastAsia="宋体" w:cs="Times New Roman"/>
                <w:b/>
                <w:bCs/>
                <w:spacing w:val="-10"/>
                <w:sz w:val="24"/>
                <w:szCs w:val="24"/>
              </w:rPr>
              <w:t>[20</w:t>
            </w:r>
            <w:r>
              <w:rPr>
                <w:rFonts w:hint="eastAsia" w:ascii="Times New Roman" w:hAnsi="Times New Roman" w:eastAsia="宋体" w:cs="Times New Roman"/>
                <w:b/>
                <w:bCs/>
                <w:spacing w:val="-10"/>
                <w:sz w:val="24"/>
                <w:szCs w:val="24"/>
                <w:lang w:val="en-US" w:eastAsia="zh-CN"/>
              </w:rPr>
              <w:t>20</w:t>
            </w:r>
            <w:r>
              <w:rPr>
                <w:rFonts w:hint="eastAsia" w:ascii="Times New Roman" w:hAnsi="Times New Roman" w:eastAsia="宋体" w:cs="Times New Roman"/>
                <w:b/>
                <w:bCs/>
                <w:spacing w:val="-10"/>
                <w:sz w:val="24"/>
                <w:szCs w:val="24"/>
              </w:rPr>
              <w:t>]</w:t>
            </w:r>
            <w:r>
              <w:rPr>
                <w:rFonts w:hint="eastAsia" w:ascii="Times New Roman" w:hAnsi="Times New Roman" w:eastAsia="宋体" w:cs="Times New Roman"/>
                <w:b/>
                <w:bCs/>
                <w:spacing w:val="-10"/>
                <w:sz w:val="24"/>
                <w:szCs w:val="24"/>
                <w:lang w:val="en-US" w:eastAsia="zh-CN"/>
              </w:rPr>
              <w:t>74</w:t>
            </w:r>
            <w:r>
              <w:rPr>
                <w:rFonts w:hint="eastAsia" w:ascii="宋体" w:hAnsi="宋体" w:eastAsia="宋体" w:cs="宋体"/>
                <w:b/>
                <w:bCs/>
                <w:sz w:val="24"/>
                <w:szCs w:val="24"/>
              </w:rPr>
              <w:t xml:space="preserve"> 号</w:t>
            </w:r>
            <w:r>
              <w:rPr>
                <w:rFonts w:hint="eastAsia" w:ascii="宋体" w:hAnsi="宋体" w:eastAsia="宋体" w:cs="宋体"/>
                <w:b/>
                <w:bCs/>
                <w:sz w:val="21"/>
                <w:szCs w:val="21"/>
                <w:vertAlign w:val="baseline"/>
              </w:rPr>
              <w:t>）</w:t>
            </w:r>
          </w:p>
        </w:tc>
        <w:tc>
          <w:tcPr>
            <w:tcW w:w="5038" w:type="dxa"/>
            <w:vAlign w:val="center"/>
          </w:tcPr>
          <w:p>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实际建设情况</w:t>
            </w:r>
          </w:p>
        </w:tc>
        <w:tc>
          <w:tcPr>
            <w:tcW w:w="1425" w:type="dxa"/>
            <w:vAlign w:val="center"/>
          </w:tcPr>
          <w:p>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rPr>
              <w:t>变更情况</w:t>
            </w:r>
          </w:p>
        </w:tc>
        <w:tc>
          <w:tcPr>
            <w:tcW w:w="1329" w:type="dxa"/>
            <w:vAlign w:val="center"/>
          </w:tcPr>
          <w:p>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710"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工程规模</w:t>
            </w:r>
          </w:p>
        </w:tc>
        <w:tc>
          <w:tcPr>
            <w:tcW w:w="5027" w:type="dxa"/>
            <w:vAlign w:val="center"/>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left"/>
              <w:textAlignment w:val="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坝址处多年平均</w:t>
            </w:r>
            <w:r>
              <w:rPr>
                <w:rFonts w:hint="eastAsia" w:ascii="宋体" w:hAnsi="宋体" w:eastAsia="宋体" w:cs="宋体"/>
                <w:sz w:val="21"/>
                <w:szCs w:val="21"/>
                <w:vertAlign w:val="baseline"/>
                <w:lang w:val="en-US" w:eastAsia="zh-CN"/>
              </w:rPr>
              <w:t>径</w:t>
            </w:r>
            <w:r>
              <w:rPr>
                <w:rFonts w:hint="eastAsia" w:ascii="宋体" w:hAnsi="宋体" w:eastAsia="宋体" w:cs="宋体"/>
                <w:sz w:val="21"/>
                <w:szCs w:val="21"/>
                <w:vertAlign w:val="baseline"/>
              </w:rPr>
              <w:t>流量为</w:t>
            </w:r>
            <w:r>
              <w:rPr>
                <w:rFonts w:hint="default" w:ascii="Times New Roman" w:hAnsi="Times New Roman" w:eastAsia="宋体" w:cs="Times New Roman"/>
                <w:sz w:val="21"/>
                <w:szCs w:val="21"/>
                <w:vertAlign w:val="baseline"/>
                <w:lang w:val="en-US" w:eastAsia="zh-CN"/>
              </w:rPr>
              <w:t>0.34</w:t>
            </w:r>
            <w:r>
              <w:rPr>
                <w:rFonts w:hint="default" w:ascii="Times New Roman" w:hAnsi="Times New Roman" w:eastAsia="宋体" w:cs="Times New Roman"/>
                <w:sz w:val="21"/>
                <w:szCs w:val="21"/>
                <w:vertAlign w:val="baseline"/>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vertAlign w:val="baseline"/>
              </w:rPr>
              <w:t>/s</w:t>
            </w:r>
            <w:r>
              <w:rPr>
                <w:rFonts w:hint="eastAsia" w:ascii="宋体" w:hAnsi="宋体" w:eastAsia="宋体" w:cs="宋体"/>
                <w:sz w:val="21"/>
                <w:szCs w:val="21"/>
                <w:vertAlign w:val="baseline"/>
              </w:rPr>
              <w:t>，坝址以上集雨面积</w:t>
            </w:r>
            <w:r>
              <w:rPr>
                <w:rFonts w:hint="eastAsia" w:ascii="Times New Roman" w:hAnsi="Times New Roman" w:eastAsia="宋体" w:cs="Times New Roman"/>
                <w:sz w:val="21"/>
                <w:szCs w:val="21"/>
                <w:vertAlign w:val="baseline"/>
                <w:lang w:val="en-US" w:eastAsia="zh-CN"/>
              </w:rPr>
              <w:t>7.1km</w:t>
            </w:r>
            <w:r>
              <w:rPr>
                <w:rFonts w:hint="eastAsia" w:ascii="Times New Roman" w:hAnsi="Times New Roman" w:eastAsia="宋体" w:cs="Times New Roman"/>
                <w:sz w:val="21"/>
                <w:szCs w:val="21"/>
                <w:vertAlign w:val="superscript"/>
                <w:lang w:val="en-US" w:eastAsia="zh-CN"/>
              </w:rPr>
              <w:t>2</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rPr>
              <w:t>多年平均年径流量为</w:t>
            </w:r>
            <w:r>
              <w:rPr>
                <w:rFonts w:hint="eastAsia" w:ascii="Times New Roman" w:hAnsi="Times New Roman" w:eastAsia="宋体" w:cs="Times New Roman"/>
                <w:sz w:val="21"/>
                <w:szCs w:val="21"/>
                <w:vertAlign w:val="baseline"/>
                <w:lang w:val="en-US" w:eastAsia="zh-CN"/>
              </w:rPr>
              <w:t>1072.22</w:t>
            </w:r>
            <w:r>
              <w:rPr>
                <w:rFonts w:hint="eastAsia" w:ascii="宋体" w:hAnsi="宋体" w:eastAsia="宋体" w:cs="宋体"/>
                <w:sz w:val="21"/>
                <w:szCs w:val="21"/>
                <w:vertAlign w:val="baseline"/>
              </w:rPr>
              <w:t>万</w:t>
            </w:r>
            <w:r>
              <w:rPr>
                <w:rFonts w:hint="eastAsia" w:ascii="Times New Roman" w:hAnsi="Times New Roman" w:eastAsia="宋体" w:cs="Times New Roman"/>
                <w:sz w:val="21"/>
                <w:szCs w:val="21"/>
                <w:vertAlign w:val="baseline"/>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宋体" w:hAnsi="宋体" w:eastAsia="宋体" w:cs="宋体"/>
                <w:sz w:val="21"/>
                <w:szCs w:val="21"/>
                <w:vertAlign w:val="baseline"/>
              </w:rPr>
              <w:t>。设计水头</w:t>
            </w:r>
            <w:r>
              <w:rPr>
                <w:rFonts w:hint="eastAsia" w:ascii="Times New Roman" w:hAnsi="Times New Roman" w:eastAsia="宋体" w:cs="Times New Roman"/>
                <w:sz w:val="21"/>
                <w:szCs w:val="21"/>
                <w:vertAlign w:val="baseline"/>
                <w:lang w:val="en-US" w:eastAsia="zh-CN"/>
              </w:rPr>
              <w:t>110m</w:t>
            </w:r>
            <w:r>
              <w:rPr>
                <w:rFonts w:hint="eastAsia" w:ascii="宋体" w:hAnsi="宋体" w:eastAsia="宋体" w:cs="宋体"/>
                <w:sz w:val="21"/>
                <w:szCs w:val="21"/>
                <w:vertAlign w:val="baseline"/>
              </w:rPr>
              <w:t>，电站装机容量</w:t>
            </w:r>
            <w:r>
              <w:rPr>
                <w:rFonts w:hint="eastAsia" w:ascii="Times New Roman" w:hAnsi="Times New Roman" w:eastAsia="宋体" w:cs="Times New Roman"/>
                <w:sz w:val="21"/>
                <w:szCs w:val="21"/>
                <w:vertAlign w:val="baseline"/>
                <w:lang w:val="en-US" w:eastAsia="zh-CN"/>
              </w:rPr>
              <w:t>500kw</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年利用小时数为</w:t>
            </w:r>
            <w:r>
              <w:rPr>
                <w:rFonts w:hint="eastAsia" w:ascii="Times New Roman" w:hAnsi="Times New Roman" w:eastAsia="宋体" w:cs="Times New Roman"/>
                <w:sz w:val="21"/>
                <w:szCs w:val="21"/>
                <w:vertAlign w:val="baseline"/>
                <w:lang w:val="en-US" w:eastAsia="zh-CN"/>
              </w:rPr>
              <w:t>3240h</w:t>
            </w:r>
            <w:r>
              <w:rPr>
                <w:rFonts w:hint="eastAsia" w:ascii="宋体" w:hAnsi="宋体" w:eastAsia="宋体" w:cs="宋体"/>
                <w:sz w:val="21"/>
                <w:szCs w:val="21"/>
                <w:vertAlign w:val="baseline"/>
              </w:rPr>
              <w:t>，多年平均发电量</w:t>
            </w:r>
            <w:r>
              <w:rPr>
                <w:rFonts w:hint="eastAsia" w:ascii="Times New Roman" w:hAnsi="Times New Roman" w:eastAsia="宋体" w:cs="Times New Roman"/>
                <w:sz w:val="21"/>
                <w:szCs w:val="21"/>
                <w:vertAlign w:val="baseline"/>
                <w:lang w:val="en-US" w:eastAsia="zh-CN"/>
              </w:rPr>
              <w:t>162</w:t>
            </w:r>
            <w:r>
              <w:rPr>
                <w:rFonts w:hint="eastAsia" w:ascii="宋体" w:hAnsi="宋体" w:eastAsia="宋体" w:cs="宋体"/>
                <w:sz w:val="21"/>
                <w:szCs w:val="21"/>
                <w:vertAlign w:val="baseline"/>
              </w:rPr>
              <w:t>万</w:t>
            </w:r>
            <w:r>
              <w:rPr>
                <w:rFonts w:hint="eastAsia" w:ascii="Times New Roman" w:hAnsi="Times New Roman" w:eastAsia="宋体" w:cs="Times New Roman"/>
                <w:sz w:val="21"/>
                <w:szCs w:val="21"/>
                <w:vertAlign w:val="baseline"/>
                <w:lang w:val="en-US" w:eastAsia="zh-CN"/>
              </w:rPr>
              <w:t>kW·h</w:t>
            </w:r>
            <w:r>
              <w:rPr>
                <w:rFonts w:hint="eastAsia" w:ascii="宋体" w:hAnsi="宋体" w:eastAsia="宋体" w:cs="宋体"/>
                <w:sz w:val="21"/>
                <w:szCs w:val="21"/>
                <w:vertAlign w:val="baseline"/>
              </w:rPr>
              <w:t>，是一座引水式无调节性能以发电为主的小(</w:t>
            </w:r>
            <w:r>
              <w:rPr>
                <w:rFonts w:hint="eastAsia" w:ascii="Times New Roman" w:hAnsi="Times New Roman" w:eastAsia="宋体" w:cs="Times New Roman"/>
                <w:sz w:val="21"/>
                <w:szCs w:val="21"/>
                <w:vertAlign w:val="baseline"/>
                <w:lang w:val="en-US" w:eastAsia="zh-CN"/>
              </w:rPr>
              <w:t>2</w:t>
            </w:r>
            <w:r>
              <w:rPr>
                <w:rFonts w:hint="eastAsia" w:ascii="宋体" w:hAnsi="宋体" w:eastAsia="宋体" w:cs="宋体"/>
                <w:sz w:val="21"/>
                <w:szCs w:val="21"/>
                <w:vertAlign w:val="baseline"/>
              </w:rPr>
              <w:t>)型水电站。</w:t>
            </w:r>
          </w:p>
        </w:tc>
        <w:tc>
          <w:tcPr>
            <w:tcW w:w="5038" w:type="dxa"/>
            <w:vAlign w:val="center"/>
          </w:tcPr>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坝址处多年平均</w:t>
            </w:r>
            <w:r>
              <w:rPr>
                <w:rFonts w:hint="eastAsia" w:ascii="宋体" w:hAnsi="宋体" w:eastAsia="宋体" w:cs="宋体"/>
                <w:sz w:val="21"/>
                <w:szCs w:val="21"/>
                <w:vertAlign w:val="baseline"/>
                <w:lang w:val="en-US" w:eastAsia="zh-CN"/>
              </w:rPr>
              <w:t>径</w:t>
            </w:r>
            <w:r>
              <w:rPr>
                <w:rFonts w:hint="eastAsia" w:ascii="宋体" w:hAnsi="宋体" w:eastAsia="宋体" w:cs="宋体"/>
                <w:sz w:val="21"/>
                <w:szCs w:val="21"/>
                <w:vertAlign w:val="baseline"/>
              </w:rPr>
              <w:t>流量为</w:t>
            </w:r>
            <w:r>
              <w:rPr>
                <w:rFonts w:hint="default" w:ascii="Times New Roman" w:hAnsi="Times New Roman" w:eastAsia="宋体" w:cs="Times New Roman"/>
                <w:sz w:val="21"/>
                <w:szCs w:val="21"/>
                <w:vertAlign w:val="baseline"/>
                <w:lang w:val="en-US" w:eastAsia="zh-CN"/>
              </w:rPr>
              <w:t>0.34</w:t>
            </w:r>
            <w:r>
              <w:rPr>
                <w:rFonts w:hint="default" w:ascii="Times New Roman" w:hAnsi="Times New Roman" w:eastAsia="宋体" w:cs="Times New Roman"/>
                <w:sz w:val="21"/>
                <w:szCs w:val="21"/>
                <w:vertAlign w:val="baseline"/>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vertAlign w:val="baseline"/>
              </w:rPr>
              <w:t>/s</w:t>
            </w:r>
            <w:r>
              <w:rPr>
                <w:rFonts w:hint="eastAsia" w:ascii="宋体" w:hAnsi="宋体" w:eastAsia="宋体" w:cs="宋体"/>
                <w:sz w:val="21"/>
                <w:szCs w:val="21"/>
                <w:vertAlign w:val="baseline"/>
              </w:rPr>
              <w:t>，坝址以上集雨面积</w:t>
            </w:r>
            <w:r>
              <w:rPr>
                <w:rFonts w:hint="eastAsia" w:ascii="Times New Roman" w:hAnsi="Times New Roman" w:eastAsia="宋体" w:cs="Times New Roman"/>
                <w:sz w:val="21"/>
                <w:szCs w:val="21"/>
                <w:vertAlign w:val="baseline"/>
                <w:lang w:val="en-US" w:eastAsia="zh-CN"/>
              </w:rPr>
              <w:t>7.1km</w:t>
            </w:r>
            <w:r>
              <w:rPr>
                <w:rFonts w:hint="eastAsia" w:ascii="Times New Roman" w:hAnsi="Times New Roman" w:eastAsia="宋体" w:cs="Times New Roman"/>
                <w:sz w:val="21"/>
                <w:szCs w:val="21"/>
                <w:vertAlign w:val="superscript"/>
                <w:lang w:val="en-US" w:eastAsia="zh-CN"/>
              </w:rPr>
              <w:t>2</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rPr>
              <w:t>多年平均年径流量为</w:t>
            </w:r>
            <w:r>
              <w:rPr>
                <w:rFonts w:hint="eastAsia" w:ascii="Times New Roman" w:hAnsi="Times New Roman" w:eastAsia="宋体" w:cs="Times New Roman"/>
                <w:sz w:val="21"/>
                <w:szCs w:val="21"/>
                <w:vertAlign w:val="baseline"/>
                <w:lang w:val="en-US" w:eastAsia="zh-CN"/>
              </w:rPr>
              <w:t>1072.22</w:t>
            </w:r>
            <w:r>
              <w:rPr>
                <w:rFonts w:hint="eastAsia" w:ascii="宋体" w:hAnsi="宋体" w:eastAsia="宋体" w:cs="宋体"/>
                <w:sz w:val="21"/>
                <w:szCs w:val="21"/>
                <w:vertAlign w:val="baseline"/>
              </w:rPr>
              <w:t>万</w:t>
            </w:r>
            <w:r>
              <w:rPr>
                <w:rFonts w:hint="eastAsia" w:ascii="Times New Roman" w:hAnsi="Times New Roman" w:eastAsia="宋体" w:cs="Times New Roman"/>
                <w:sz w:val="21"/>
                <w:szCs w:val="21"/>
                <w:vertAlign w:val="baseline"/>
                <w:lang w:val="en-US" w:eastAsia="zh-CN"/>
              </w:rPr>
              <w:t>m</w:t>
            </w:r>
            <w:r>
              <w:rPr>
                <w:rFonts w:hint="eastAsia" w:ascii="Times New Roman" w:hAnsi="Times New Roman" w:eastAsia="宋体" w:cs="Times New Roman"/>
                <w:sz w:val="21"/>
                <w:szCs w:val="21"/>
                <w:vertAlign w:val="superscript"/>
                <w:lang w:val="en-US" w:eastAsia="zh-CN"/>
              </w:rPr>
              <w:t>3</w:t>
            </w:r>
            <w:r>
              <w:rPr>
                <w:rFonts w:hint="eastAsia" w:ascii="宋体" w:hAnsi="宋体" w:eastAsia="宋体" w:cs="宋体"/>
                <w:sz w:val="21"/>
                <w:szCs w:val="21"/>
                <w:vertAlign w:val="baseline"/>
              </w:rPr>
              <w:t>。设计水头</w:t>
            </w:r>
            <w:r>
              <w:rPr>
                <w:rFonts w:hint="eastAsia" w:ascii="Times New Roman" w:hAnsi="Times New Roman" w:eastAsia="宋体" w:cs="Times New Roman"/>
                <w:sz w:val="21"/>
                <w:szCs w:val="21"/>
                <w:vertAlign w:val="baseline"/>
                <w:lang w:val="en-US" w:eastAsia="zh-CN"/>
              </w:rPr>
              <w:t>110m</w:t>
            </w:r>
            <w:r>
              <w:rPr>
                <w:rFonts w:hint="eastAsia" w:ascii="宋体" w:hAnsi="宋体" w:eastAsia="宋体" w:cs="宋体"/>
                <w:sz w:val="21"/>
                <w:szCs w:val="21"/>
                <w:vertAlign w:val="baseline"/>
              </w:rPr>
              <w:t>，电站装机容量</w:t>
            </w:r>
            <w:r>
              <w:rPr>
                <w:rFonts w:hint="eastAsia" w:ascii="Times New Roman" w:hAnsi="Times New Roman" w:eastAsia="宋体" w:cs="Times New Roman"/>
                <w:sz w:val="21"/>
                <w:szCs w:val="21"/>
                <w:vertAlign w:val="baseline"/>
                <w:lang w:val="en-US" w:eastAsia="zh-CN"/>
              </w:rPr>
              <w:t>500kw</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年利用小时数为</w:t>
            </w:r>
            <w:r>
              <w:rPr>
                <w:rFonts w:hint="eastAsia" w:ascii="Times New Roman" w:hAnsi="Times New Roman" w:eastAsia="宋体" w:cs="Times New Roman"/>
                <w:sz w:val="21"/>
                <w:szCs w:val="21"/>
                <w:vertAlign w:val="baseline"/>
                <w:lang w:val="en-US" w:eastAsia="zh-CN"/>
              </w:rPr>
              <w:t>3240h</w:t>
            </w:r>
            <w:r>
              <w:rPr>
                <w:rFonts w:hint="eastAsia" w:ascii="宋体" w:hAnsi="宋体" w:eastAsia="宋体" w:cs="宋体"/>
                <w:sz w:val="21"/>
                <w:szCs w:val="21"/>
                <w:vertAlign w:val="baseline"/>
              </w:rPr>
              <w:t>，多年平均发电量</w:t>
            </w:r>
            <w:r>
              <w:rPr>
                <w:rFonts w:hint="eastAsia" w:ascii="Times New Roman" w:hAnsi="Times New Roman" w:eastAsia="宋体" w:cs="Times New Roman"/>
                <w:sz w:val="21"/>
                <w:szCs w:val="21"/>
                <w:vertAlign w:val="baseline"/>
                <w:lang w:val="en-US" w:eastAsia="zh-CN"/>
              </w:rPr>
              <w:t>162</w:t>
            </w:r>
            <w:r>
              <w:rPr>
                <w:rFonts w:hint="eastAsia" w:ascii="宋体" w:hAnsi="宋体" w:eastAsia="宋体" w:cs="宋体"/>
                <w:sz w:val="21"/>
                <w:szCs w:val="21"/>
                <w:vertAlign w:val="baseline"/>
              </w:rPr>
              <w:t>万</w:t>
            </w:r>
            <w:r>
              <w:rPr>
                <w:rFonts w:hint="eastAsia" w:ascii="Times New Roman" w:hAnsi="Times New Roman" w:eastAsia="宋体" w:cs="Times New Roman"/>
                <w:sz w:val="21"/>
                <w:szCs w:val="21"/>
                <w:vertAlign w:val="baseline"/>
                <w:lang w:val="en-US" w:eastAsia="zh-CN"/>
              </w:rPr>
              <w:t>kW·h</w:t>
            </w:r>
            <w:r>
              <w:rPr>
                <w:rFonts w:hint="eastAsia" w:ascii="宋体" w:hAnsi="宋体" w:eastAsia="宋体" w:cs="宋体"/>
                <w:sz w:val="21"/>
                <w:szCs w:val="21"/>
                <w:vertAlign w:val="baseline"/>
              </w:rPr>
              <w:t>，是一座引水式无调节性能以发电为主的小(</w:t>
            </w:r>
            <w:r>
              <w:rPr>
                <w:rFonts w:hint="eastAsia" w:ascii="Times New Roman" w:hAnsi="Times New Roman" w:eastAsia="宋体" w:cs="Times New Roman"/>
                <w:sz w:val="21"/>
                <w:szCs w:val="21"/>
                <w:vertAlign w:val="baseline"/>
                <w:lang w:val="en-US" w:eastAsia="zh-CN"/>
              </w:rPr>
              <w:t>2</w:t>
            </w:r>
            <w:r>
              <w:rPr>
                <w:rFonts w:hint="eastAsia" w:ascii="宋体" w:hAnsi="宋体" w:eastAsia="宋体" w:cs="宋体"/>
                <w:sz w:val="21"/>
                <w:szCs w:val="21"/>
                <w:vertAlign w:val="baseline"/>
              </w:rPr>
              <w:t>)型水电站。</w:t>
            </w:r>
          </w:p>
        </w:tc>
        <w:tc>
          <w:tcPr>
            <w:tcW w:w="1425"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与环评一致</w:t>
            </w:r>
          </w:p>
        </w:tc>
        <w:tc>
          <w:tcPr>
            <w:tcW w:w="132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710"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总投资</w:t>
            </w:r>
          </w:p>
        </w:tc>
        <w:tc>
          <w:tcPr>
            <w:tcW w:w="5027"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总投资约</w:t>
            </w:r>
            <w:r>
              <w:rPr>
                <w:rFonts w:hint="eastAsia" w:ascii="Times New Roman" w:eastAsia="宋体" w:cs="Times New Roman"/>
                <w:caps w:val="0"/>
                <w:smallCaps w:val="0"/>
                <w:snapToGrid/>
                <w:color w:val="auto"/>
                <w:spacing w:val="0"/>
                <w:w w:val="100"/>
                <w:kern w:val="2"/>
                <w:position w:val="0"/>
                <w:sz w:val="21"/>
                <w:szCs w:val="16"/>
                <w:lang w:val="en-US" w:eastAsia="zh-CN" w:bidi="ar-SA"/>
              </w:rPr>
              <w:t>252</w:t>
            </w:r>
            <w:r>
              <w:rPr>
                <w:rFonts w:hint="eastAsia" w:ascii="宋体" w:hAnsi="宋体" w:eastAsia="宋体" w:cs="宋体"/>
                <w:sz w:val="21"/>
                <w:szCs w:val="21"/>
                <w:vertAlign w:val="baseline"/>
              </w:rPr>
              <w:t>万</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环保项目</w:t>
            </w:r>
            <w:r>
              <w:rPr>
                <w:rFonts w:hint="eastAsia" w:ascii="宋体" w:hAnsi="宋体" w:eastAsia="宋体" w:cs="宋体"/>
                <w:sz w:val="21"/>
                <w:szCs w:val="21"/>
                <w:vertAlign w:val="baseline"/>
                <w:lang w:eastAsia="zh-CN"/>
              </w:rPr>
              <w:t>投资</w:t>
            </w:r>
            <w:r>
              <w:rPr>
                <w:rFonts w:hint="eastAsia" w:ascii="宋体" w:hAnsi="宋体" w:eastAsia="宋体" w:cs="宋体"/>
                <w:sz w:val="21"/>
                <w:szCs w:val="21"/>
                <w:vertAlign w:val="baseline"/>
              </w:rPr>
              <w:t>15.7万元。</w:t>
            </w:r>
          </w:p>
        </w:tc>
        <w:tc>
          <w:tcPr>
            <w:tcW w:w="5038"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总投资约</w:t>
            </w:r>
            <w:r>
              <w:rPr>
                <w:rFonts w:hint="eastAsia" w:ascii="宋体" w:hAnsi="宋体" w:eastAsia="宋体" w:cs="宋体"/>
                <w:sz w:val="21"/>
                <w:szCs w:val="21"/>
                <w:vertAlign w:val="baseline"/>
                <w:lang w:val="en-US" w:eastAsia="zh-CN"/>
              </w:rPr>
              <w:t>252</w:t>
            </w:r>
            <w:r>
              <w:rPr>
                <w:rFonts w:hint="eastAsia" w:ascii="宋体" w:hAnsi="宋体" w:eastAsia="宋体" w:cs="宋体"/>
                <w:sz w:val="21"/>
                <w:szCs w:val="21"/>
                <w:vertAlign w:val="baseline"/>
              </w:rPr>
              <w:t>万</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环保项目</w:t>
            </w:r>
            <w:r>
              <w:rPr>
                <w:rFonts w:hint="eastAsia" w:ascii="宋体" w:hAnsi="宋体" w:eastAsia="宋体" w:cs="宋体"/>
                <w:sz w:val="21"/>
                <w:szCs w:val="21"/>
                <w:vertAlign w:val="baseline"/>
                <w:lang w:eastAsia="zh-CN"/>
              </w:rPr>
              <w:t>投资</w:t>
            </w:r>
            <w:r>
              <w:rPr>
                <w:rFonts w:hint="eastAsia" w:ascii="宋体" w:hAnsi="宋体" w:eastAsia="宋体" w:cs="宋体"/>
                <w:sz w:val="21"/>
                <w:szCs w:val="21"/>
                <w:vertAlign w:val="baseline"/>
              </w:rPr>
              <w:t>15.7万元。</w:t>
            </w:r>
          </w:p>
        </w:tc>
        <w:tc>
          <w:tcPr>
            <w:tcW w:w="142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与环评一致</w:t>
            </w:r>
          </w:p>
        </w:tc>
        <w:tc>
          <w:tcPr>
            <w:tcW w:w="132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45"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710"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拦河坝</w:t>
            </w:r>
          </w:p>
        </w:tc>
        <w:tc>
          <w:tcPr>
            <w:tcW w:w="5027" w:type="dxa"/>
            <w:vAlign w:val="center"/>
          </w:tcPr>
          <w:p>
            <w:pPr>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为浆砌块石重力坝，大坝全长</w:t>
            </w:r>
            <w:r>
              <w:rPr>
                <w:rFonts w:hint="eastAsia" w:ascii="宋体" w:hAnsi="宋体" w:eastAsia="宋体" w:cs="宋体"/>
                <w:sz w:val="21"/>
                <w:szCs w:val="21"/>
                <w:vertAlign w:val="baseline"/>
                <w:lang w:val="en-US" w:eastAsia="zh-CN"/>
              </w:rPr>
              <w:t>20</w:t>
            </w:r>
            <w:r>
              <w:rPr>
                <w:rFonts w:hint="eastAsia" w:ascii="宋体" w:hAnsi="宋体" w:eastAsia="宋体" w:cs="宋体"/>
                <w:sz w:val="21"/>
                <w:szCs w:val="21"/>
                <w:vertAlign w:val="baseline"/>
                <w:lang w:eastAsia="zh-CN"/>
              </w:rPr>
              <w:t>m，最大坝高</w:t>
            </w:r>
            <w:r>
              <w:rPr>
                <w:rFonts w:hint="eastAsia" w:ascii="宋体" w:hAnsi="宋体" w:eastAsia="宋体" w:cs="宋体"/>
                <w:sz w:val="21"/>
                <w:szCs w:val="21"/>
                <w:vertAlign w:val="baseline"/>
                <w:lang w:val="en-US" w:eastAsia="zh-CN"/>
              </w:rPr>
              <w:t>6.2</w:t>
            </w:r>
            <w:r>
              <w:rPr>
                <w:rFonts w:hint="eastAsia" w:ascii="宋体" w:hAnsi="宋体" w:eastAsia="宋体" w:cs="宋体"/>
                <w:sz w:val="21"/>
                <w:szCs w:val="21"/>
                <w:vertAlign w:val="baseline"/>
                <w:lang w:eastAsia="zh-CN"/>
              </w:rPr>
              <w:t>m（与下游河床高差仅</w:t>
            </w:r>
            <w:r>
              <w:rPr>
                <w:rFonts w:hint="eastAsia" w:ascii="宋体" w:hAnsi="宋体" w:eastAsia="宋体" w:cs="宋体"/>
                <w:sz w:val="21"/>
                <w:szCs w:val="21"/>
                <w:vertAlign w:val="baseline"/>
                <w:lang w:val="en-US" w:eastAsia="zh-CN"/>
              </w:rPr>
              <w:t>1.2m左右</w:t>
            </w:r>
            <w:r>
              <w:rPr>
                <w:rFonts w:hint="eastAsia" w:ascii="宋体" w:hAnsi="宋体" w:eastAsia="宋体" w:cs="宋体"/>
                <w:sz w:val="21"/>
                <w:szCs w:val="21"/>
                <w:vertAlign w:val="baseline"/>
                <w:lang w:eastAsia="zh-CN"/>
              </w:rPr>
              <w:t>），坝顶厚度</w:t>
            </w:r>
            <w:r>
              <w:rPr>
                <w:rFonts w:hint="eastAsia" w:ascii="宋体" w:hAnsi="宋体" w:eastAsia="宋体" w:cs="宋体"/>
                <w:sz w:val="21"/>
                <w:szCs w:val="21"/>
                <w:vertAlign w:val="baseline"/>
                <w:lang w:val="en-US" w:eastAsia="zh-CN"/>
              </w:rPr>
              <w:t>1.0m，</w:t>
            </w:r>
            <w:r>
              <w:rPr>
                <w:rFonts w:hint="eastAsia" w:ascii="宋体" w:hAnsi="宋体" w:eastAsia="宋体" w:cs="宋体"/>
                <w:sz w:val="21"/>
                <w:szCs w:val="21"/>
                <w:vertAlign w:val="baseline"/>
                <w:lang w:eastAsia="zh-CN"/>
              </w:rPr>
              <w:t>坝底宽度</w:t>
            </w:r>
            <w:r>
              <w:rPr>
                <w:rFonts w:hint="eastAsia" w:ascii="宋体" w:hAnsi="宋体" w:eastAsia="宋体" w:cs="宋体"/>
                <w:sz w:val="21"/>
                <w:szCs w:val="21"/>
                <w:vertAlign w:val="baseline"/>
                <w:lang w:val="en-US" w:eastAsia="zh-CN"/>
              </w:rPr>
              <w:t>3.4m；溢流面顶高程197.6m，溢流前沿宽度2.0m</w:t>
            </w:r>
            <w:r>
              <w:rPr>
                <w:rFonts w:hint="eastAsia" w:ascii="宋体" w:hAnsi="宋体" w:eastAsia="宋体" w:cs="宋体"/>
                <w:sz w:val="21"/>
                <w:szCs w:val="21"/>
                <w:vertAlign w:val="baseline"/>
                <w:lang w:eastAsia="zh-CN"/>
              </w:rPr>
              <w:t>。</w:t>
            </w:r>
          </w:p>
        </w:tc>
        <w:tc>
          <w:tcPr>
            <w:tcW w:w="5038" w:type="dxa"/>
            <w:vAlign w:val="center"/>
          </w:tcPr>
          <w:p>
            <w:pPr>
              <w:ind w:firstLine="420" w:firstLineChars="200"/>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为浆砌块石重力坝，大坝全长</w:t>
            </w:r>
            <w:r>
              <w:rPr>
                <w:rFonts w:hint="eastAsia" w:ascii="宋体" w:hAnsi="宋体" w:eastAsia="宋体" w:cs="宋体"/>
                <w:sz w:val="21"/>
                <w:szCs w:val="21"/>
                <w:vertAlign w:val="baseline"/>
                <w:lang w:val="en-US" w:eastAsia="zh-CN"/>
              </w:rPr>
              <w:t>20</w:t>
            </w:r>
            <w:r>
              <w:rPr>
                <w:rFonts w:hint="eastAsia" w:ascii="宋体" w:hAnsi="宋体" w:eastAsia="宋体" w:cs="宋体"/>
                <w:sz w:val="21"/>
                <w:szCs w:val="21"/>
                <w:vertAlign w:val="baseline"/>
                <w:lang w:eastAsia="zh-CN"/>
              </w:rPr>
              <w:t>m，最大坝高</w:t>
            </w:r>
            <w:r>
              <w:rPr>
                <w:rFonts w:hint="eastAsia" w:ascii="宋体" w:hAnsi="宋体" w:eastAsia="宋体" w:cs="宋体"/>
                <w:sz w:val="21"/>
                <w:szCs w:val="21"/>
                <w:vertAlign w:val="baseline"/>
                <w:lang w:val="en-US" w:eastAsia="zh-CN"/>
              </w:rPr>
              <w:t>6.2</w:t>
            </w:r>
            <w:r>
              <w:rPr>
                <w:rFonts w:hint="eastAsia" w:ascii="宋体" w:hAnsi="宋体" w:eastAsia="宋体" w:cs="宋体"/>
                <w:sz w:val="21"/>
                <w:szCs w:val="21"/>
                <w:vertAlign w:val="baseline"/>
                <w:lang w:eastAsia="zh-CN"/>
              </w:rPr>
              <w:t>m（与下游河床高差仅</w:t>
            </w:r>
            <w:r>
              <w:rPr>
                <w:rFonts w:hint="eastAsia" w:ascii="宋体" w:hAnsi="宋体" w:eastAsia="宋体" w:cs="宋体"/>
                <w:sz w:val="21"/>
                <w:szCs w:val="21"/>
                <w:vertAlign w:val="baseline"/>
                <w:lang w:val="en-US" w:eastAsia="zh-CN"/>
              </w:rPr>
              <w:t>1.2m左右</w:t>
            </w:r>
            <w:r>
              <w:rPr>
                <w:rFonts w:hint="eastAsia" w:ascii="宋体" w:hAnsi="宋体" w:eastAsia="宋体" w:cs="宋体"/>
                <w:sz w:val="21"/>
                <w:szCs w:val="21"/>
                <w:vertAlign w:val="baseline"/>
                <w:lang w:eastAsia="zh-CN"/>
              </w:rPr>
              <w:t>），坝顶厚度</w:t>
            </w:r>
            <w:r>
              <w:rPr>
                <w:rFonts w:hint="eastAsia" w:ascii="宋体" w:hAnsi="宋体" w:eastAsia="宋体" w:cs="宋体"/>
                <w:sz w:val="21"/>
                <w:szCs w:val="21"/>
                <w:vertAlign w:val="baseline"/>
                <w:lang w:val="en-US" w:eastAsia="zh-CN"/>
              </w:rPr>
              <w:t>1.0m，</w:t>
            </w:r>
            <w:r>
              <w:rPr>
                <w:rFonts w:hint="eastAsia" w:ascii="宋体" w:hAnsi="宋体" w:eastAsia="宋体" w:cs="宋体"/>
                <w:sz w:val="21"/>
                <w:szCs w:val="21"/>
                <w:vertAlign w:val="baseline"/>
                <w:lang w:eastAsia="zh-CN"/>
              </w:rPr>
              <w:t>坝底宽度</w:t>
            </w:r>
            <w:r>
              <w:rPr>
                <w:rFonts w:hint="eastAsia" w:ascii="宋体" w:hAnsi="宋体" w:eastAsia="宋体" w:cs="宋体"/>
                <w:sz w:val="21"/>
                <w:szCs w:val="21"/>
                <w:vertAlign w:val="baseline"/>
                <w:lang w:val="en-US" w:eastAsia="zh-CN"/>
              </w:rPr>
              <w:t>3.4m；溢流面顶高程197.6m，溢流前沿宽度2.0m</w:t>
            </w:r>
            <w:r>
              <w:rPr>
                <w:rFonts w:hint="eastAsia" w:ascii="宋体" w:hAnsi="宋体" w:eastAsia="宋体" w:cs="宋体"/>
                <w:sz w:val="21"/>
                <w:szCs w:val="21"/>
                <w:vertAlign w:val="baseline"/>
                <w:lang w:eastAsia="zh-CN"/>
              </w:rPr>
              <w:t>。</w:t>
            </w:r>
          </w:p>
        </w:tc>
        <w:tc>
          <w:tcPr>
            <w:tcW w:w="142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与环评一致</w:t>
            </w:r>
          </w:p>
        </w:tc>
        <w:tc>
          <w:tcPr>
            <w:tcW w:w="132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645"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710"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引水系统</w:t>
            </w:r>
          </w:p>
        </w:tc>
        <w:tc>
          <w:tcPr>
            <w:tcW w:w="5027" w:type="dxa"/>
            <w:vAlign w:val="center"/>
          </w:tcPr>
          <w:p>
            <w:pPr>
              <w:jc w:val="left"/>
              <w:rPr>
                <w:rFonts w:hint="eastAsia" w:ascii="宋体" w:hAnsi="宋体" w:eastAsia="宋体" w:cs="宋体"/>
                <w:sz w:val="21"/>
                <w:szCs w:val="21"/>
                <w:vertAlign w:val="baseline"/>
                <w:lang w:eastAsia="zh-CN"/>
              </w:rPr>
            </w:pPr>
            <w:r>
              <w:rPr>
                <w:rFonts w:hint="default" w:ascii="Times New Roman" w:hAnsi="Times New Roman" w:eastAsia="宋体" w:cs="Times New Roman"/>
                <w:snapToGrid w:val="0"/>
                <w:color w:val="auto"/>
                <w:sz w:val="21"/>
                <w:szCs w:val="21"/>
                <w:lang w:eastAsia="zh-CN"/>
              </w:rPr>
              <w:t>本项目</w:t>
            </w:r>
            <w:r>
              <w:rPr>
                <w:rFonts w:hint="default" w:ascii="Times New Roman" w:hAnsi="Times New Roman" w:eastAsia="宋体" w:cs="Times New Roman"/>
                <w:snapToGrid w:val="0"/>
                <w:color w:val="auto"/>
                <w:sz w:val="21"/>
                <w:szCs w:val="21"/>
              </w:rPr>
              <w:t>引水建筑物</w:t>
            </w:r>
            <w:r>
              <w:rPr>
                <w:rFonts w:hint="default" w:ascii="Times New Roman" w:hAnsi="Times New Roman" w:eastAsia="宋体" w:cs="Times New Roman"/>
                <w:snapToGrid w:val="0"/>
                <w:color w:val="auto"/>
                <w:sz w:val="21"/>
                <w:szCs w:val="21"/>
                <w:lang w:eastAsia="zh-CN"/>
              </w:rPr>
              <w:t>为大坝至电站厂房之间的</w:t>
            </w:r>
            <w:r>
              <w:rPr>
                <w:rFonts w:hint="default" w:ascii="Times New Roman" w:hAnsi="Times New Roman" w:eastAsia="宋体" w:cs="Times New Roman"/>
                <w:snapToGrid w:val="0"/>
                <w:color w:val="auto"/>
                <w:sz w:val="21"/>
                <w:szCs w:val="21"/>
              </w:rPr>
              <w:t>引水</w:t>
            </w:r>
            <w:r>
              <w:rPr>
                <w:rFonts w:hint="default" w:ascii="Times New Roman" w:hAnsi="Times New Roman" w:eastAsia="宋体" w:cs="Times New Roman"/>
                <w:snapToGrid w:val="0"/>
                <w:color w:val="auto"/>
                <w:sz w:val="21"/>
                <w:szCs w:val="21"/>
                <w:lang w:eastAsia="zh-CN"/>
              </w:rPr>
              <w:t>渠道</w:t>
            </w:r>
            <w:r>
              <w:rPr>
                <w:rFonts w:hint="eastAsia" w:ascii="Times New Roman" w:hAnsi="Times New Roman" w:eastAsia="宋体" w:cs="Times New Roman"/>
                <w:snapToGrid w:val="0"/>
                <w:color w:val="auto"/>
                <w:sz w:val="21"/>
                <w:szCs w:val="21"/>
                <w:lang w:eastAsia="zh-CN"/>
              </w:rPr>
              <w:t>、</w:t>
            </w:r>
            <w:r>
              <w:rPr>
                <w:rFonts w:hint="default" w:ascii="Times New Roman" w:hAnsi="Times New Roman" w:eastAsia="宋体" w:cs="Times New Roman"/>
                <w:snapToGrid w:val="0"/>
                <w:color w:val="auto"/>
                <w:sz w:val="21"/>
                <w:szCs w:val="21"/>
                <w:lang w:eastAsia="zh-CN"/>
              </w:rPr>
              <w:t>引水隧洞</w:t>
            </w:r>
            <w:r>
              <w:rPr>
                <w:rFonts w:hint="eastAsia" w:ascii="Times New Roman" w:hAnsi="Times New Roman" w:eastAsia="宋体" w:cs="Times New Roman"/>
                <w:snapToGrid w:val="0"/>
                <w:color w:val="auto"/>
                <w:sz w:val="21"/>
                <w:szCs w:val="21"/>
                <w:lang w:eastAsia="zh-CN"/>
              </w:rPr>
              <w:t>和压力前池</w:t>
            </w:r>
            <w:r>
              <w:rPr>
                <w:rFonts w:hint="default" w:ascii="Times New Roman" w:hAnsi="Times New Roman" w:eastAsia="宋体" w:cs="Times New Roman"/>
                <w:snapToGrid w:val="0"/>
                <w:color w:val="auto"/>
                <w:sz w:val="21"/>
                <w:szCs w:val="21"/>
                <w:lang w:eastAsia="zh-CN"/>
              </w:rPr>
              <w:t>。</w:t>
            </w:r>
            <w:r>
              <w:rPr>
                <w:rFonts w:hint="default" w:ascii="Times New Roman" w:hAnsi="Times New Roman" w:eastAsia="宋体" w:cs="Times New Roman"/>
                <w:snapToGrid w:val="0"/>
                <w:color w:val="auto"/>
                <w:sz w:val="21"/>
                <w:szCs w:val="21"/>
              </w:rPr>
              <w:t>引水渠道总长</w:t>
            </w:r>
            <w:r>
              <w:rPr>
                <w:rFonts w:hint="default" w:ascii="Times New Roman" w:hAnsi="Times New Roman" w:eastAsia="宋体" w:cs="Times New Roman"/>
                <w:snapToGrid w:val="0"/>
                <w:color w:val="auto"/>
                <w:sz w:val="21"/>
                <w:szCs w:val="21"/>
                <w:lang w:val="en-US" w:eastAsia="zh-CN"/>
              </w:rPr>
              <w:t>2000</w:t>
            </w:r>
            <w:r>
              <w:rPr>
                <w:rFonts w:hint="default" w:ascii="Times New Roman" w:hAnsi="Times New Roman" w:eastAsia="宋体" w:cs="Times New Roman"/>
                <w:snapToGrid w:val="0"/>
                <w:color w:val="auto"/>
                <w:sz w:val="21"/>
                <w:szCs w:val="21"/>
              </w:rPr>
              <w:t>m，为明水沟渠，</w:t>
            </w:r>
            <w:r>
              <w:rPr>
                <w:rFonts w:hint="default" w:ascii="Times New Roman" w:hAnsi="Times New Roman" w:eastAsia="宋体" w:cs="Times New Roman"/>
                <w:snapToGrid w:val="0"/>
                <w:color w:val="auto"/>
                <w:sz w:val="21"/>
                <w:szCs w:val="21"/>
                <w:lang w:eastAsia="zh-CN"/>
              </w:rPr>
              <w:t>引水隧洞总长</w:t>
            </w:r>
            <w:r>
              <w:rPr>
                <w:rFonts w:hint="default" w:ascii="Times New Roman" w:hAnsi="Times New Roman" w:eastAsia="宋体" w:cs="Times New Roman"/>
                <w:snapToGrid w:val="0"/>
                <w:color w:val="auto"/>
                <w:sz w:val="21"/>
                <w:szCs w:val="21"/>
                <w:lang w:val="en-US" w:eastAsia="zh-CN"/>
              </w:rPr>
              <w:t>63m，</w:t>
            </w:r>
            <w:r>
              <w:rPr>
                <w:rFonts w:hint="eastAsia" w:ascii="Times New Roman" w:hAnsi="Times New Roman" w:eastAsia="宋体" w:cs="Times New Roman"/>
                <w:snapToGrid w:val="0"/>
                <w:color w:val="auto"/>
                <w:sz w:val="21"/>
                <w:szCs w:val="21"/>
                <w:lang w:val="en-US" w:eastAsia="zh-CN"/>
              </w:rPr>
              <w:t>压力前池平面尺寸4×10m，池深3.92m，</w:t>
            </w:r>
            <w:r>
              <w:rPr>
                <w:rFonts w:hint="default" w:ascii="Times New Roman" w:hAnsi="Times New Roman" w:eastAsia="宋体" w:cs="Times New Roman"/>
                <w:snapToGrid w:val="0"/>
                <w:color w:val="auto"/>
                <w:sz w:val="21"/>
                <w:szCs w:val="21"/>
              </w:rPr>
              <w:t>引水</w:t>
            </w:r>
            <w:r>
              <w:rPr>
                <w:rFonts w:hint="default" w:ascii="Times New Roman" w:hAnsi="Times New Roman" w:eastAsia="宋体" w:cs="Times New Roman"/>
                <w:snapToGrid w:val="0"/>
                <w:color w:val="auto"/>
                <w:sz w:val="21"/>
                <w:szCs w:val="21"/>
                <w:lang w:eastAsia="zh-CN"/>
              </w:rPr>
              <w:t>建筑</w:t>
            </w:r>
            <w:r>
              <w:rPr>
                <w:rFonts w:hint="default" w:ascii="Times New Roman" w:hAnsi="Times New Roman" w:eastAsia="宋体" w:cs="Times New Roman"/>
                <w:snapToGrid w:val="0"/>
                <w:color w:val="auto"/>
                <w:sz w:val="21"/>
                <w:szCs w:val="21"/>
              </w:rPr>
              <w:t>沿</w:t>
            </w:r>
            <w:r>
              <w:rPr>
                <w:rFonts w:hint="default" w:ascii="Times New Roman" w:hAnsi="Times New Roman" w:eastAsia="宋体" w:cs="Times New Roman"/>
                <w:snapToGrid w:val="0"/>
                <w:color w:val="auto"/>
                <w:sz w:val="21"/>
                <w:szCs w:val="21"/>
                <w:lang w:eastAsia="zh-CN"/>
              </w:rPr>
              <w:t>由西南往东北方向沿地势建造</w:t>
            </w:r>
            <w:r>
              <w:rPr>
                <w:rFonts w:hint="eastAsia" w:ascii="宋体" w:hAnsi="宋体" w:eastAsia="宋体" w:cs="宋体"/>
                <w:sz w:val="21"/>
                <w:szCs w:val="21"/>
                <w:vertAlign w:val="baseline"/>
                <w:lang w:eastAsia="zh-CN"/>
              </w:rPr>
              <w:t>。</w:t>
            </w:r>
          </w:p>
        </w:tc>
        <w:tc>
          <w:tcPr>
            <w:tcW w:w="5038" w:type="dxa"/>
            <w:vAlign w:val="center"/>
          </w:tcPr>
          <w:p>
            <w:pPr>
              <w:jc w:val="left"/>
              <w:rPr>
                <w:rFonts w:hint="eastAsia" w:ascii="宋体" w:hAnsi="宋体" w:eastAsia="宋体" w:cs="宋体"/>
                <w:sz w:val="21"/>
                <w:szCs w:val="21"/>
                <w:vertAlign w:val="baseline"/>
              </w:rPr>
            </w:pPr>
            <w:r>
              <w:rPr>
                <w:rFonts w:hint="default" w:ascii="Times New Roman" w:hAnsi="Times New Roman" w:eastAsia="宋体" w:cs="Times New Roman"/>
                <w:snapToGrid w:val="0"/>
                <w:color w:val="auto"/>
                <w:sz w:val="21"/>
                <w:szCs w:val="21"/>
                <w:lang w:eastAsia="zh-CN"/>
              </w:rPr>
              <w:t>本项目</w:t>
            </w:r>
            <w:r>
              <w:rPr>
                <w:rFonts w:hint="default" w:ascii="Times New Roman" w:hAnsi="Times New Roman" w:eastAsia="宋体" w:cs="Times New Roman"/>
                <w:snapToGrid w:val="0"/>
                <w:color w:val="auto"/>
                <w:sz w:val="21"/>
                <w:szCs w:val="21"/>
              </w:rPr>
              <w:t>引水建筑物</w:t>
            </w:r>
            <w:r>
              <w:rPr>
                <w:rFonts w:hint="default" w:ascii="Times New Roman" w:hAnsi="Times New Roman" w:eastAsia="宋体" w:cs="Times New Roman"/>
                <w:snapToGrid w:val="0"/>
                <w:color w:val="auto"/>
                <w:sz w:val="21"/>
                <w:szCs w:val="21"/>
                <w:lang w:eastAsia="zh-CN"/>
              </w:rPr>
              <w:t>为大坝至电站厂房之间的</w:t>
            </w:r>
            <w:r>
              <w:rPr>
                <w:rFonts w:hint="default" w:ascii="Times New Roman" w:hAnsi="Times New Roman" w:eastAsia="宋体" w:cs="Times New Roman"/>
                <w:snapToGrid w:val="0"/>
                <w:color w:val="auto"/>
                <w:sz w:val="21"/>
                <w:szCs w:val="21"/>
              </w:rPr>
              <w:t>引水</w:t>
            </w:r>
            <w:r>
              <w:rPr>
                <w:rFonts w:hint="default" w:ascii="Times New Roman" w:hAnsi="Times New Roman" w:eastAsia="宋体" w:cs="Times New Roman"/>
                <w:snapToGrid w:val="0"/>
                <w:color w:val="auto"/>
                <w:sz w:val="21"/>
                <w:szCs w:val="21"/>
                <w:lang w:eastAsia="zh-CN"/>
              </w:rPr>
              <w:t>渠道</w:t>
            </w:r>
            <w:r>
              <w:rPr>
                <w:rFonts w:hint="eastAsia" w:ascii="Times New Roman" w:hAnsi="Times New Roman" w:eastAsia="宋体" w:cs="Times New Roman"/>
                <w:snapToGrid w:val="0"/>
                <w:color w:val="auto"/>
                <w:sz w:val="21"/>
                <w:szCs w:val="21"/>
                <w:lang w:eastAsia="zh-CN"/>
              </w:rPr>
              <w:t>、</w:t>
            </w:r>
            <w:r>
              <w:rPr>
                <w:rFonts w:hint="default" w:ascii="Times New Roman" w:hAnsi="Times New Roman" w:eastAsia="宋体" w:cs="Times New Roman"/>
                <w:snapToGrid w:val="0"/>
                <w:color w:val="auto"/>
                <w:sz w:val="21"/>
                <w:szCs w:val="21"/>
                <w:lang w:eastAsia="zh-CN"/>
              </w:rPr>
              <w:t>引水隧洞</w:t>
            </w:r>
            <w:r>
              <w:rPr>
                <w:rFonts w:hint="eastAsia" w:ascii="Times New Roman" w:hAnsi="Times New Roman" w:eastAsia="宋体" w:cs="Times New Roman"/>
                <w:snapToGrid w:val="0"/>
                <w:color w:val="auto"/>
                <w:sz w:val="21"/>
                <w:szCs w:val="21"/>
                <w:lang w:eastAsia="zh-CN"/>
              </w:rPr>
              <w:t>和压力前池</w:t>
            </w:r>
            <w:r>
              <w:rPr>
                <w:rFonts w:hint="default" w:ascii="Times New Roman" w:hAnsi="Times New Roman" w:eastAsia="宋体" w:cs="Times New Roman"/>
                <w:snapToGrid w:val="0"/>
                <w:color w:val="auto"/>
                <w:sz w:val="21"/>
                <w:szCs w:val="21"/>
                <w:lang w:eastAsia="zh-CN"/>
              </w:rPr>
              <w:t>。</w:t>
            </w:r>
            <w:r>
              <w:rPr>
                <w:rFonts w:hint="default" w:ascii="Times New Roman" w:hAnsi="Times New Roman" w:eastAsia="宋体" w:cs="Times New Roman"/>
                <w:snapToGrid w:val="0"/>
                <w:color w:val="auto"/>
                <w:sz w:val="21"/>
                <w:szCs w:val="21"/>
              </w:rPr>
              <w:t>引水渠道总长</w:t>
            </w:r>
            <w:r>
              <w:rPr>
                <w:rFonts w:hint="default" w:ascii="Times New Roman" w:hAnsi="Times New Roman" w:eastAsia="宋体" w:cs="Times New Roman"/>
                <w:snapToGrid w:val="0"/>
                <w:color w:val="auto"/>
                <w:sz w:val="21"/>
                <w:szCs w:val="21"/>
                <w:lang w:val="en-US" w:eastAsia="zh-CN"/>
              </w:rPr>
              <w:t>2000</w:t>
            </w:r>
            <w:r>
              <w:rPr>
                <w:rFonts w:hint="default" w:ascii="Times New Roman" w:hAnsi="Times New Roman" w:eastAsia="宋体" w:cs="Times New Roman"/>
                <w:snapToGrid w:val="0"/>
                <w:color w:val="auto"/>
                <w:sz w:val="21"/>
                <w:szCs w:val="21"/>
              </w:rPr>
              <w:t>m，为明水沟渠，</w:t>
            </w:r>
            <w:r>
              <w:rPr>
                <w:rFonts w:hint="default" w:ascii="Times New Roman" w:hAnsi="Times New Roman" w:eastAsia="宋体" w:cs="Times New Roman"/>
                <w:snapToGrid w:val="0"/>
                <w:color w:val="auto"/>
                <w:sz w:val="21"/>
                <w:szCs w:val="21"/>
                <w:lang w:eastAsia="zh-CN"/>
              </w:rPr>
              <w:t>引水隧洞总长</w:t>
            </w:r>
            <w:r>
              <w:rPr>
                <w:rFonts w:hint="default" w:ascii="Times New Roman" w:hAnsi="Times New Roman" w:eastAsia="宋体" w:cs="Times New Roman"/>
                <w:snapToGrid w:val="0"/>
                <w:color w:val="auto"/>
                <w:sz w:val="21"/>
                <w:szCs w:val="21"/>
                <w:lang w:val="en-US" w:eastAsia="zh-CN"/>
              </w:rPr>
              <w:t>63m，</w:t>
            </w:r>
            <w:r>
              <w:rPr>
                <w:rFonts w:hint="eastAsia" w:ascii="Times New Roman" w:hAnsi="Times New Roman" w:eastAsia="宋体" w:cs="Times New Roman"/>
                <w:snapToGrid w:val="0"/>
                <w:color w:val="auto"/>
                <w:sz w:val="21"/>
                <w:szCs w:val="21"/>
                <w:lang w:val="en-US" w:eastAsia="zh-CN"/>
              </w:rPr>
              <w:t>压力前池平面尺寸4×10m，池深3.92m，</w:t>
            </w:r>
            <w:r>
              <w:rPr>
                <w:rFonts w:hint="default" w:ascii="Times New Roman" w:hAnsi="Times New Roman" w:eastAsia="宋体" w:cs="Times New Roman"/>
                <w:snapToGrid w:val="0"/>
                <w:color w:val="auto"/>
                <w:sz w:val="21"/>
                <w:szCs w:val="21"/>
              </w:rPr>
              <w:t>引水</w:t>
            </w:r>
            <w:r>
              <w:rPr>
                <w:rFonts w:hint="default" w:ascii="Times New Roman" w:hAnsi="Times New Roman" w:eastAsia="宋体" w:cs="Times New Roman"/>
                <w:snapToGrid w:val="0"/>
                <w:color w:val="auto"/>
                <w:sz w:val="21"/>
                <w:szCs w:val="21"/>
                <w:lang w:eastAsia="zh-CN"/>
              </w:rPr>
              <w:t>建筑</w:t>
            </w:r>
            <w:r>
              <w:rPr>
                <w:rFonts w:hint="default" w:ascii="Times New Roman" w:hAnsi="Times New Roman" w:eastAsia="宋体" w:cs="Times New Roman"/>
                <w:snapToGrid w:val="0"/>
                <w:color w:val="auto"/>
                <w:sz w:val="21"/>
                <w:szCs w:val="21"/>
              </w:rPr>
              <w:t>沿</w:t>
            </w:r>
            <w:r>
              <w:rPr>
                <w:rFonts w:hint="default" w:ascii="Times New Roman" w:hAnsi="Times New Roman" w:eastAsia="宋体" w:cs="Times New Roman"/>
                <w:snapToGrid w:val="0"/>
                <w:color w:val="auto"/>
                <w:sz w:val="21"/>
                <w:szCs w:val="21"/>
                <w:lang w:eastAsia="zh-CN"/>
              </w:rPr>
              <w:t>由西南往东北方向沿地势建造</w:t>
            </w:r>
            <w:r>
              <w:rPr>
                <w:rFonts w:hint="eastAsia" w:ascii="Times New Roman" w:eastAsia="宋体" w:cs="Times New Roman"/>
                <w:caps w:val="0"/>
                <w:smallCaps w:val="0"/>
                <w:snapToGrid/>
                <w:color w:val="auto"/>
                <w:spacing w:val="0"/>
                <w:w w:val="100"/>
                <w:kern w:val="2"/>
                <w:position w:val="0"/>
                <w:sz w:val="21"/>
                <w:szCs w:val="21"/>
                <w:lang w:val="en-US" w:eastAsia="zh-CN"/>
              </w:rPr>
              <w:t>。</w:t>
            </w:r>
          </w:p>
        </w:tc>
        <w:tc>
          <w:tcPr>
            <w:tcW w:w="142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与环评一致</w:t>
            </w:r>
          </w:p>
        </w:tc>
        <w:tc>
          <w:tcPr>
            <w:tcW w:w="132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645" w:type="dxa"/>
            <w:vAlign w:val="center"/>
          </w:tcPr>
          <w:p>
            <w:pPr>
              <w:ind w:left="0" w:leftChars="0" w:right="0" w:rightChars="0"/>
              <w:jc w:val="center"/>
              <w:rPr>
                <w:rFonts w:hint="eastAsia" w:ascii="宋体" w:hAnsi="宋体" w:eastAsia="宋体" w:cs="宋体"/>
                <w:sz w:val="21"/>
                <w:szCs w:val="21"/>
                <w:vertAlign w:val="baseline"/>
                <w:lang w:val="en-US" w:eastAsia="zh-CN" w:bidi="zh-CN"/>
              </w:rPr>
            </w:pPr>
            <w:r>
              <w:rPr>
                <w:rFonts w:hint="eastAsia" w:ascii="宋体" w:hAnsi="宋体" w:eastAsia="宋体" w:cs="宋体"/>
                <w:sz w:val="21"/>
                <w:szCs w:val="21"/>
                <w:vertAlign w:val="baseline"/>
                <w:lang w:val="en-US" w:eastAsia="zh-CN"/>
              </w:rPr>
              <w:t>5</w:t>
            </w:r>
          </w:p>
        </w:tc>
        <w:tc>
          <w:tcPr>
            <w:tcW w:w="710" w:type="dxa"/>
            <w:vAlign w:val="center"/>
          </w:tcPr>
          <w:p>
            <w:pPr>
              <w:ind w:left="0" w:leftChars="0" w:right="0" w:rightChars="0"/>
              <w:jc w:val="center"/>
              <w:rPr>
                <w:rFonts w:hint="eastAsia"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lang w:eastAsia="zh-CN"/>
              </w:rPr>
              <w:t>发电厂房</w:t>
            </w:r>
          </w:p>
        </w:tc>
        <w:tc>
          <w:tcPr>
            <w:tcW w:w="5027" w:type="dxa"/>
            <w:vAlign w:val="center"/>
          </w:tcPr>
          <w:p>
            <w:pPr>
              <w:ind w:left="0" w:leftChars="0" w:right="0" w:rightChars="0"/>
              <w:jc w:val="left"/>
              <w:rPr>
                <w:rFonts w:hint="default"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rPr>
              <w:t>厂房为</w:t>
            </w:r>
            <w:r>
              <w:rPr>
                <w:rFonts w:hint="eastAsia" w:ascii="宋体" w:hAnsi="宋体" w:eastAsia="宋体" w:cs="宋体"/>
                <w:sz w:val="21"/>
                <w:szCs w:val="21"/>
                <w:vertAlign w:val="baseline"/>
                <w:lang w:eastAsia="zh-CN"/>
              </w:rPr>
              <w:t>框架</w:t>
            </w:r>
            <w:r>
              <w:rPr>
                <w:rFonts w:hint="eastAsia" w:ascii="宋体" w:hAnsi="宋体" w:eastAsia="宋体" w:cs="宋体"/>
                <w:sz w:val="21"/>
                <w:szCs w:val="21"/>
                <w:vertAlign w:val="baseline"/>
              </w:rPr>
              <w:t>结构，长</w:t>
            </w:r>
            <w:r>
              <w:rPr>
                <w:rFonts w:hint="eastAsia" w:ascii="宋体" w:hAnsi="宋体" w:eastAsia="宋体" w:cs="宋体"/>
                <w:sz w:val="21"/>
                <w:szCs w:val="21"/>
                <w:vertAlign w:val="baseline"/>
                <w:lang w:val="en-US" w:eastAsia="zh-CN"/>
              </w:rPr>
              <w:t>12.25</w:t>
            </w:r>
            <w:r>
              <w:rPr>
                <w:rFonts w:hint="eastAsia" w:ascii="宋体" w:hAnsi="宋体" w:eastAsia="宋体" w:cs="宋体"/>
                <w:sz w:val="21"/>
                <w:szCs w:val="21"/>
                <w:vertAlign w:val="baseline"/>
              </w:rPr>
              <w:t>m，宽</w:t>
            </w:r>
            <w:r>
              <w:rPr>
                <w:rFonts w:hint="eastAsia" w:ascii="宋体" w:hAnsi="宋体" w:eastAsia="宋体" w:cs="宋体"/>
                <w:sz w:val="21"/>
                <w:szCs w:val="21"/>
                <w:vertAlign w:val="baseline"/>
                <w:lang w:val="en-US" w:eastAsia="zh-CN"/>
              </w:rPr>
              <w:t>7.05</w:t>
            </w:r>
            <w:r>
              <w:rPr>
                <w:rFonts w:hint="eastAsia" w:ascii="宋体" w:hAnsi="宋体" w:eastAsia="宋体" w:cs="宋体"/>
                <w:sz w:val="21"/>
                <w:szCs w:val="21"/>
                <w:vertAlign w:val="baseline"/>
              </w:rPr>
              <w:t>m</w:t>
            </w:r>
            <w:r>
              <w:rPr>
                <w:rFonts w:hint="eastAsia" w:ascii="宋体" w:hAnsi="宋体" w:eastAsia="宋体" w:cs="宋体"/>
                <w:sz w:val="21"/>
                <w:szCs w:val="21"/>
                <w:vertAlign w:val="baseline"/>
                <w:lang w:eastAsia="zh-CN"/>
              </w:rPr>
              <w:t>，建筑面积为</w:t>
            </w:r>
            <w:r>
              <w:rPr>
                <w:rFonts w:hint="eastAsia" w:ascii="宋体" w:hAnsi="宋体" w:eastAsia="宋体" w:cs="宋体"/>
                <w:sz w:val="21"/>
                <w:szCs w:val="21"/>
                <w:vertAlign w:val="baseline"/>
                <w:lang w:val="en-US" w:eastAsia="zh-CN"/>
              </w:rPr>
              <w:t>86.36m2。厂内</w:t>
            </w:r>
            <w:r>
              <w:rPr>
                <w:rFonts w:hint="eastAsia" w:ascii="宋体" w:hAnsi="宋体" w:eastAsia="宋体" w:cs="宋体"/>
                <w:sz w:val="21"/>
                <w:szCs w:val="21"/>
                <w:vertAlign w:val="baseline"/>
              </w:rPr>
              <w:t>布置</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台水轮发电机组，水轮机型号为</w:t>
            </w:r>
            <w:r>
              <w:rPr>
                <w:rFonts w:hint="eastAsia" w:ascii="宋体" w:hAnsi="宋体" w:eastAsia="宋体" w:cs="宋体"/>
                <w:sz w:val="21"/>
                <w:szCs w:val="21"/>
                <w:vertAlign w:val="baseline"/>
                <w:lang w:val="en-US" w:eastAsia="zh-CN"/>
              </w:rPr>
              <w:t>XJ-W-40/1×10</w:t>
            </w:r>
            <w:r>
              <w:rPr>
                <w:rFonts w:hint="eastAsia" w:ascii="宋体" w:hAnsi="宋体" w:eastAsia="宋体" w:cs="宋体"/>
                <w:sz w:val="21"/>
                <w:szCs w:val="21"/>
                <w:vertAlign w:val="baseline"/>
              </w:rPr>
              <w:t>，发电机型号为SF</w:t>
            </w:r>
            <w:r>
              <w:rPr>
                <w:rFonts w:hint="eastAsia" w:ascii="宋体" w:hAnsi="宋体" w:eastAsia="宋体" w:cs="宋体"/>
                <w:sz w:val="21"/>
                <w:szCs w:val="21"/>
                <w:vertAlign w:val="baseline"/>
                <w:lang w:val="en-US" w:eastAsia="zh-CN"/>
              </w:rPr>
              <w:t>W25</w:t>
            </w:r>
            <w:r>
              <w:rPr>
                <w:rFonts w:hint="eastAsia" w:ascii="宋体" w:hAnsi="宋体" w:eastAsia="宋体" w:cs="宋体"/>
                <w:sz w:val="21"/>
                <w:szCs w:val="21"/>
                <w:vertAlign w:val="baseline"/>
              </w:rPr>
              <w:t>0-</w:t>
            </w: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740</w:t>
            </w:r>
            <w:r>
              <w:rPr>
                <w:rFonts w:hint="eastAsia" w:ascii="宋体" w:hAnsi="宋体" w:eastAsia="宋体" w:cs="宋体"/>
                <w:sz w:val="21"/>
                <w:szCs w:val="21"/>
                <w:vertAlign w:val="baseline"/>
              </w:rPr>
              <w:t>，设尾水检修闸门。</w:t>
            </w:r>
          </w:p>
        </w:tc>
        <w:tc>
          <w:tcPr>
            <w:tcW w:w="5038" w:type="dxa"/>
            <w:vAlign w:val="center"/>
          </w:tcPr>
          <w:p>
            <w:pPr>
              <w:ind w:left="0" w:leftChars="0" w:right="0" w:rightChars="0"/>
              <w:jc w:val="left"/>
              <w:rPr>
                <w:rFonts w:hint="default"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rPr>
              <w:t>厂房为</w:t>
            </w:r>
            <w:r>
              <w:rPr>
                <w:rFonts w:hint="eastAsia" w:ascii="宋体" w:hAnsi="宋体" w:eastAsia="宋体" w:cs="宋体"/>
                <w:sz w:val="21"/>
                <w:szCs w:val="21"/>
                <w:vertAlign w:val="baseline"/>
                <w:lang w:eastAsia="zh-CN"/>
              </w:rPr>
              <w:t>框架</w:t>
            </w:r>
            <w:r>
              <w:rPr>
                <w:rFonts w:hint="eastAsia" w:ascii="宋体" w:hAnsi="宋体" w:eastAsia="宋体" w:cs="宋体"/>
                <w:sz w:val="21"/>
                <w:szCs w:val="21"/>
                <w:vertAlign w:val="baseline"/>
              </w:rPr>
              <w:t>结构，长</w:t>
            </w:r>
            <w:r>
              <w:rPr>
                <w:rFonts w:hint="eastAsia" w:ascii="宋体" w:hAnsi="宋体" w:eastAsia="宋体" w:cs="宋体"/>
                <w:sz w:val="21"/>
                <w:szCs w:val="21"/>
                <w:vertAlign w:val="baseline"/>
                <w:lang w:val="en-US" w:eastAsia="zh-CN"/>
              </w:rPr>
              <w:t>12.25</w:t>
            </w:r>
            <w:r>
              <w:rPr>
                <w:rFonts w:hint="eastAsia" w:ascii="宋体" w:hAnsi="宋体" w:eastAsia="宋体" w:cs="宋体"/>
                <w:sz w:val="21"/>
                <w:szCs w:val="21"/>
                <w:vertAlign w:val="baseline"/>
              </w:rPr>
              <w:t>m，宽</w:t>
            </w:r>
            <w:r>
              <w:rPr>
                <w:rFonts w:hint="eastAsia" w:ascii="宋体" w:hAnsi="宋体" w:eastAsia="宋体" w:cs="宋体"/>
                <w:sz w:val="21"/>
                <w:szCs w:val="21"/>
                <w:vertAlign w:val="baseline"/>
                <w:lang w:val="en-US" w:eastAsia="zh-CN"/>
              </w:rPr>
              <w:t>7.05</w:t>
            </w:r>
            <w:r>
              <w:rPr>
                <w:rFonts w:hint="eastAsia" w:ascii="宋体" w:hAnsi="宋体" w:eastAsia="宋体" w:cs="宋体"/>
                <w:sz w:val="21"/>
                <w:szCs w:val="21"/>
                <w:vertAlign w:val="baseline"/>
              </w:rPr>
              <w:t>m</w:t>
            </w:r>
            <w:r>
              <w:rPr>
                <w:rFonts w:hint="eastAsia" w:ascii="宋体" w:hAnsi="宋体" w:eastAsia="宋体" w:cs="宋体"/>
                <w:sz w:val="21"/>
                <w:szCs w:val="21"/>
                <w:vertAlign w:val="baseline"/>
                <w:lang w:eastAsia="zh-CN"/>
              </w:rPr>
              <w:t>，建筑面积为</w:t>
            </w:r>
            <w:r>
              <w:rPr>
                <w:rFonts w:hint="eastAsia" w:ascii="宋体" w:hAnsi="宋体" w:eastAsia="宋体" w:cs="宋体"/>
                <w:sz w:val="21"/>
                <w:szCs w:val="21"/>
                <w:vertAlign w:val="baseline"/>
                <w:lang w:val="en-US" w:eastAsia="zh-CN"/>
              </w:rPr>
              <w:t>86.36m2。厂内</w:t>
            </w:r>
            <w:r>
              <w:rPr>
                <w:rFonts w:hint="eastAsia" w:ascii="宋体" w:hAnsi="宋体" w:eastAsia="宋体" w:cs="宋体"/>
                <w:sz w:val="21"/>
                <w:szCs w:val="21"/>
                <w:vertAlign w:val="baseline"/>
              </w:rPr>
              <w:t>布置</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台水轮发电机组，水轮机型号为</w:t>
            </w:r>
            <w:r>
              <w:rPr>
                <w:rFonts w:hint="eastAsia" w:ascii="宋体" w:hAnsi="宋体" w:eastAsia="宋体" w:cs="宋体"/>
                <w:sz w:val="21"/>
                <w:szCs w:val="21"/>
                <w:vertAlign w:val="baseline"/>
                <w:lang w:val="en-US" w:eastAsia="zh-CN"/>
              </w:rPr>
              <w:t>XJ-W-40/1×10</w:t>
            </w:r>
            <w:r>
              <w:rPr>
                <w:rFonts w:hint="eastAsia" w:ascii="宋体" w:hAnsi="宋体" w:eastAsia="宋体" w:cs="宋体"/>
                <w:sz w:val="21"/>
                <w:szCs w:val="21"/>
                <w:vertAlign w:val="baseline"/>
              </w:rPr>
              <w:t>，发电机型号为SF</w:t>
            </w:r>
            <w:r>
              <w:rPr>
                <w:rFonts w:hint="eastAsia" w:ascii="宋体" w:hAnsi="宋体" w:eastAsia="宋体" w:cs="宋体"/>
                <w:sz w:val="21"/>
                <w:szCs w:val="21"/>
                <w:vertAlign w:val="baseline"/>
                <w:lang w:val="en-US" w:eastAsia="zh-CN"/>
              </w:rPr>
              <w:t>W25</w:t>
            </w:r>
            <w:r>
              <w:rPr>
                <w:rFonts w:hint="eastAsia" w:ascii="宋体" w:hAnsi="宋体" w:eastAsia="宋体" w:cs="宋体"/>
                <w:sz w:val="21"/>
                <w:szCs w:val="21"/>
                <w:vertAlign w:val="baseline"/>
              </w:rPr>
              <w:t>0-</w:t>
            </w: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740</w:t>
            </w:r>
            <w:r>
              <w:rPr>
                <w:rFonts w:hint="eastAsia" w:ascii="宋体" w:hAnsi="宋体" w:eastAsia="宋体" w:cs="宋体"/>
                <w:sz w:val="21"/>
                <w:szCs w:val="21"/>
                <w:vertAlign w:val="baseline"/>
              </w:rPr>
              <w:t>，设尾水检修闸门。</w:t>
            </w:r>
          </w:p>
        </w:tc>
        <w:tc>
          <w:tcPr>
            <w:tcW w:w="1425" w:type="dxa"/>
            <w:vAlign w:val="center"/>
          </w:tcPr>
          <w:p>
            <w:pPr>
              <w:ind w:left="0" w:leftChars="0" w:right="0" w:rightChars="0"/>
              <w:jc w:val="center"/>
              <w:rPr>
                <w:rFonts w:hint="eastAsia"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lang w:eastAsia="zh-CN"/>
              </w:rPr>
              <w:t>与环评一致</w:t>
            </w:r>
          </w:p>
        </w:tc>
        <w:tc>
          <w:tcPr>
            <w:tcW w:w="1329" w:type="dxa"/>
            <w:vAlign w:val="center"/>
          </w:tcPr>
          <w:p>
            <w:pPr>
              <w:ind w:left="0" w:leftChars="0" w:right="0" w:rightChars="0"/>
              <w:jc w:val="center"/>
              <w:rPr>
                <w:rFonts w:hint="eastAsia" w:ascii="宋体" w:hAnsi="宋体" w:eastAsia="宋体" w:cs="宋体"/>
                <w:sz w:val="21"/>
                <w:szCs w:val="21"/>
                <w:vertAlign w:val="baseline"/>
                <w:lang w:val="en-US" w:eastAsia="zh-CN" w:bidi="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645" w:type="dxa"/>
            <w:vAlign w:val="center"/>
          </w:tcPr>
          <w:p>
            <w:pPr>
              <w:ind w:left="0" w:leftChars="0" w:right="0" w:rightChars="0"/>
              <w:jc w:val="center"/>
              <w:rPr>
                <w:rFonts w:hint="eastAsia" w:ascii="宋体" w:hAnsi="宋体" w:eastAsia="宋体" w:cs="宋体"/>
                <w:sz w:val="21"/>
                <w:szCs w:val="21"/>
                <w:vertAlign w:val="baseline"/>
                <w:lang w:val="en-US" w:eastAsia="zh-CN" w:bidi="zh-CN"/>
              </w:rPr>
            </w:pPr>
            <w:r>
              <w:rPr>
                <w:rFonts w:hint="eastAsia" w:ascii="宋体" w:hAnsi="宋体" w:eastAsia="宋体" w:cs="宋体"/>
                <w:sz w:val="21"/>
                <w:szCs w:val="21"/>
                <w:vertAlign w:val="baseline"/>
                <w:lang w:val="en-US" w:eastAsia="zh-CN"/>
              </w:rPr>
              <w:t>6</w:t>
            </w:r>
          </w:p>
        </w:tc>
        <w:tc>
          <w:tcPr>
            <w:tcW w:w="710" w:type="dxa"/>
            <w:vAlign w:val="center"/>
          </w:tcPr>
          <w:p>
            <w:pPr>
              <w:ind w:left="0" w:leftChars="0" w:right="0" w:rightChars="0"/>
              <w:jc w:val="center"/>
              <w:rPr>
                <w:rFonts w:hint="eastAsia"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lang w:eastAsia="zh-CN"/>
              </w:rPr>
              <w:t>工程占地</w:t>
            </w:r>
          </w:p>
        </w:tc>
        <w:tc>
          <w:tcPr>
            <w:tcW w:w="5027" w:type="dxa"/>
            <w:vAlign w:val="center"/>
          </w:tcPr>
          <w:p>
            <w:pPr>
              <w:ind w:left="0" w:leftChars="0" w:right="0" w:rightChars="0"/>
              <w:jc w:val="left"/>
              <w:rPr>
                <w:rFonts w:hint="default"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lang w:eastAsia="zh-CN"/>
              </w:rPr>
              <w:t>工程永久占地</w:t>
            </w:r>
            <w:r>
              <w:rPr>
                <w:rFonts w:hint="eastAsia" w:ascii="宋体" w:hAnsi="宋体" w:eastAsia="宋体" w:cs="宋体"/>
                <w:sz w:val="21"/>
                <w:szCs w:val="21"/>
                <w:vertAlign w:val="baseline"/>
                <w:lang w:val="en-US" w:eastAsia="zh-CN"/>
              </w:rPr>
              <w:t>588.2平方米</w:t>
            </w:r>
            <w:r>
              <w:rPr>
                <w:rFonts w:hint="eastAsia" w:ascii="宋体" w:hAnsi="宋体" w:eastAsia="宋体" w:cs="宋体"/>
                <w:sz w:val="21"/>
                <w:szCs w:val="21"/>
                <w:vertAlign w:val="baseline"/>
                <w:lang w:eastAsia="zh-CN"/>
              </w:rPr>
              <w:t>，属存量建设用地。</w:t>
            </w:r>
          </w:p>
        </w:tc>
        <w:tc>
          <w:tcPr>
            <w:tcW w:w="5038" w:type="dxa"/>
            <w:vAlign w:val="center"/>
          </w:tcPr>
          <w:p>
            <w:pPr>
              <w:ind w:left="0" w:leftChars="0" w:right="0" w:rightChars="0"/>
              <w:jc w:val="left"/>
              <w:rPr>
                <w:rFonts w:hint="default"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rPr>
              <w:t>工程永久占地588.2平方米，属存量建设用地。</w:t>
            </w:r>
          </w:p>
        </w:tc>
        <w:tc>
          <w:tcPr>
            <w:tcW w:w="1425" w:type="dxa"/>
            <w:vAlign w:val="center"/>
          </w:tcPr>
          <w:p>
            <w:pPr>
              <w:ind w:left="0" w:leftChars="0" w:right="0" w:rightChars="0"/>
              <w:jc w:val="center"/>
              <w:rPr>
                <w:rFonts w:hint="eastAsia" w:ascii="宋体" w:hAnsi="宋体" w:eastAsia="宋体" w:cs="宋体"/>
                <w:sz w:val="21"/>
                <w:szCs w:val="21"/>
                <w:vertAlign w:val="baseline"/>
                <w:lang w:val="zh-CN" w:eastAsia="zh-CN" w:bidi="zh-CN"/>
              </w:rPr>
            </w:pPr>
            <w:r>
              <w:rPr>
                <w:rFonts w:hint="eastAsia" w:ascii="宋体" w:hAnsi="宋体" w:eastAsia="宋体" w:cs="宋体"/>
                <w:sz w:val="21"/>
                <w:szCs w:val="21"/>
                <w:vertAlign w:val="baseline"/>
                <w:lang w:eastAsia="zh-CN"/>
              </w:rPr>
              <w:t>与环评一致</w:t>
            </w:r>
          </w:p>
        </w:tc>
        <w:tc>
          <w:tcPr>
            <w:tcW w:w="1329" w:type="dxa"/>
            <w:vAlign w:val="center"/>
          </w:tcPr>
          <w:p>
            <w:pPr>
              <w:ind w:left="0" w:leftChars="0" w:right="0" w:rightChars="0"/>
              <w:jc w:val="center"/>
              <w:rPr>
                <w:rFonts w:hint="eastAsia" w:ascii="宋体" w:hAnsi="宋体" w:eastAsia="宋体" w:cs="宋体"/>
                <w:sz w:val="21"/>
                <w:szCs w:val="21"/>
                <w:vertAlign w:val="baseline"/>
                <w:lang w:val="en-US" w:eastAsia="zh-CN" w:bidi="zh-CN"/>
              </w:rPr>
            </w:pPr>
            <w:r>
              <w:rPr>
                <w:rFonts w:hint="eastAsia" w:ascii="宋体" w:hAnsi="宋体" w:eastAsia="宋体" w:cs="宋体"/>
                <w:sz w:val="21"/>
                <w:szCs w:val="21"/>
                <w:vertAlign w:val="baseline"/>
                <w:lang w:val="en-US" w:eastAsia="zh-CN"/>
              </w:rPr>
              <w:t>/</w:t>
            </w:r>
          </w:p>
        </w:tc>
      </w:tr>
    </w:tbl>
    <w:p/>
    <w:p>
      <w:pPr>
        <w:pStyle w:val="10"/>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10"/>
        <w:gridCol w:w="4965"/>
        <w:gridCol w:w="5100"/>
        <w:gridCol w:w="1425"/>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ind w:left="0" w:leftChars="0" w:right="0" w:rightChars="0"/>
              <w:jc w:val="center"/>
              <w:rPr>
                <w:rFonts w:hint="eastAsia" w:ascii="宋体" w:hAnsi="宋体" w:eastAsia="宋体" w:cs="宋体"/>
                <w:b/>
                <w:bCs/>
                <w:sz w:val="21"/>
                <w:szCs w:val="21"/>
                <w:vertAlign w:val="baseline"/>
                <w:lang w:val="en-US" w:eastAsia="zh-CN" w:bidi="zh-CN"/>
              </w:rPr>
            </w:pPr>
            <w:r>
              <w:rPr>
                <w:rFonts w:hint="eastAsia" w:ascii="宋体" w:hAnsi="宋体" w:eastAsia="宋体" w:cs="宋体"/>
                <w:b/>
                <w:bCs/>
                <w:sz w:val="21"/>
                <w:szCs w:val="21"/>
                <w:vertAlign w:val="baseline"/>
                <w:lang w:eastAsia="zh-CN"/>
              </w:rPr>
              <w:t>序号</w:t>
            </w:r>
          </w:p>
        </w:tc>
        <w:tc>
          <w:tcPr>
            <w:tcW w:w="710" w:type="dxa"/>
            <w:vAlign w:val="center"/>
          </w:tcPr>
          <w:p>
            <w:pPr>
              <w:ind w:left="0" w:leftChars="0" w:right="0" w:rightChars="0"/>
              <w:jc w:val="center"/>
              <w:rPr>
                <w:rFonts w:hint="eastAsia" w:ascii="宋体" w:hAnsi="宋体" w:eastAsia="宋体" w:cs="宋体"/>
                <w:b/>
                <w:bCs/>
                <w:sz w:val="21"/>
                <w:szCs w:val="21"/>
                <w:vertAlign w:val="baseline"/>
                <w:lang w:val="zh-CN" w:eastAsia="zh-CN" w:bidi="zh-CN"/>
              </w:rPr>
            </w:pPr>
            <w:r>
              <w:rPr>
                <w:rFonts w:hint="eastAsia" w:ascii="宋体" w:hAnsi="宋体" w:eastAsia="宋体" w:cs="宋体"/>
                <w:b/>
                <w:bCs/>
                <w:sz w:val="21"/>
                <w:szCs w:val="21"/>
                <w:vertAlign w:val="baseline"/>
                <w:lang w:eastAsia="zh-CN"/>
              </w:rPr>
              <w:t>工程内容</w:t>
            </w:r>
          </w:p>
        </w:tc>
        <w:tc>
          <w:tcPr>
            <w:tcW w:w="4965" w:type="dxa"/>
            <w:vAlign w:val="center"/>
          </w:tcPr>
          <w:p>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新建项目环评报告及批复要求建设情况</w:t>
            </w:r>
          </w:p>
          <w:p>
            <w:pPr>
              <w:ind w:left="0" w:leftChars="0" w:right="0" w:rightChars="0"/>
              <w:jc w:val="center"/>
              <w:rPr>
                <w:rFonts w:hint="eastAsia" w:ascii="宋体" w:hAnsi="宋体" w:eastAsia="宋体" w:cs="宋体"/>
                <w:b/>
                <w:bCs/>
                <w:sz w:val="21"/>
                <w:szCs w:val="21"/>
                <w:vertAlign w:val="baseline"/>
                <w:lang w:val="zh-CN" w:eastAsia="zh-CN" w:bidi="zh-CN"/>
              </w:rPr>
            </w:pPr>
            <w:r>
              <w:rPr>
                <w:rFonts w:hint="eastAsia" w:ascii="宋体" w:hAnsi="宋体" w:eastAsia="宋体" w:cs="宋体"/>
                <w:b/>
                <w:bCs/>
                <w:sz w:val="21"/>
                <w:szCs w:val="21"/>
                <w:vertAlign w:val="baseline"/>
              </w:rPr>
              <w:t>（</w:t>
            </w:r>
            <w:r>
              <w:rPr>
                <w:rFonts w:hint="eastAsia" w:ascii="宋体" w:hAnsi="宋体" w:eastAsia="宋体" w:cs="宋体"/>
                <w:b/>
                <w:bCs/>
                <w:sz w:val="24"/>
                <w:szCs w:val="24"/>
                <w:lang w:eastAsia="zh-CN"/>
              </w:rPr>
              <w:t>崇</w:t>
            </w:r>
            <w:r>
              <w:rPr>
                <w:rFonts w:hint="eastAsia" w:ascii="宋体" w:hAnsi="宋体" w:eastAsia="宋体" w:cs="宋体"/>
                <w:b/>
                <w:bCs/>
                <w:spacing w:val="0"/>
                <w:sz w:val="24"/>
                <w:szCs w:val="24"/>
                <w:lang w:eastAsia="zh-CN"/>
              </w:rPr>
              <w:t>环审</w:t>
            </w:r>
            <w:r>
              <w:rPr>
                <w:rFonts w:hint="eastAsia" w:ascii="宋体" w:hAnsi="宋体" w:eastAsia="宋体" w:cs="宋体"/>
                <w:b/>
                <w:bCs/>
                <w:spacing w:val="0"/>
                <w:sz w:val="24"/>
                <w:szCs w:val="24"/>
              </w:rPr>
              <w:t>字</w:t>
            </w:r>
            <w:r>
              <w:rPr>
                <w:rFonts w:hint="eastAsia" w:ascii="Times New Roman" w:hAnsi="Times New Roman" w:eastAsia="宋体" w:cs="Times New Roman"/>
                <w:b/>
                <w:bCs/>
                <w:spacing w:val="0"/>
                <w:sz w:val="24"/>
                <w:szCs w:val="24"/>
              </w:rPr>
              <w:t>[20</w:t>
            </w:r>
            <w:r>
              <w:rPr>
                <w:rFonts w:hint="eastAsia" w:ascii="Times New Roman" w:hAnsi="Times New Roman" w:eastAsia="宋体" w:cs="Times New Roman"/>
                <w:b/>
                <w:bCs/>
                <w:spacing w:val="0"/>
                <w:sz w:val="24"/>
                <w:szCs w:val="24"/>
                <w:lang w:val="en-US" w:eastAsia="zh-CN"/>
              </w:rPr>
              <w:t>20</w:t>
            </w:r>
            <w:r>
              <w:rPr>
                <w:rFonts w:hint="eastAsia" w:ascii="Times New Roman" w:hAnsi="Times New Roman" w:eastAsia="宋体" w:cs="Times New Roman"/>
                <w:b/>
                <w:bCs/>
                <w:spacing w:val="0"/>
                <w:sz w:val="24"/>
                <w:szCs w:val="24"/>
              </w:rPr>
              <w:t>]</w:t>
            </w:r>
            <w:r>
              <w:rPr>
                <w:rFonts w:hint="eastAsia" w:ascii="Times New Roman" w:hAnsi="Times New Roman" w:eastAsia="宋体" w:cs="Times New Roman"/>
                <w:b/>
                <w:bCs/>
                <w:spacing w:val="0"/>
                <w:sz w:val="24"/>
                <w:szCs w:val="24"/>
                <w:lang w:val="en-US" w:eastAsia="zh-CN"/>
              </w:rPr>
              <w:t>74</w:t>
            </w:r>
            <w:r>
              <w:rPr>
                <w:rFonts w:hint="eastAsia" w:ascii="宋体" w:hAnsi="宋体" w:eastAsia="宋体" w:cs="宋体"/>
                <w:b/>
                <w:bCs/>
                <w:spacing w:val="0"/>
                <w:sz w:val="24"/>
                <w:szCs w:val="24"/>
              </w:rPr>
              <w:t>号</w:t>
            </w:r>
            <w:r>
              <w:rPr>
                <w:rFonts w:hint="eastAsia" w:ascii="宋体" w:hAnsi="宋体" w:eastAsia="宋体" w:cs="宋体"/>
                <w:b/>
                <w:bCs/>
                <w:sz w:val="21"/>
                <w:szCs w:val="21"/>
                <w:vertAlign w:val="baseline"/>
              </w:rPr>
              <w:t>）</w:t>
            </w:r>
          </w:p>
        </w:tc>
        <w:tc>
          <w:tcPr>
            <w:tcW w:w="5100" w:type="dxa"/>
            <w:vAlign w:val="center"/>
          </w:tcPr>
          <w:p>
            <w:pPr>
              <w:ind w:left="0" w:leftChars="0" w:right="0" w:rightChars="0"/>
              <w:jc w:val="center"/>
              <w:rPr>
                <w:rFonts w:hint="eastAsia" w:ascii="宋体" w:hAnsi="宋体" w:eastAsia="宋体" w:cs="宋体"/>
                <w:b/>
                <w:bCs/>
                <w:sz w:val="21"/>
                <w:szCs w:val="21"/>
                <w:vertAlign w:val="baseline"/>
                <w:lang w:val="zh-CN" w:eastAsia="zh-CN" w:bidi="zh-CN"/>
              </w:rPr>
            </w:pPr>
            <w:r>
              <w:rPr>
                <w:rFonts w:hint="eastAsia" w:ascii="宋体" w:hAnsi="宋体" w:eastAsia="宋体" w:cs="宋体"/>
                <w:b/>
                <w:bCs/>
                <w:sz w:val="21"/>
                <w:szCs w:val="21"/>
                <w:vertAlign w:val="baseline"/>
              </w:rPr>
              <w:t>实际建设情况</w:t>
            </w:r>
          </w:p>
        </w:tc>
        <w:tc>
          <w:tcPr>
            <w:tcW w:w="1425" w:type="dxa"/>
            <w:vAlign w:val="center"/>
          </w:tcPr>
          <w:p>
            <w:pPr>
              <w:ind w:left="0" w:leftChars="0" w:right="0" w:rightChars="0"/>
              <w:jc w:val="center"/>
              <w:rPr>
                <w:rFonts w:hint="eastAsia" w:ascii="宋体" w:hAnsi="宋体" w:eastAsia="宋体" w:cs="宋体"/>
                <w:b/>
                <w:bCs/>
                <w:sz w:val="21"/>
                <w:szCs w:val="21"/>
                <w:vertAlign w:val="baseline"/>
                <w:lang w:val="zh-CN" w:eastAsia="zh-CN" w:bidi="zh-CN"/>
              </w:rPr>
            </w:pPr>
            <w:r>
              <w:rPr>
                <w:rFonts w:hint="eastAsia" w:ascii="宋体" w:hAnsi="宋体" w:eastAsia="宋体" w:cs="宋体"/>
                <w:b/>
                <w:bCs/>
                <w:sz w:val="21"/>
                <w:szCs w:val="21"/>
              </w:rPr>
              <w:t>变更情况</w:t>
            </w:r>
          </w:p>
        </w:tc>
        <w:tc>
          <w:tcPr>
            <w:tcW w:w="1329" w:type="dxa"/>
            <w:vAlign w:val="center"/>
          </w:tcPr>
          <w:p>
            <w:pPr>
              <w:ind w:left="0" w:leftChars="0" w:right="0" w:rightChars="0"/>
              <w:jc w:val="center"/>
              <w:rPr>
                <w:rFonts w:hint="eastAsia" w:ascii="宋体" w:hAnsi="宋体" w:eastAsia="宋体" w:cs="宋体"/>
                <w:b/>
                <w:bCs/>
                <w:sz w:val="21"/>
                <w:szCs w:val="21"/>
                <w:vertAlign w:val="baseline"/>
                <w:lang w:val="zh-CN" w:eastAsia="zh-CN" w:bidi="zh-CN"/>
              </w:rPr>
            </w:pPr>
            <w:r>
              <w:rPr>
                <w:rFonts w:hint="eastAsia" w:ascii="宋体" w:hAnsi="宋体" w:eastAsia="宋体" w:cs="宋体"/>
                <w:b/>
                <w:bCs/>
                <w:sz w:val="21"/>
                <w:szCs w:val="21"/>
                <w:vertAlign w:val="baseli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4" w:hRule="atLeast"/>
          <w:jc w:val="center"/>
        </w:trPr>
        <w:tc>
          <w:tcPr>
            <w:tcW w:w="645"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710"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水土保持</w:t>
            </w:r>
          </w:p>
        </w:tc>
        <w:tc>
          <w:tcPr>
            <w:tcW w:w="4965" w:type="dxa"/>
            <w:vAlign w:val="center"/>
          </w:tcPr>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人形</w:t>
            </w:r>
            <w:r>
              <w:rPr>
                <w:rFonts w:hint="eastAsia" w:ascii="宋体" w:hAnsi="宋体" w:eastAsia="宋体" w:cs="宋体"/>
                <w:sz w:val="21"/>
                <w:szCs w:val="21"/>
                <w:vertAlign w:val="baseline"/>
              </w:rPr>
              <w:t>水电站的实施，为</w:t>
            </w:r>
            <w:r>
              <w:rPr>
                <w:rFonts w:hint="eastAsia" w:ascii="宋体" w:hAnsi="宋体" w:eastAsia="宋体" w:cs="宋体"/>
                <w:sz w:val="21"/>
                <w:szCs w:val="21"/>
                <w:vertAlign w:val="baseline"/>
                <w:lang w:eastAsia="zh-CN"/>
              </w:rPr>
              <w:t>崇义县</w:t>
            </w:r>
            <w:r>
              <w:rPr>
                <w:rFonts w:hint="eastAsia" w:ascii="宋体" w:hAnsi="宋体" w:eastAsia="宋体" w:cs="宋体"/>
                <w:sz w:val="21"/>
                <w:szCs w:val="21"/>
                <w:vertAlign w:val="baseline"/>
              </w:rPr>
              <w:t>工农业生产增加可靠电源点，可缓解电力电量供需矛盾，促进社会经济发展。虽然工程建设存在着损坏原有地貌，产生大量弃土弃渣等可能造成水土流失的不利因素，但通过制定水保方案，采取相应的对策措施，对可能造成的水土流失进行有效的防治，是可以减少工程建设所引起的水土流失。水土流失防治责任范围划分为4个防治区，即：枢纽工程区、引水工程区、工程管理设施区、临时堆放场区等防治区。对于陆域地面实施土地平整、覆土回填、种植草皮等水土保持措施，对大坝两岸开挖边坡进行加固护衬，防止水土流失。</w:t>
            </w:r>
          </w:p>
        </w:tc>
        <w:tc>
          <w:tcPr>
            <w:tcW w:w="5100" w:type="dxa"/>
            <w:vAlign w:val="center"/>
          </w:tcPr>
          <w:p>
            <w:pPr>
              <w:jc w:val="left"/>
              <w:rPr>
                <w:rFonts w:hint="eastAsia" w:ascii="宋体" w:hAnsi="宋体" w:eastAsia="宋体" w:cs="宋体"/>
                <w:b/>
                <w:bCs/>
                <w:sz w:val="21"/>
                <w:szCs w:val="21"/>
                <w:vertAlign w:val="baseline"/>
              </w:rPr>
            </w:pPr>
            <w:r>
              <w:rPr>
                <w:rFonts w:hint="eastAsia" w:ascii="宋体" w:hAnsi="宋体" w:eastAsia="宋体" w:cs="宋体"/>
                <w:sz w:val="21"/>
                <w:szCs w:val="21"/>
                <w:vertAlign w:val="baseline"/>
              </w:rPr>
              <w:t>人形水电站的实施，为崇义县工农业生产增加可靠电源点，可缓解电力电量供需矛盾，促进社会经济发展。虽然工程建设存在着损坏原有地貌，产生大量弃土弃渣等可能造成水土流失的不利因素，但通过制定水保方案，采取相应的对策措施，对可能造成的水土流失进行有效的防治，是可以减少工程建设所引起的水土流失。水土流失防治责任范围划分为4个防治区，即：枢纽工程区、引水工程区、工程管理设施区、临时堆放场区等防治区。对于陆域地面实施土地平整、覆土回填、种植草皮等水土保持措施，对大坝两岸开挖边坡进行加固护衬，防止水土流失。</w:t>
            </w:r>
          </w:p>
        </w:tc>
        <w:tc>
          <w:tcPr>
            <w:tcW w:w="142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与环评一致</w:t>
            </w:r>
          </w:p>
        </w:tc>
        <w:tc>
          <w:tcPr>
            <w:tcW w:w="132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710"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弃渣场</w:t>
            </w:r>
          </w:p>
        </w:tc>
        <w:tc>
          <w:tcPr>
            <w:tcW w:w="4965" w:type="dxa"/>
            <w:vAlign w:val="center"/>
          </w:tcPr>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建设单位在弃渣场周围设置了挡渣墙、截水沟和排水沟，避免了流失造成水质污染和影响鱼类栖息环境。</w:t>
            </w:r>
          </w:p>
        </w:tc>
        <w:tc>
          <w:tcPr>
            <w:tcW w:w="5100" w:type="dxa"/>
            <w:vAlign w:val="center"/>
          </w:tcPr>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建设单位在弃渣场周围设置了挡渣墙、截水沟和排水沟，避免了流失造成水质污染和影响鱼类栖息环境。</w:t>
            </w:r>
          </w:p>
        </w:tc>
        <w:tc>
          <w:tcPr>
            <w:tcW w:w="142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与环评一致</w:t>
            </w:r>
          </w:p>
        </w:tc>
        <w:tc>
          <w:tcPr>
            <w:tcW w:w="132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spacing w:after="0"/>
        <w:jc w:val="center"/>
        <w:rPr>
          <w:rFonts w:ascii="Times New Roman"/>
          <w:sz w:val="21"/>
        </w:rPr>
        <w:sectPr>
          <w:footerReference r:id="rId5" w:type="default"/>
          <w:pgSz w:w="16840" w:h="11910" w:orient="landscape"/>
          <w:pgMar w:top="1100" w:right="1400" w:bottom="1060" w:left="1460" w:header="0" w:footer="875" w:gutter="0"/>
          <w:pgBorders>
            <w:top w:val="none" w:sz="0" w:space="0"/>
            <w:left w:val="none" w:sz="0" w:space="0"/>
            <w:bottom w:val="none" w:sz="0" w:space="0"/>
            <w:right w:val="none" w:sz="0" w:space="0"/>
          </w:pgBorders>
          <w:pgNumType w:fmt="decimal"/>
        </w:sectPr>
      </w:pPr>
    </w:p>
    <w:p>
      <w:pPr>
        <w:pStyle w:val="3"/>
        <w:numPr>
          <w:ilvl w:val="0"/>
          <w:numId w:val="4"/>
        </w:numPr>
        <w:tabs>
          <w:tab w:val="left" w:pos="498"/>
        </w:tabs>
        <w:spacing w:before="83" w:after="0" w:line="240" w:lineRule="auto"/>
        <w:ind w:left="497" w:right="0" w:hanging="361"/>
        <w:jc w:val="both"/>
        <w:rPr>
          <w:rFonts w:hint="eastAsia" w:ascii="宋体" w:hAnsi="宋体" w:eastAsia="宋体" w:cs="宋体"/>
        </w:rPr>
      </w:pPr>
      <w:bookmarkStart w:id="71" w:name="3环境影响评价及相关批复要求回顾"/>
      <w:bookmarkEnd w:id="71"/>
      <w:bookmarkStart w:id="72" w:name="_bookmark13"/>
      <w:bookmarkEnd w:id="72"/>
      <w:bookmarkStart w:id="73" w:name="_bookmark13"/>
      <w:bookmarkEnd w:id="73"/>
      <w:r>
        <w:rPr>
          <w:rFonts w:hint="eastAsia" w:ascii="宋体" w:hAnsi="宋体" w:eastAsia="宋体" w:cs="宋体"/>
        </w:rPr>
        <w:t>环境影响评价及相关批复要求回顾</w:t>
      </w:r>
    </w:p>
    <w:p>
      <w:pPr>
        <w:pStyle w:val="4"/>
        <w:numPr>
          <w:ilvl w:val="1"/>
          <w:numId w:val="4"/>
        </w:numPr>
        <w:tabs>
          <w:tab w:val="left" w:pos="740"/>
        </w:tabs>
        <w:spacing w:before="0" w:after="0" w:line="240" w:lineRule="auto"/>
        <w:ind w:left="740" w:right="0" w:hanging="603"/>
        <w:jc w:val="left"/>
        <w:rPr>
          <w:rFonts w:hint="eastAsia" w:ascii="宋体" w:hAnsi="宋体" w:eastAsia="宋体" w:cs="宋体"/>
        </w:rPr>
      </w:pPr>
      <w:bookmarkStart w:id="74" w:name="_bookmark14"/>
      <w:bookmarkEnd w:id="74"/>
      <w:bookmarkStart w:id="75" w:name="_bookmark14"/>
      <w:bookmarkEnd w:id="75"/>
      <w:bookmarkStart w:id="76" w:name="3.1环境影响报告书内容回顾"/>
      <w:bookmarkEnd w:id="76"/>
      <w:r>
        <w:rPr>
          <w:rFonts w:hint="eastAsia" w:ascii="宋体" w:hAnsi="宋体" w:eastAsia="宋体" w:cs="宋体"/>
        </w:rPr>
        <w:t>环境影响报告书内容回顾</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highlight w:val="none"/>
        </w:rPr>
      </w:pPr>
      <w:r>
        <w:rPr>
          <w:rFonts w:hint="eastAsia" w:ascii="宋体" w:hAnsi="宋体" w:eastAsia="宋体" w:cs="宋体"/>
          <w:spacing w:val="-10"/>
          <w:sz w:val="24"/>
          <w:szCs w:val="24"/>
          <w:highlight w:val="none"/>
        </w:rPr>
        <w:t>崇义县上堡人形水电站</w:t>
      </w:r>
      <w:r>
        <w:rPr>
          <w:rFonts w:hint="eastAsia" w:ascii="宋体" w:hAnsi="宋体" w:eastAsia="宋体" w:cs="宋体"/>
          <w:highlight w:val="none"/>
        </w:rPr>
        <w:t>于20</w:t>
      </w:r>
      <w:r>
        <w:rPr>
          <w:rFonts w:hint="eastAsia" w:ascii="宋体" w:hAnsi="宋体" w:eastAsia="宋体" w:cs="宋体"/>
          <w:highlight w:val="none"/>
          <w:lang w:val="en-US" w:eastAsia="zh-CN"/>
        </w:rPr>
        <w:t>20</w:t>
      </w:r>
      <w:r>
        <w:rPr>
          <w:rFonts w:hint="eastAsia" w:ascii="宋体" w:hAnsi="宋体" w:eastAsia="宋体" w:cs="宋体"/>
          <w:highlight w:val="none"/>
        </w:rPr>
        <w:t>年</w:t>
      </w:r>
      <w:r>
        <w:rPr>
          <w:rFonts w:hint="eastAsia" w:ascii="宋体" w:hAnsi="宋体" w:eastAsia="宋体" w:cs="宋体"/>
          <w:highlight w:val="none"/>
          <w:lang w:val="en-US" w:eastAsia="zh-CN"/>
        </w:rPr>
        <w:t>06</w:t>
      </w:r>
      <w:r>
        <w:rPr>
          <w:rFonts w:hint="eastAsia" w:ascii="宋体" w:hAnsi="宋体" w:eastAsia="宋体" w:cs="宋体"/>
          <w:highlight w:val="none"/>
        </w:rPr>
        <w:t>月委托</w:t>
      </w:r>
      <w:r>
        <w:rPr>
          <w:rFonts w:hint="eastAsia" w:ascii="宋体" w:hAnsi="宋体" w:eastAsia="宋体" w:cs="宋体"/>
          <w:highlight w:val="none"/>
          <w:lang w:eastAsia="zh-CN"/>
        </w:rPr>
        <w:t>赣州市辉昂环保科技有限公司</w:t>
      </w:r>
      <w:r>
        <w:rPr>
          <w:rFonts w:hint="eastAsia" w:ascii="宋体" w:hAnsi="宋体" w:eastAsia="宋体" w:cs="宋体"/>
          <w:spacing w:val="-10"/>
          <w:highlight w:val="none"/>
        </w:rPr>
        <w:t>编制完成《崇义县上堡人形水电站</w:t>
      </w:r>
      <w:r>
        <w:rPr>
          <w:rFonts w:hint="eastAsia" w:ascii="宋体" w:hAnsi="宋体" w:eastAsia="宋体" w:cs="宋体"/>
          <w:spacing w:val="-10"/>
          <w:highlight w:val="none"/>
          <w:lang w:eastAsia="zh-CN"/>
        </w:rPr>
        <w:t>工程</w:t>
      </w:r>
      <w:r>
        <w:rPr>
          <w:rFonts w:hint="eastAsia" w:ascii="宋体" w:hAnsi="宋体" w:eastAsia="宋体" w:cs="宋体"/>
          <w:spacing w:val="-10"/>
          <w:highlight w:val="none"/>
        </w:rPr>
        <w:t>项目环境影响报告书》，并于</w:t>
      </w:r>
      <w:r>
        <w:rPr>
          <w:rFonts w:hint="eastAsia" w:ascii="Times New Roman" w:hAnsi="Times New Roman" w:eastAsia="宋体" w:cs="Times New Roman"/>
          <w:spacing w:val="-10"/>
          <w:sz w:val="24"/>
          <w:szCs w:val="24"/>
          <w:highlight w:val="none"/>
        </w:rPr>
        <w:t xml:space="preserve"> 20</w:t>
      </w:r>
      <w:r>
        <w:rPr>
          <w:rFonts w:hint="eastAsia" w:ascii="Times New Roman" w:hAnsi="Times New Roman" w:eastAsia="宋体" w:cs="Times New Roman"/>
          <w:spacing w:val="-10"/>
          <w:sz w:val="24"/>
          <w:szCs w:val="24"/>
          <w:highlight w:val="none"/>
          <w:lang w:val="en-US" w:eastAsia="zh-CN"/>
        </w:rPr>
        <w:t>20</w:t>
      </w:r>
      <w:r>
        <w:rPr>
          <w:rFonts w:hint="eastAsia" w:ascii="Times New Roman" w:hAnsi="Times New Roman" w:eastAsia="宋体" w:cs="Times New Roman"/>
          <w:spacing w:val="-10"/>
          <w:sz w:val="24"/>
          <w:szCs w:val="24"/>
          <w:highlight w:val="none"/>
        </w:rPr>
        <w:t xml:space="preserve"> </w:t>
      </w:r>
      <w:r>
        <w:rPr>
          <w:rFonts w:hint="eastAsia" w:ascii="宋体" w:hAnsi="宋体" w:eastAsia="宋体" w:cs="宋体"/>
          <w:spacing w:val="-30"/>
          <w:sz w:val="24"/>
          <w:szCs w:val="24"/>
          <w:highlight w:val="none"/>
        </w:rPr>
        <w:t>年</w:t>
      </w:r>
      <w:r>
        <w:rPr>
          <w:rFonts w:hint="eastAsia" w:ascii="Times New Roman" w:hAnsi="Times New Roman" w:eastAsia="宋体" w:cs="Times New Roman"/>
          <w:spacing w:val="-10"/>
          <w:sz w:val="24"/>
          <w:szCs w:val="24"/>
          <w:highlight w:val="none"/>
          <w:lang w:val="en-US" w:eastAsia="zh-CN"/>
        </w:rPr>
        <w:t>08</w:t>
      </w:r>
      <w:r>
        <w:rPr>
          <w:rFonts w:hint="eastAsia" w:ascii="宋体" w:hAnsi="宋体" w:eastAsia="宋体" w:cs="宋体"/>
          <w:spacing w:val="-30"/>
          <w:sz w:val="24"/>
          <w:szCs w:val="24"/>
          <w:highlight w:val="none"/>
        </w:rPr>
        <w:t>月</w:t>
      </w:r>
      <w:r>
        <w:rPr>
          <w:rFonts w:hint="eastAsia" w:ascii="Times New Roman" w:hAnsi="Times New Roman" w:eastAsia="宋体" w:cs="Times New Roman"/>
          <w:spacing w:val="-10"/>
          <w:sz w:val="24"/>
          <w:szCs w:val="24"/>
          <w:highlight w:val="none"/>
          <w:lang w:val="en-US" w:eastAsia="zh-CN"/>
        </w:rPr>
        <w:t>31</w:t>
      </w:r>
      <w:r>
        <w:rPr>
          <w:rFonts w:hint="eastAsia" w:ascii="宋体" w:hAnsi="宋体" w:eastAsia="宋体" w:cs="宋体"/>
          <w:spacing w:val="-7"/>
          <w:sz w:val="24"/>
          <w:szCs w:val="24"/>
          <w:highlight w:val="none"/>
        </w:rPr>
        <w:t>日取</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eastAsia="zh-CN"/>
        </w:rPr>
        <w:t>赣州市崇义生态环境局</w:t>
      </w:r>
      <w:r>
        <w:rPr>
          <w:rFonts w:hint="eastAsia" w:ascii="宋体" w:hAnsi="宋体" w:eastAsia="宋体" w:cs="宋体"/>
          <w:sz w:val="24"/>
          <w:szCs w:val="24"/>
          <w:highlight w:val="none"/>
        </w:rPr>
        <w:t>《关于</w:t>
      </w:r>
      <w:r>
        <w:rPr>
          <w:rFonts w:hint="eastAsia" w:ascii="宋体" w:hAnsi="宋体" w:eastAsia="宋体" w:cs="宋体"/>
          <w:spacing w:val="-10"/>
          <w:sz w:val="24"/>
          <w:szCs w:val="24"/>
          <w:highlight w:val="none"/>
        </w:rPr>
        <w:t>崇义县上堡人形水电站</w:t>
      </w:r>
      <w:r>
        <w:rPr>
          <w:rFonts w:hint="eastAsia" w:ascii="宋体" w:hAnsi="宋体" w:eastAsia="宋体" w:cs="宋体"/>
          <w:spacing w:val="-10"/>
          <w:sz w:val="24"/>
          <w:szCs w:val="24"/>
          <w:highlight w:val="none"/>
          <w:lang w:eastAsia="zh-CN"/>
        </w:rPr>
        <w:t>工程</w:t>
      </w:r>
      <w:r>
        <w:rPr>
          <w:rFonts w:hint="eastAsia" w:ascii="宋体" w:hAnsi="宋体" w:eastAsia="宋体" w:cs="宋体"/>
          <w:sz w:val="24"/>
          <w:szCs w:val="24"/>
          <w:highlight w:val="none"/>
          <w:lang w:eastAsia="zh-CN"/>
        </w:rPr>
        <w:t>项目</w:t>
      </w:r>
      <w:r>
        <w:rPr>
          <w:rFonts w:hint="eastAsia" w:ascii="宋体" w:hAnsi="宋体" w:eastAsia="宋体" w:cs="宋体"/>
          <w:sz w:val="24"/>
          <w:szCs w:val="24"/>
          <w:highlight w:val="none"/>
        </w:rPr>
        <w:t>环境影响报告书</w:t>
      </w:r>
      <w:r>
        <w:rPr>
          <w:rFonts w:hint="eastAsia" w:ascii="宋体" w:hAnsi="宋体" w:eastAsia="宋体" w:cs="宋体"/>
          <w:sz w:val="24"/>
          <w:szCs w:val="24"/>
          <w:highlight w:val="none"/>
          <w:lang w:eastAsia="zh-CN"/>
        </w:rPr>
        <w:t>的批复</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崇环审</w:t>
      </w:r>
      <w:r>
        <w:rPr>
          <w:rFonts w:hint="eastAsia" w:ascii="宋体" w:hAnsi="宋体" w:eastAsia="宋体" w:cs="宋体"/>
          <w:sz w:val="24"/>
          <w:szCs w:val="24"/>
          <w:highlight w:val="none"/>
        </w:rPr>
        <w:t>字</w:t>
      </w:r>
      <w:r>
        <w:rPr>
          <w:rFonts w:hint="eastAsia" w:ascii="Times New Roman" w:hAnsi="Times New Roman" w:eastAsia="宋体" w:cs="Times New Roman"/>
          <w:spacing w:val="-10"/>
          <w:sz w:val="24"/>
          <w:szCs w:val="24"/>
          <w:highlight w:val="none"/>
        </w:rPr>
        <w:t>[20</w:t>
      </w:r>
      <w:r>
        <w:rPr>
          <w:rFonts w:hint="eastAsia" w:ascii="Times New Roman" w:hAnsi="Times New Roman" w:eastAsia="宋体" w:cs="Times New Roman"/>
          <w:spacing w:val="-10"/>
          <w:sz w:val="24"/>
          <w:szCs w:val="24"/>
          <w:highlight w:val="none"/>
          <w:lang w:val="en-US" w:eastAsia="zh-CN"/>
        </w:rPr>
        <w:t>20</w:t>
      </w:r>
      <w:r>
        <w:rPr>
          <w:rFonts w:hint="eastAsia" w:ascii="Times New Roman" w:hAnsi="Times New Roman" w:eastAsia="宋体" w:cs="Times New Roman"/>
          <w:spacing w:val="-10"/>
          <w:sz w:val="24"/>
          <w:szCs w:val="24"/>
          <w:highlight w:val="none"/>
        </w:rPr>
        <w:t>]</w:t>
      </w:r>
      <w:r>
        <w:rPr>
          <w:rFonts w:hint="eastAsia" w:ascii="Times New Roman" w:hAnsi="Times New Roman" w:eastAsia="宋体" w:cs="Times New Roman"/>
          <w:spacing w:val="-10"/>
          <w:sz w:val="24"/>
          <w:szCs w:val="24"/>
          <w:highlight w:val="none"/>
          <w:lang w:val="en-US" w:eastAsia="zh-CN"/>
        </w:rPr>
        <w:t>74</w:t>
      </w:r>
      <w:r>
        <w:rPr>
          <w:rFonts w:hint="eastAsia" w:ascii="宋体" w:hAnsi="宋体" w:eastAsia="宋体" w:cs="宋体"/>
          <w:sz w:val="24"/>
          <w:szCs w:val="24"/>
          <w:highlight w:val="none"/>
        </w:rPr>
        <w:t xml:space="preserve"> 号）</w:t>
      </w:r>
      <w:r>
        <w:rPr>
          <w:rFonts w:hint="eastAsia" w:ascii="宋体" w:hAnsi="宋体" w:eastAsia="宋体" w:cs="宋体"/>
          <w:highlight w:val="none"/>
        </w:rPr>
        <w:t>。本调查报告依据托</w:t>
      </w:r>
      <w:r>
        <w:rPr>
          <w:rFonts w:hint="eastAsia" w:ascii="宋体" w:hAnsi="宋体" w:eastAsia="宋体" w:cs="宋体"/>
          <w:highlight w:val="none"/>
          <w:lang w:eastAsia="zh-CN"/>
        </w:rPr>
        <w:t>赣州市辉昂环保科技有限公司</w:t>
      </w:r>
      <w:r>
        <w:rPr>
          <w:rFonts w:hint="eastAsia" w:ascii="宋体" w:hAnsi="宋体" w:eastAsia="宋体" w:cs="宋体"/>
          <w:spacing w:val="-10"/>
          <w:highlight w:val="none"/>
        </w:rPr>
        <w:t>编制完成《崇义县上堡人形水电站</w:t>
      </w:r>
      <w:r>
        <w:rPr>
          <w:rFonts w:hint="eastAsia" w:ascii="宋体" w:hAnsi="宋体" w:eastAsia="宋体" w:cs="宋体"/>
          <w:spacing w:val="-10"/>
          <w:highlight w:val="none"/>
          <w:lang w:eastAsia="zh-CN"/>
        </w:rPr>
        <w:t>工程</w:t>
      </w:r>
      <w:r>
        <w:rPr>
          <w:rFonts w:hint="eastAsia" w:ascii="宋体" w:hAnsi="宋体" w:eastAsia="宋体" w:cs="宋体"/>
          <w:spacing w:val="-10"/>
          <w:highlight w:val="none"/>
        </w:rPr>
        <w:t>项目环境影响报告书》中相关内容对崇义县上堡人形水电站</w:t>
      </w:r>
      <w:r>
        <w:rPr>
          <w:rFonts w:hint="eastAsia" w:ascii="宋体" w:hAnsi="宋体" w:eastAsia="宋体" w:cs="宋体"/>
          <w:highlight w:val="none"/>
        </w:rPr>
        <w:t>建设前的状况进行介绍。</w:t>
      </w:r>
    </w:p>
    <w:p>
      <w:pPr>
        <w:pStyle w:val="20"/>
        <w:numPr>
          <w:ilvl w:val="2"/>
          <w:numId w:val="4"/>
        </w:numPr>
        <w:tabs>
          <w:tab w:val="left" w:pos="836"/>
        </w:tabs>
        <w:spacing w:before="116" w:after="0" w:line="240" w:lineRule="auto"/>
        <w:ind w:left="836" w:right="0" w:hanging="699"/>
        <w:jc w:val="left"/>
        <w:rPr>
          <w:rFonts w:hint="eastAsia" w:ascii="宋体" w:hAnsi="宋体" w:eastAsia="宋体" w:cs="宋体"/>
          <w:b/>
          <w:sz w:val="28"/>
        </w:rPr>
      </w:pPr>
      <w:bookmarkStart w:id="77" w:name="3.1.1工程基本情况"/>
      <w:bookmarkEnd w:id="77"/>
      <w:bookmarkStart w:id="78" w:name="3.1.1工程基本情况"/>
      <w:bookmarkEnd w:id="78"/>
      <w:r>
        <w:rPr>
          <w:rFonts w:hint="eastAsia" w:ascii="宋体" w:hAnsi="宋体" w:eastAsia="宋体" w:cs="宋体"/>
          <w:b/>
          <w:sz w:val="28"/>
        </w:rPr>
        <w:t>工程基本情况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rPr>
      </w:pPr>
      <w:r>
        <w:rPr>
          <w:rFonts w:hint="default" w:ascii="Times New Roman" w:hAnsi="Times New Roman" w:eastAsia="宋体" w:cs="Times New Roman"/>
          <w:snapToGrid w:val="0"/>
          <w:color w:val="auto"/>
          <w:lang w:eastAsia="zh-CN"/>
        </w:rPr>
        <w:t>本项目</w:t>
      </w:r>
      <w:r>
        <w:rPr>
          <w:rFonts w:hint="default" w:ascii="Times New Roman" w:hAnsi="Times New Roman" w:eastAsia="宋体" w:cs="Times New Roman"/>
          <w:color w:val="auto"/>
        </w:rPr>
        <w:t>位于</w:t>
      </w:r>
      <w:r>
        <w:rPr>
          <w:rFonts w:hint="default" w:ascii="Times New Roman" w:hAnsi="Times New Roman" w:eastAsia="宋体" w:cs="Times New Roman"/>
          <w:color w:val="auto"/>
          <w:lang w:eastAsia="zh-CN"/>
        </w:rPr>
        <w:t>江西省赣州市崇义县上堡乡正井村。</w:t>
      </w:r>
      <w:r>
        <w:rPr>
          <w:rFonts w:hint="default" w:ascii="Times New Roman" w:hAnsi="Times New Roman" w:eastAsia="宋体" w:cs="Times New Roman"/>
          <w:snapToGrid w:val="0"/>
          <w:color w:val="auto"/>
          <w:sz w:val="24"/>
          <w:szCs w:val="24"/>
          <w:highlight w:val="none"/>
          <w:u w:val="none"/>
        </w:rPr>
        <w:t>距</w:t>
      </w:r>
      <w:r>
        <w:rPr>
          <w:rFonts w:hint="default" w:ascii="Times New Roman" w:hAnsi="Times New Roman" w:eastAsia="宋体" w:cs="Times New Roman"/>
          <w:color w:val="auto"/>
          <w:sz w:val="24"/>
          <w:szCs w:val="24"/>
          <w:u w:val="none"/>
          <w:lang w:eastAsia="zh-CN"/>
        </w:rPr>
        <w:t>崇义县城</w:t>
      </w:r>
      <w:r>
        <w:rPr>
          <w:rFonts w:hint="default" w:ascii="Times New Roman" w:hAnsi="Times New Roman" w:eastAsia="宋体" w:cs="Times New Roman"/>
          <w:color w:val="auto"/>
          <w:sz w:val="24"/>
          <w:szCs w:val="24"/>
          <w:u w:val="none"/>
        </w:rPr>
        <w:t>约</w:t>
      </w: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5km，</w:t>
      </w:r>
      <w:r>
        <w:rPr>
          <w:rFonts w:hint="default" w:ascii="Times New Roman" w:hAnsi="Times New Roman" w:eastAsia="宋体" w:cs="Times New Roman"/>
          <w:color w:val="auto"/>
          <w:sz w:val="24"/>
          <w:szCs w:val="24"/>
          <w:u w:val="none"/>
          <w:lang w:eastAsia="zh-CN"/>
        </w:rPr>
        <w:t>均源河</w:t>
      </w:r>
      <w:r>
        <w:rPr>
          <w:rFonts w:hint="default" w:ascii="Times New Roman" w:hAnsi="Times New Roman" w:eastAsia="宋体" w:cs="Times New Roman"/>
          <w:color w:val="auto"/>
          <w:sz w:val="24"/>
          <w:szCs w:val="24"/>
          <w:lang w:val="en-US" w:eastAsia="zh-CN"/>
        </w:rPr>
        <w:t>属古亭水二级支流上堡河一级支流，拦河</w:t>
      </w:r>
      <w:r>
        <w:rPr>
          <w:rFonts w:hint="default" w:ascii="Times New Roman" w:hAnsi="Times New Roman" w:eastAsia="宋体" w:cs="Times New Roman"/>
          <w:snapToGrid w:val="0"/>
          <w:color w:val="auto"/>
          <w:sz w:val="24"/>
          <w:szCs w:val="24"/>
          <w:u w:val="none"/>
          <w:lang w:eastAsia="zh-CN"/>
        </w:rPr>
        <w:t>坝中心地理位置坐标为</w:t>
      </w:r>
      <w:r>
        <w:rPr>
          <w:rFonts w:hint="default" w:ascii="Times New Roman" w:hAnsi="Times New Roman" w:eastAsia="宋体" w:cs="Times New Roman"/>
          <w:color w:val="auto"/>
          <w:highlight w:val="none"/>
          <w:lang w:eastAsia="zh-CN"/>
        </w:rPr>
        <w:t>东经</w:t>
      </w:r>
      <w:r>
        <w:rPr>
          <w:rFonts w:hint="default" w:ascii="Times New Roman" w:hAnsi="Times New Roman" w:eastAsia="宋体" w:cs="Times New Roman"/>
          <w:snapToGrid w:val="0"/>
          <w:color w:val="auto"/>
          <w:sz w:val="24"/>
          <w:szCs w:val="24"/>
          <w:highlight w:val="none"/>
          <w:u w:val="none"/>
          <w:lang w:eastAsia="zh-CN"/>
        </w:rPr>
        <w:t>113°57'</w:t>
      </w:r>
      <w:r>
        <w:rPr>
          <w:rFonts w:hint="default" w:ascii="Times New Roman" w:hAnsi="Times New Roman" w:eastAsia="宋体" w:cs="Times New Roman"/>
          <w:snapToGrid w:val="0"/>
          <w:color w:val="auto"/>
          <w:sz w:val="24"/>
          <w:szCs w:val="24"/>
          <w:highlight w:val="none"/>
          <w:u w:val="none"/>
          <w:lang w:val="en-US" w:eastAsia="zh-CN"/>
        </w:rPr>
        <w:t>06.48</w:t>
      </w:r>
      <w:r>
        <w:rPr>
          <w:rFonts w:hint="default" w:ascii="Times New Roman" w:hAnsi="Times New Roman" w:eastAsia="宋体" w:cs="Times New Roman"/>
          <w:snapToGrid w:val="0"/>
          <w:color w:val="auto"/>
          <w:sz w:val="24"/>
          <w:szCs w:val="24"/>
          <w:highlight w:val="none"/>
          <w:u w:val="none"/>
          <w:lang w:eastAsia="zh-CN"/>
        </w:rPr>
        <w:t>"，北纬25°43'</w:t>
      </w:r>
      <w:r>
        <w:rPr>
          <w:rFonts w:hint="default" w:ascii="Times New Roman" w:hAnsi="Times New Roman" w:eastAsia="宋体" w:cs="Times New Roman"/>
          <w:snapToGrid w:val="0"/>
          <w:color w:val="auto"/>
          <w:sz w:val="24"/>
          <w:szCs w:val="24"/>
          <w:highlight w:val="none"/>
          <w:u w:val="none"/>
          <w:lang w:val="en-US" w:eastAsia="zh-CN"/>
        </w:rPr>
        <w:t>09.69</w:t>
      </w:r>
      <w:r>
        <w:rPr>
          <w:rFonts w:hint="default" w:ascii="Times New Roman" w:hAnsi="Times New Roman" w:eastAsia="宋体" w:cs="Times New Roman"/>
          <w:snapToGrid w:val="0"/>
          <w:color w:val="auto"/>
          <w:sz w:val="24"/>
          <w:szCs w:val="24"/>
          <w:highlight w:val="none"/>
          <w:u w:val="none"/>
          <w:lang w:eastAsia="zh-CN"/>
        </w:rPr>
        <w:t>"，电站厂房中心地理位置坐标为东经113°57'48.02"，北纬25°43'58.01"</w:t>
      </w:r>
      <w:r>
        <w:rPr>
          <w:rFonts w:hint="eastAsia" w:ascii="宋体" w:hAnsi="宋体" w:eastAsia="宋体" w:cs="宋体"/>
          <w:spacing w:val="0"/>
        </w:rPr>
        <w:t>。</w:t>
      </w:r>
    </w:p>
    <w:p>
      <w:pPr>
        <w:pStyle w:val="20"/>
        <w:numPr>
          <w:ilvl w:val="3"/>
          <w:numId w:val="4"/>
        </w:numPr>
        <w:tabs>
          <w:tab w:val="left" w:pos="1338"/>
        </w:tabs>
        <w:spacing w:before="0" w:after="0" w:line="306" w:lineRule="exact"/>
        <w:ind w:left="1337" w:right="0" w:hanging="721"/>
        <w:jc w:val="left"/>
        <w:rPr>
          <w:rFonts w:hint="eastAsia" w:ascii="宋体" w:hAnsi="宋体" w:eastAsia="宋体" w:cs="宋体"/>
          <w:b/>
          <w:bCs/>
          <w:sz w:val="24"/>
        </w:rPr>
      </w:pPr>
      <w:r>
        <w:rPr>
          <w:rFonts w:hint="eastAsia" w:ascii="宋体" w:hAnsi="宋体" w:eastAsia="宋体" w:cs="宋体"/>
          <w:b/>
          <w:bCs/>
          <w:sz w:val="24"/>
        </w:rPr>
        <w:t>工程分析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本项目为水电站建设项目，符合国家及地方产业政策。工程布局、水库淹没区均不涉及自然保护区、风景名胜区、永久基本农田。</w:t>
      </w:r>
      <w:r>
        <w:rPr>
          <w:rFonts w:hint="eastAsia" w:ascii="宋体" w:hAnsi="宋体" w:eastAsia="宋体" w:cs="宋体"/>
          <w:lang w:eastAsia="zh-CN"/>
        </w:rPr>
        <w:t>本项目在</w:t>
      </w:r>
      <w:r>
        <w:rPr>
          <w:rFonts w:hint="eastAsia" w:ascii="宋体" w:hAnsi="宋体" w:eastAsia="宋体" w:cs="宋体"/>
        </w:rPr>
        <w:t>生态保护红线区</w:t>
      </w:r>
      <w:r>
        <w:rPr>
          <w:rFonts w:hint="eastAsia" w:ascii="宋体" w:hAnsi="宋体" w:eastAsia="宋体" w:cs="宋体"/>
          <w:lang w:eastAsia="zh-CN"/>
        </w:rPr>
        <w:t>内，当地水利局有发文批复本项目允许在此建站进行生产，允许环评验收</w:t>
      </w:r>
      <w:r>
        <w:rPr>
          <w:rFonts w:hint="eastAsia" w:ascii="宋体" w:hAnsi="宋体" w:eastAsia="宋体" w:cs="宋体"/>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再从环境损益角度来看，本项目的建设对生态环境、河岸稳定性、水质、水生生物、空气、噪声、泥沙淤积等均有负面影响；正面影响主要表现在对发电、社会经济等方面。从环境保护的单一角度看，建设本工程较不建本工程将带来的环境问题更多。但综合社会发展需要，只要在建设时对可能出现的环境问题给予足够的重视，并采取适当的措施，使环境影响降到最低程度，本工程实施和运行带来的社会和环境效益十分显著和长远。</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因此，从促进社会经济发展和保护环境角度综合来看，本工程的建设是合理的。</w:t>
      </w:r>
    </w:p>
    <w:p>
      <w:pPr>
        <w:pStyle w:val="20"/>
        <w:numPr>
          <w:ilvl w:val="2"/>
          <w:numId w:val="4"/>
        </w:numPr>
        <w:tabs>
          <w:tab w:val="left" w:pos="836"/>
        </w:tabs>
        <w:spacing w:before="122" w:after="0" w:line="240" w:lineRule="auto"/>
        <w:ind w:left="836" w:right="0" w:hanging="699"/>
        <w:jc w:val="left"/>
        <w:rPr>
          <w:rFonts w:hint="eastAsia" w:ascii="宋体" w:hAnsi="宋体" w:eastAsia="宋体" w:cs="宋体"/>
          <w:b/>
          <w:sz w:val="28"/>
        </w:rPr>
      </w:pPr>
      <w:bookmarkStart w:id="79" w:name="3.1.2环境概况"/>
      <w:bookmarkEnd w:id="79"/>
      <w:bookmarkStart w:id="80" w:name="3.1.2环境概况"/>
      <w:bookmarkEnd w:id="80"/>
      <w:r>
        <w:rPr>
          <w:rFonts w:hint="eastAsia" w:ascii="宋体" w:hAnsi="宋体" w:eastAsia="宋体" w:cs="宋体"/>
          <w:b/>
          <w:sz w:val="28"/>
        </w:rPr>
        <w:t>环境概况</w:t>
      </w:r>
    </w:p>
    <w:p>
      <w:pPr>
        <w:pStyle w:val="20"/>
        <w:numPr>
          <w:ilvl w:val="3"/>
          <w:numId w:val="4"/>
        </w:numPr>
        <w:tabs>
          <w:tab w:val="left" w:pos="1398"/>
        </w:tabs>
        <w:spacing w:before="0" w:after="0" w:line="240" w:lineRule="auto"/>
        <w:ind w:left="1397" w:right="0" w:hanging="781"/>
        <w:jc w:val="left"/>
        <w:rPr>
          <w:rFonts w:hint="eastAsia" w:ascii="宋体" w:hAnsi="宋体" w:eastAsia="宋体" w:cs="宋体"/>
          <w:b/>
          <w:bCs/>
          <w:sz w:val="24"/>
        </w:rPr>
      </w:pPr>
      <w:r>
        <w:rPr>
          <w:rFonts w:hint="eastAsia" w:ascii="宋体" w:hAnsi="宋体" w:eastAsia="宋体" w:cs="宋体"/>
          <w:b/>
          <w:bCs/>
          <w:sz w:val="24"/>
        </w:rPr>
        <w:t>自然环境</w:t>
      </w:r>
    </w:p>
    <w:p>
      <w:pPr>
        <w:kinsoku/>
        <w:wordWrap/>
        <w:overflowPunct/>
        <w:topLinePunct w:val="0"/>
        <w:autoSpaceDE/>
        <w:autoSpaceDN/>
        <w:bidi w:val="0"/>
        <w:adjustRightInd/>
        <w:snapToGrid/>
        <w:spacing w:line="360" w:lineRule="auto"/>
        <w:ind w:firstLine="480" w:firstLineChars="200"/>
        <w:rPr>
          <w:rFonts w:hint="default" w:ascii="宋体" w:hAnsi="宋体" w:eastAsia="宋体" w:cs="宋体"/>
          <w:color w:val="auto"/>
          <w:sz w:val="24"/>
          <w:szCs w:val="24"/>
        </w:rPr>
      </w:pPr>
      <w:r>
        <w:rPr>
          <w:rFonts w:hint="default" w:ascii="宋体" w:hAnsi="宋体" w:eastAsia="宋体" w:cs="宋体"/>
          <w:color w:val="auto"/>
          <w:sz w:val="24"/>
          <w:szCs w:val="24"/>
          <w:lang w:val="en-US" w:eastAsia="zh-CN"/>
        </w:rPr>
        <w:t>上堡河</w:t>
      </w:r>
      <w:r>
        <w:rPr>
          <w:rFonts w:hint="default" w:ascii="宋体" w:hAnsi="宋体" w:eastAsia="宋体" w:cs="宋体"/>
          <w:color w:val="auto"/>
          <w:sz w:val="24"/>
          <w:szCs w:val="24"/>
        </w:rPr>
        <w:t>流域位于崇义河下游支流，流域内大部地区为低山，丘陵绵亘，及流域上游河两岸有狭谷地形，山顶海拔在</w:t>
      </w:r>
      <w:r>
        <w:rPr>
          <w:rFonts w:hint="default" w:ascii="Times New Roman" w:hAnsi="Times New Roman" w:eastAsia="宋体" w:cs="Times New Roman"/>
          <w:color w:val="auto"/>
          <w:sz w:val="24"/>
          <w:szCs w:val="24"/>
        </w:rPr>
        <w:t>300～600</w:t>
      </w:r>
      <w:r>
        <w:rPr>
          <w:rFonts w:hint="default" w:ascii="宋体" w:hAnsi="宋体" w:eastAsia="宋体" w:cs="宋体"/>
          <w:color w:val="auto"/>
          <w:sz w:val="24"/>
          <w:szCs w:val="24"/>
        </w:rPr>
        <w:t>之间。整个地形呈北高南低趋势，流域地貌：平原占</w:t>
      </w:r>
      <w:r>
        <w:rPr>
          <w:rFonts w:hint="default" w:ascii="Times New Roman" w:hAnsi="Times New Roman" w:eastAsia="宋体" w:cs="Times New Roman"/>
          <w:color w:val="auto"/>
          <w:sz w:val="24"/>
          <w:szCs w:val="24"/>
        </w:rPr>
        <w:t>6.48%</w:t>
      </w:r>
      <w:r>
        <w:rPr>
          <w:rFonts w:hint="default" w:ascii="宋体" w:hAnsi="宋体" w:eastAsia="宋体" w:cs="宋体"/>
          <w:color w:val="auto"/>
          <w:sz w:val="24"/>
          <w:szCs w:val="24"/>
        </w:rPr>
        <w:t>，岗地占</w:t>
      </w:r>
      <w:r>
        <w:rPr>
          <w:rFonts w:hint="default" w:ascii="Times New Roman" w:hAnsi="Times New Roman" w:eastAsia="宋体" w:cs="Times New Roman"/>
          <w:color w:val="auto"/>
          <w:sz w:val="24"/>
          <w:szCs w:val="24"/>
        </w:rPr>
        <w:t>10.68%</w:t>
      </w:r>
      <w:r>
        <w:rPr>
          <w:rFonts w:hint="default" w:ascii="宋体" w:hAnsi="宋体" w:eastAsia="宋体" w:cs="宋体"/>
          <w:color w:val="auto"/>
          <w:sz w:val="24"/>
          <w:szCs w:val="24"/>
        </w:rPr>
        <w:t>，丘陵占</w:t>
      </w:r>
      <w:r>
        <w:rPr>
          <w:rFonts w:hint="default" w:ascii="Times New Roman" w:hAnsi="Times New Roman" w:eastAsia="宋体" w:cs="Times New Roman"/>
          <w:color w:val="auto"/>
          <w:sz w:val="24"/>
          <w:szCs w:val="24"/>
        </w:rPr>
        <w:t>20.32%</w:t>
      </w:r>
      <w:r>
        <w:rPr>
          <w:rFonts w:hint="default" w:ascii="宋体" w:hAnsi="宋体" w:eastAsia="宋体" w:cs="宋体"/>
          <w:color w:val="auto"/>
          <w:sz w:val="24"/>
          <w:szCs w:val="24"/>
        </w:rPr>
        <w:t>，土地占</w:t>
      </w:r>
      <w:r>
        <w:rPr>
          <w:rFonts w:hint="default" w:ascii="Times New Roman" w:hAnsi="Times New Roman" w:eastAsia="宋体" w:cs="Times New Roman"/>
          <w:color w:val="auto"/>
          <w:sz w:val="24"/>
          <w:szCs w:val="24"/>
        </w:rPr>
        <w:t>37.48%</w:t>
      </w:r>
      <w:r>
        <w:rPr>
          <w:rFonts w:hint="default" w:ascii="宋体" w:hAnsi="宋体" w:eastAsia="宋体" w:cs="宋体"/>
          <w:color w:val="auto"/>
          <w:sz w:val="24"/>
          <w:szCs w:val="24"/>
        </w:rPr>
        <w:t>。</w:t>
      </w:r>
    </w:p>
    <w:p>
      <w:pPr>
        <w:kinsoku/>
        <w:wordWrap/>
        <w:overflowPunct/>
        <w:topLinePunct w:val="0"/>
        <w:autoSpaceDE/>
        <w:autoSpaceDN/>
        <w:bidi w:val="0"/>
        <w:adjustRightInd/>
        <w:snapToGrid/>
        <w:spacing w:line="360" w:lineRule="auto"/>
        <w:ind w:firstLine="480" w:firstLineChars="200"/>
      </w:pPr>
      <w:r>
        <w:rPr>
          <w:rFonts w:hint="default" w:ascii="宋体" w:hAnsi="宋体" w:eastAsia="宋体" w:cs="宋体"/>
          <w:color w:val="auto"/>
          <w:sz w:val="24"/>
          <w:szCs w:val="24"/>
        </w:rPr>
        <w:t>流域上游多为山丘地貌，峰嶂发育、植被较好，中下游丘岗地区，人为活动因素水土流失一般，田庄散落流域两岸，沿河两岸分布有城镇、村落是人群集居区。构造剥蚀丘陵地貌，由震旦～寒武系变质岩，罗系火山碎屑岸。第四系冲积和松散堆积物组成Ⅰ、Ⅱ、Ⅲ级基座阶地。Ⅰ级阶地由全新统冲积层组成，多呈带状沿河分布，距离水面</w:t>
      </w:r>
      <w:r>
        <w:rPr>
          <w:rFonts w:hint="default" w:ascii="Times New Roman" w:hAnsi="Times New Roman" w:eastAsia="宋体" w:cs="Times New Roman"/>
          <w:color w:val="auto"/>
          <w:sz w:val="24"/>
          <w:szCs w:val="24"/>
        </w:rPr>
        <w:t>1</w:t>
      </w:r>
      <w:r>
        <w:rPr>
          <w:rFonts w:hint="default" w:ascii="宋体" w:hAnsi="宋体" w:eastAsia="宋体" w:cs="宋体"/>
          <w:color w:val="auto"/>
          <w:sz w:val="24"/>
          <w:szCs w:val="24"/>
        </w:rPr>
        <w:t>至</w:t>
      </w:r>
      <w:r>
        <w:rPr>
          <w:rFonts w:hint="default" w:ascii="Times New Roman" w:hAnsi="Times New Roman" w:eastAsia="宋体" w:cs="Times New Roman"/>
          <w:color w:val="auto"/>
          <w:sz w:val="24"/>
          <w:szCs w:val="24"/>
        </w:rPr>
        <w:t>3</w:t>
      </w:r>
      <w:r>
        <w:rPr>
          <w:rFonts w:hint="default" w:ascii="宋体" w:hAnsi="宋体" w:eastAsia="宋体" w:cs="宋体"/>
          <w:color w:val="auto"/>
          <w:sz w:val="24"/>
          <w:szCs w:val="24"/>
        </w:rPr>
        <w:t>米，阶面平坦向河床方向倾斜，出露宽度一般</w:t>
      </w:r>
      <w:r>
        <w:rPr>
          <w:rFonts w:hint="default" w:ascii="Times New Roman" w:hAnsi="Times New Roman" w:eastAsia="宋体" w:cs="Times New Roman"/>
          <w:color w:val="auto"/>
          <w:sz w:val="24"/>
          <w:szCs w:val="24"/>
        </w:rPr>
        <w:t>100</w:t>
      </w:r>
      <w:r>
        <w:rPr>
          <w:rFonts w:hint="default" w:ascii="宋体" w:hAnsi="宋体" w:eastAsia="宋体" w:cs="宋体"/>
          <w:color w:val="auto"/>
          <w:sz w:val="24"/>
          <w:szCs w:val="24"/>
        </w:rPr>
        <w:t>米左右，为主要的农作物分布区。Ⅱ级阶地主要由中更新统冲积层组成，阶地前缘有基岩出露，高出Ⅰ级阶地</w:t>
      </w:r>
      <w:r>
        <w:rPr>
          <w:rFonts w:hint="default" w:ascii="Times New Roman" w:hAnsi="Times New Roman" w:eastAsia="宋体" w:cs="Times New Roman"/>
          <w:color w:val="auto"/>
          <w:sz w:val="24"/>
          <w:szCs w:val="24"/>
        </w:rPr>
        <w:t>2～4</w:t>
      </w:r>
      <w:r>
        <w:rPr>
          <w:rFonts w:hint="default" w:ascii="宋体" w:hAnsi="宋体" w:eastAsia="宋体" w:cs="宋体"/>
          <w:color w:val="auto"/>
          <w:sz w:val="24"/>
          <w:szCs w:val="24"/>
        </w:rPr>
        <w:t>米，向河床方向倾斜。Ⅲ级阶地，主要由下更新统冲积层组成，阶地前缘有基岩出露，高出Ⅱ级阶地</w:t>
      </w:r>
      <w:r>
        <w:rPr>
          <w:rFonts w:hint="default" w:ascii="Times New Roman" w:hAnsi="Times New Roman" w:eastAsia="宋体" w:cs="Times New Roman"/>
          <w:color w:val="auto"/>
          <w:sz w:val="24"/>
          <w:szCs w:val="24"/>
        </w:rPr>
        <w:t>6</w:t>
      </w:r>
      <w:r>
        <w:rPr>
          <w:rFonts w:hint="default" w:ascii="宋体" w:hAnsi="宋体" w:eastAsia="宋体" w:cs="宋体"/>
          <w:color w:val="auto"/>
          <w:sz w:val="24"/>
          <w:szCs w:val="24"/>
        </w:rPr>
        <w:t>米</w:t>
      </w:r>
      <w:r>
        <w:rPr>
          <w:rFonts w:ascii="宋体" w:hAnsi="宋体" w:eastAsia="宋体" w:cs="宋体"/>
          <w:color w:val="auto"/>
          <w:sz w:val="24"/>
          <w:szCs w:val="24"/>
        </w:rPr>
        <w:t>。</w:t>
      </w:r>
    </w:p>
    <w:p>
      <w:pPr>
        <w:pStyle w:val="20"/>
        <w:numPr>
          <w:ilvl w:val="3"/>
          <w:numId w:val="4"/>
        </w:numPr>
        <w:tabs>
          <w:tab w:val="left" w:pos="1338"/>
        </w:tabs>
        <w:spacing w:before="0" w:after="0" w:line="240" w:lineRule="auto"/>
        <w:ind w:left="1337" w:right="0" w:hanging="721"/>
        <w:jc w:val="left"/>
        <w:rPr>
          <w:rFonts w:hint="eastAsia" w:ascii="宋体" w:hAnsi="宋体" w:eastAsia="宋体" w:cs="宋体"/>
          <w:b/>
          <w:bCs/>
          <w:sz w:val="24"/>
        </w:rPr>
      </w:pPr>
      <w:r>
        <w:rPr>
          <w:rFonts w:hint="eastAsia" w:ascii="宋体" w:hAnsi="宋体" w:eastAsia="宋体" w:cs="宋体"/>
          <w:b/>
          <w:bCs/>
          <w:sz w:val="24"/>
        </w:rPr>
        <w:t>工程区的环境质量现状</w:t>
      </w:r>
    </w:p>
    <w:p>
      <w:pPr>
        <w:pStyle w:val="20"/>
        <w:keepNext w:val="0"/>
        <w:keepLines w:val="0"/>
        <w:pageBreakBefore w:val="0"/>
        <w:widowControl w:val="0"/>
        <w:numPr>
          <w:ilvl w:val="0"/>
          <w:numId w:val="0"/>
        </w:numPr>
        <w:tabs>
          <w:tab w:val="left" w:pos="1018"/>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水质</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评价区域内河流水质达到《地表水环境质量标准)(GB3838- 2002)</w:t>
      </w:r>
      <w:r>
        <w:rPr>
          <w:rFonts w:hint="eastAsia" w:ascii="宋体" w:hAnsi="宋体" w:eastAsia="宋体" w:cs="宋体"/>
          <w:lang w:eastAsia="zh-CN"/>
        </w:rPr>
        <w:t>Ⅱ级</w:t>
      </w:r>
      <w:r>
        <w:rPr>
          <w:rFonts w:hint="eastAsia" w:ascii="宋体" w:hAnsi="宋体" w:eastAsia="宋体" w:cs="宋体"/>
        </w:rPr>
        <w:t>标准要求，能够满足灌溉用水要求。</w:t>
      </w:r>
    </w:p>
    <w:p>
      <w:pPr>
        <w:pStyle w:val="20"/>
        <w:keepNext w:val="0"/>
        <w:keepLines w:val="0"/>
        <w:pageBreakBefore w:val="0"/>
        <w:widowControl w:val="0"/>
        <w:numPr>
          <w:ilvl w:val="0"/>
          <w:numId w:val="0"/>
        </w:numPr>
        <w:tabs>
          <w:tab w:val="left" w:pos="898"/>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环境空气质量</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eastAsia" w:ascii="宋体" w:hAnsi="宋体" w:eastAsia="宋体" w:cs="宋体"/>
        </w:rPr>
      </w:pPr>
      <w:r>
        <w:rPr>
          <w:rFonts w:hint="eastAsia" w:ascii="宋体" w:hAnsi="宋体" w:eastAsia="宋体" w:cs="宋体"/>
          <w:spacing w:val="-10"/>
        </w:rPr>
        <w:t>评价区域内环境空气质量达到</w:t>
      </w:r>
      <w:r>
        <w:rPr>
          <w:rFonts w:hint="default" w:ascii="Times New Roman" w:hAnsi="Times New Roman" w:eastAsia="宋体" w:cs="Times New Roman"/>
          <w:bCs/>
          <w:caps w:val="0"/>
          <w:smallCaps w:val="0"/>
          <w:snapToGrid/>
          <w:color w:val="auto"/>
          <w:spacing w:val="0"/>
          <w:w w:val="100"/>
          <w:kern w:val="2"/>
          <w:position w:val="0"/>
          <w:sz w:val="24"/>
        </w:rPr>
        <w:t>《</w:t>
      </w:r>
      <w:r>
        <w:rPr>
          <w:rFonts w:hint="default" w:ascii="Times New Roman" w:hAnsi="Times New Roman" w:eastAsia="宋体" w:cs="Times New Roman"/>
          <w:bCs/>
          <w:caps w:val="0"/>
          <w:smallCaps w:val="0"/>
          <w:snapToGrid/>
          <w:color w:val="auto"/>
          <w:spacing w:val="0"/>
          <w:w w:val="100"/>
          <w:kern w:val="2"/>
          <w:position w:val="0"/>
          <w:sz w:val="24"/>
          <w:lang w:eastAsia="zh-CN"/>
        </w:rPr>
        <w:t>环境空气质量标准</w:t>
      </w:r>
      <w:r>
        <w:rPr>
          <w:rFonts w:hint="default" w:ascii="Times New Roman" w:hAnsi="Times New Roman" w:eastAsia="宋体" w:cs="Times New Roman"/>
          <w:bCs/>
          <w:caps w:val="0"/>
          <w:smallCaps w:val="0"/>
          <w:snapToGrid/>
          <w:color w:val="auto"/>
          <w:spacing w:val="0"/>
          <w:w w:val="100"/>
          <w:kern w:val="2"/>
          <w:position w:val="0"/>
          <w:sz w:val="24"/>
        </w:rPr>
        <w:t>》（GB3095-2012）中二级标准限值</w:t>
      </w:r>
      <w:r>
        <w:rPr>
          <w:rFonts w:hint="eastAsia" w:ascii="宋体" w:hAnsi="宋体" w:eastAsia="宋体" w:cs="宋体"/>
          <w:spacing w:val="-10"/>
        </w:rPr>
        <w:t>，评价区域内大</w:t>
      </w:r>
      <w:r>
        <w:rPr>
          <w:rFonts w:hint="eastAsia" w:ascii="宋体" w:hAnsi="宋体" w:eastAsia="宋体" w:cs="宋体"/>
        </w:rPr>
        <w:t>气环境质量良好。</w:t>
      </w:r>
    </w:p>
    <w:p>
      <w:pPr>
        <w:pStyle w:val="20"/>
        <w:keepNext w:val="0"/>
        <w:keepLines w:val="0"/>
        <w:pageBreakBefore w:val="0"/>
        <w:widowControl w:val="0"/>
        <w:numPr>
          <w:ilvl w:val="0"/>
          <w:numId w:val="0"/>
        </w:numPr>
        <w:tabs>
          <w:tab w:val="left" w:pos="1018"/>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声环境</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评价区城内声环境质量达到</w:t>
      </w:r>
      <w:r>
        <w:rPr>
          <w:rFonts w:hint="default" w:ascii="Times New Roman" w:hAnsi="Times New Roman" w:eastAsia="宋体" w:cs="Times New Roman"/>
          <w:caps w:val="0"/>
          <w:smallCaps w:val="0"/>
          <w:snapToGrid/>
          <w:color w:val="auto"/>
          <w:spacing w:val="0"/>
          <w:w w:val="100"/>
          <w:kern w:val="2"/>
          <w:position w:val="0"/>
          <w:sz w:val="24"/>
          <w:szCs w:val="20"/>
          <w:lang w:val="en-US" w:bidi="ar-SA"/>
        </w:rPr>
        <w:t>《声环境质量标准》（GB3096-2008）</w:t>
      </w:r>
      <w:r>
        <w:rPr>
          <w:rFonts w:hint="eastAsia" w:ascii="宋体" w:hAnsi="宋体" w:eastAsia="宋体" w:cs="宋体"/>
          <w:lang w:val="en-US" w:eastAsia="zh-CN"/>
        </w:rPr>
        <w:t>2</w:t>
      </w:r>
      <w:r>
        <w:rPr>
          <w:rFonts w:hint="eastAsia" w:ascii="宋体" w:hAnsi="宋体" w:eastAsia="宋体" w:cs="宋体"/>
        </w:rPr>
        <w:t xml:space="preserve"> 类标准要求，评价区域内声环境质量良好。</w:t>
      </w:r>
    </w:p>
    <w:p>
      <w:pPr>
        <w:pStyle w:val="20"/>
        <w:numPr>
          <w:ilvl w:val="3"/>
          <w:numId w:val="4"/>
        </w:numPr>
        <w:tabs>
          <w:tab w:val="left" w:pos="1398"/>
        </w:tabs>
        <w:spacing w:before="158" w:after="0" w:line="240" w:lineRule="auto"/>
        <w:ind w:left="1397" w:right="0" w:hanging="781"/>
        <w:jc w:val="left"/>
        <w:rPr>
          <w:rFonts w:hint="eastAsia" w:ascii="宋体" w:hAnsi="宋体" w:eastAsia="宋体" w:cs="宋体"/>
          <w:b/>
          <w:bCs/>
          <w:sz w:val="24"/>
        </w:rPr>
      </w:pPr>
      <w:r>
        <w:rPr>
          <w:rFonts w:hint="eastAsia" w:ascii="宋体" w:hAnsi="宋体" w:eastAsia="宋体" w:cs="宋体"/>
          <w:b/>
          <w:bCs/>
          <w:sz w:val="24"/>
        </w:rPr>
        <w:t>主要环境问题</w:t>
      </w:r>
    </w:p>
    <w:p>
      <w:pPr>
        <w:spacing w:line="360" w:lineRule="auto"/>
        <w:ind w:firstLine="480" w:firstLineChars="200"/>
        <w:rPr>
          <w:rFonts w:hint="default" w:ascii="Times New Roman" w:hAnsi="Times New Roman" w:eastAsia="宋体" w:cs="Times New Roman"/>
          <w:caps w:val="0"/>
          <w:smallCaps w:val="0"/>
          <w:snapToGrid/>
          <w:spacing w:val="0"/>
          <w:w w:val="100"/>
          <w:kern w:val="2"/>
          <w:position w:val="0"/>
          <w:sz w:val="24"/>
          <w:szCs w:val="22"/>
          <w:lang w:val="en-US" w:eastAsia="zh-CN"/>
        </w:rPr>
      </w:pPr>
      <w:r>
        <w:rPr>
          <w:rFonts w:hint="default" w:ascii="Times New Roman" w:hAnsi="Times New Roman" w:eastAsia="宋体" w:cs="Times New Roman"/>
          <w:caps w:val="0"/>
          <w:smallCaps w:val="0"/>
          <w:snapToGrid/>
          <w:spacing w:val="0"/>
          <w:w w:val="100"/>
          <w:kern w:val="2"/>
          <w:position w:val="0"/>
          <w:sz w:val="24"/>
          <w:szCs w:val="22"/>
          <w:lang w:val="en-US" w:eastAsia="zh-CN"/>
        </w:rPr>
        <w:t>水电站运行期间可能产生的“三废”污染，主要是电站生产区运行管理及生产人员产生的生活污水、生活垃圾和发电设备运行中产生的机械噪声、拦污栅栏、发电机</w:t>
      </w:r>
      <w:r>
        <w:rPr>
          <w:rFonts w:hint="eastAsia" w:ascii="Times New Roman" w:hAnsi="Times New Roman" w:eastAsia="宋体" w:cs="Times New Roman"/>
          <w:caps w:val="0"/>
          <w:smallCaps w:val="0"/>
          <w:snapToGrid/>
          <w:spacing w:val="0"/>
          <w:w w:val="100"/>
          <w:kern w:val="2"/>
          <w:position w:val="0"/>
          <w:sz w:val="24"/>
          <w:szCs w:val="22"/>
          <w:lang w:val="en-US" w:eastAsia="zh-CN"/>
        </w:rPr>
        <w:t>检修</w:t>
      </w:r>
      <w:r>
        <w:rPr>
          <w:rFonts w:hint="default" w:ascii="Times New Roman" w:hAnsi="Times New Roman" w:eastAsia="宋体" w:cs="Times New Roman"/>
          <w:caps w:val="0"/>
          <w:smallCaps w:val="0"/>
          <w:snapToGrid/>
          <w:spacing w:val="0"/>
          <w:w w:val="100"/>
          <w:kern w:val="2"/>
          <w:position w:val="0"/>
          <w:sz w:val="24"/>
          <w:szCs w:val="22"/>
          <w:lang w:val="en-US" w:eastAsia="zh-CN"/>
        </w:rPr>
        <w:t>产生的废</w:t>
      </w:r>
      <w:r>
        <w:rPr>
          <w:rFonts w:hint="eastAsia" w:ascii="Times New Roman" w:hAnsi="Times New Roman" w:eastAsia="宋体" w:cs="Times New Roman"/>
          <w:caps w:val="0"/>
          <w:smallCaps w:val="0"/>
          <w:snapToGrid/>
          <w:spacing w:val="0"/>
          <w:w w:val="100"/>
          <w:kern w:val="2"/>
          <w:position w:val="0"/>
          <w:sz w:val="24"/>
          <w:szCs w:val="22"/>
          <w:lang w:val="en-US" w:eastAsia="zh-CN"/>
        </w:rPr>
        <w:t>机油等</w:t>
      </w:r>
      <w:r>
        <w:rPr>
          <w:rFonts w:hint="default" w:ascii="Times New Roman" w:hAnsi="Times New Roman" w:eastAsia="宋体" w:cs="Times New Roman"/>
          <w:caps w:val="0"/>
          <w:smallCaps w:val="0"/>
          <w:snapToGrid/>
          <w:spacing w:val="0"/>
          <w:w w:val="100"/>
          <w:kern w:val="2"/>
          <w:position w:val="0"/>
          <w:sz w:val="24"/>
          <w:szCs w:val="22"/>
          <w:lang w:val="en-US" w:eastAsia="zh-CN"/>
        </w:rPr>
        <w:t>。这些“三废”影响经相应的环保措施控制后，对周边环境影响不明显。</w:t>
      </w:r>
    </w:p>
    <w:p>
      <w:pPr>
        <w:spacing w:line="360" w:lineRule="auto"/>
        <w:ind w:firstLine="480" w:firstLineChars="200"/>
        <w:rPr>
          <w:rFonts w:hint="default" w:ascii="Times New Roman" w:hAnsi="Times New Roman" w:eastAsia="宋体" w:cs="Times New Roman"/>
          <w:caps w:val="0"/>
          <w:smallCaps w:val="0"/>
          <w:snapToGrid/>
          <w:spacing w:val="0"/>
          <w:w w:val="100"/>
          <w:kern w:val="2"/>
          <w:position w:val="0"/>
          <w:sz w:val="24"/>
          <w:szCs w:val="22"/>
          <w:lang w:val="en-US" w:eastAsia="zh-CN"/>
        </w:rPr>
      </w:pPr>
      <w:r>
        <w:rPr>
          <w:rFonts w:hint="default" w:ascii="Times New Roman" w:hAnsi="Times New Roman" w:eastAsia="宋体" w:cs="Times New Roman"/>
          <w:caps w:val="0"/>
          <w:smallCaps w:val="0"/>
          <w:snapToGrid/>
          <w:spacing w:val="0"/>
          <w:w w:val="100"/>
          <w:kern w:val="2"/>
          <w:position w:val="0"/>
          <w:sz w:val="24"/>
          <w:szCs w:val="22"/>
          <w:lang w:val="en-US" w:eastAsia="zh-CN"/>
        </w:rPr>
        <w:t>另外，水电站的建成和运营会对所在流域的水文情势、水温、库区和下泄水质、泥沙淤积、局部气候、环境地质、水生生态、土地资源等多方面带来一定的影响。由于本项目仅是小规模的河流型水电站，上述相关影响，在采取合理的环保措施下，可控制到自然环境可接受的水平，不会对自然环境产生巨大的负面影响。</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ascii="Times New Roman" w:hAnsi="Times New Roman" w:cs="Times New Roman"/>
          <w:color w:val="auto"/>
          <w:spacing w:val="0"/>
          <w:w w:val="100"/>
          <w:kern w:val="0"/>
          <w:position w:val="0"/>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Times New Roman" w:hAnsi="Times New Roman" w:cs="Times New Roman"/>
          <w:color w:val="auto"/>
          <w:spacing w:val="0"/>
          <w:w w:val="100"/>
          <w:kern w:val="0"/>
          <w:position w:val="0"/>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rPr>
        <w:sectPr>
          <w:footerReference r:id="rId6" w:type="default"/>
          <w:pgSz w:w="11910" w:h="16840"/>
          <w:pgMar w:top="1360" w:right="560" w:bottom="1180" w:left="1660" w:header="0" w:footer="991" w:gutter="0"/>
          <w:pgBorders>
            <w:top w:val="none" w:sz="0" w:space="0"/>
            <w:left w:val="none" w:sz="0" w:space="0"/>
            <w:bottom w:val="none" w:sz="0" w:space="0"/>
            <w:right w:val="none" w:sz="0" w:space="0"/>
          </w:pgBorders>
          <w:pgNumType w:fmt="decimal"/>
        </w:sectPr>
      </w:pPr>
    </w:p>
    <w:p>
      <w:pPr>
        <w:pStyle w:val="20"/>
        <w:numPr>
          <w:ilvl w:val="2"/>
          <w:numId w:val="4"/>
        </w:numPr>
        <w:tabs>
          <w:tab w:val="left" w:pos="836"/>
        </w:tabs>
        <w:spacing w:before="120" w:after="0" w:line="240" w:lineRule="auto"/>
        <w:ind w:left="836" w:right="0" w:hanging="699"/>
        <w:jc w:val="left"/>
        <w:rPr>
          <w:rFonts w:hint="eastAsia" w:ascii="宋体" w:hAnsi="宋体" w:eastAsia="宋体" w:cs="宋体"/>
          <w:b/>
          <w:sz w:val="28"/>
        </w:rPr>
      </w:pPr>
      <w:bookmarkStart w:id="81" w:name="3.1.3环境影响预测评价"/>
      <w:bookmarkEnd w:id="81"/>
      <w:bookmarkStart w:id="82" w:name="3.1.3环境影响预测评价"/>
      <w:bookmarkEnd w:id="82"/>
      <w:r>
        <w:rPr>
          <w:rFonts w:hint="eastAsia" w:ascii="宋体" w:hAnsi="宋体" w:eastAsia="宋体" w:cs="宋体"/>
          <w:b/>
          <w:sz w:val="28"/>
        </w:rPr>
        <w:t>环境影响预测评价</w:t>
      </w:r>
    </w:p>
    <w:p>
      <w:pPr>
        <w:pStyle w:val="7"/>
        <w:spacing w:before="10"/>
        <w:rPr>
          <w:b/>
          <w:sz w:val="23"/>
        </w:rPr>
      </w:pPr>
    </w:p>
    <w:p>
      <w:pPr>
        <w:pStyle w:val="20"/>
        <w:numPr>
          <w:ilvl w:val="3"/>
          <w:numId w:val="4"/>
        </w:numPr>
        <w:tabs>
          <w:tab w:val="left" w:pos="1338"/>
        </w:tabs>
        <w:spacing w:before="0" w:after="0" w:line="240" w:lineRule="auto"/>
        <w:ind w:left="1337" w:right="0" w:hanging="721"/>
        <w:jc w:val="both"/>
        <w:rPr>
          <w:rFonts w:hint="eastAsia" w:ascii="宋体" w:hAnsi="宋体" w:eastAsia="宋体" w:cs="宋体"/>
          <w:b/>
          <w:bCs/>
          <w:sz w:val="24"/>
        </w:rPr>
      </w:pPr>
      <w:r>
        <w:rPr>
          <w:rFonts w:hint="eastAsia" w:ascii="宋体" w:hAnsi="宋体" w:eastAsia="宋体" w:cs="宋体"/>
          <w:b/>
          <w:bCs/>
          <w:sz w:val="24"/>
        </w:rPr>
        <w:t>水库淹没对环境的影响</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eastAsia" w:ascii="宋体" w:hAnsi="宋体" w:eastAsia="宋体" w:cs="宋体"/>
        </w:rPr>
      </w:pPr>
      <w:r>
        <w:rPr>
          <w:rFonts w:hint="eastAsia" w:ascii="宋体" w:hAnsi="宋体" w:eastAsia="宋体" w:cs="宋体"/>
          <w:lang w:val="en-US" w:eastAsia="zh-CN"/>
        </w:rPr>
        <w:t>坝前</w:t>
      </w:r>
      <w:r>
        <w:rPr>
          <w:rFonts w:hint="eastAsia" w:ascii="宋体" w:hAnsi="宋体" w:eastAsia="宋体" w:cs="宋体"/>
        </w:rPr>
        <w:t>库</w:t>
      </w:r>
      <w:r>
        <w:rPr>
          <w:rFonts w:hint="eastAsia" w:ascii="宋体" w:hAnsi="宋体" w:eastAsia="宋体" w:cs="宋体"/>
          <w:lang w:val="en-US" w:eastAsia="zh-CN"/>
        </w:rPr>
        <w:t>区</w:t>
      </w:r>
      <w:r>
        <w:rPr>
          <w:rFonts w:hint="eastAsia" w:ascii="宋体" w:hAnsi="宋体" w:eastAsia="宋体" w:cs="宋体"/>
        </w:rPr>
        <w:t>蓄水前，需对库</w:t>
      </w:r>
      <w:r>
        <w:rPr>
          <w:rFonts w:hint="eastAsia" w:ascii="宋体" w:hAnsi="宋体" w:eastAsia="宋体" w:cs="宋体"/>
          <w:lang w:val="en-US" w:eastAsia="zh-CN"/>
        </w:rPr>
        <w:t>区</w:t>
      </w:r>
      <w:r>
        <w:rPr>
          <w:rFonts w:hint="eastAsia" w:ascii="宋体" w:hAnsi="宋体" w:eastAsia="宋体" w:cs="宋体"/>
        </w:rPr>
        <w:t>淹没区内尤其是河岸内侧的所有植被进行清理，处于淹没线以下的库区的植被将遭到破坏。水库蓄水后将直接使该区域植被生境淹没，生物个体失去生长环境，影响程度为不可逆。由于受人为干扰的影响，淹没范围内生物组分的多样性弱，抗逆性差，生产力不高，受淹没影响的植被在评价区不管是库区上游和下游、还是淹没线以上区域均可见到相似的群落。因此，不存在因局部植被淹没而导致种群消失或灭迹，更不会影响区域生态系统的完整性。另外，在对库区现场调查中，未发现国家重点保护植物的分布，因此，库</w:t>
      </w:r>
      <w:r>
        <w:rPr>
          <w:rFonts w:hint="eastAsia" w:ascii="宋体" w:hAnsi="宋体" w:eastAsia="宋体" w:cs="宋体"/>
          <w:lang w:val="en-US" w:eastAsia="zh-CN"/>
        </w:rPr>
        <w:t>区</w:t>
      </w:r>
      <w:r>
        <w:rPr>
          <w:rFonts w:hint="eastAsia" w:ascii="宋体" w:hAnsi="宋体" w:eastAsia="宋体" w:cs="宋体"/>
        </w:rPr>
        <w:t>蓄水不会对国家重点保护植物产生影响。</w:t>
      </w:r>
    </w:p>
    <w:p>
      <w:pPr>
        <w:pStyle w:val="20"/>
        <w:numPr>
          <w:ilvl w:val="3"/>
          <w:numId w:val="4"/>
        </w:numPr>
        <w:tabs>
          <w:tab w:val="left" w:pos="1338"/>
        </w:tabs>
        <w:spacing w:before="0" w:after="0" w:line="306" w:lineRule="exact"/>
        <w:ind w:left="1337" w:right="0" w:hanging="721"/>
        <w:jc w:val="both"/>
        <w:rPr>
          <w:rFonts w:hint="eastAsia" w:ascii="宋体" w:hAnsi="宋体" w:eastAsia="宋体" w:cs="宋体"/>
          <w:b/>
          <w:bCs/>
          <w:sz w:val="24"/>
        </w:rPr>
      </w:pPr>
      <w:r>
        <w:rPr>
          <w:rFonts w:hint="eastAsia" w:ascii="宋体" w:hAnsi="宋体" w:eastAsia="宋体" w:cs="宋体"/>
          <w:b/>
          <w:bCs/>
          <w:sz w:val="24"/>
        </w:rPr>
        <w:t>对水文情势的影响</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w w:val="100"/>
          <w:kern w:val="0"/>
          <w:position w:val="0"/>
          <w:szCs w:val="20"/>
          <w:lang w:val="en-US" w:eastAsia="zh-CN" w:bidi="ar-SA"/>
        </w:rPr>
      </w:pPr>
      <w:r>
        <w:rPr>
          <w:rFonts w:hint="eastAsia" w:ascii="宋体" w:hAnsi="宋体" w:eastAsia="宋体" w:cs="宋体"/>
          <w:color w:val="auto"/>
          <w:spacing w:val="0"/>
          <w:w w:val="100"/>
          <w:kern w:val="0"/>
          <w:position w:val="0"/>
          <w:szCs w:val="20"/>
          <w:lang w:val="en-US" w:eastAsia="zh-CN" w:bidi="ar-SA"/>
        </w:rPr>
        <w:t>按照本项目现状的正常蓄水位情况，回水线长度为50m，上游径流仅在回水线长度范围向沿河两侧蔓延，而后再上游则基本回归原水文情势情况，对整体河流上游水文不会产生较大范围的影响。</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w w:val="100"/>
          <w:kern w:val="0"/>
          <w:position w:val="0"/>
          <w:szCs w:val="20"/>
          <w:lang w:val="en-US" w:eastAsia="zh-CN" w:bidi="ar-SA"/>
        </w:rPr>
      </w:pPr>
      <w:r>
        <w:rPr>
          <w:rFonts w:hint="eastAsia" w:ascii="宋体" w:hAnsi="宋体" w:eastAsia="宋体" w:cs="宋体"/>
          <w:color w:val="auto"/>
          <w:spacing w:val="0"/>
          <w:w w:val="100"/>
          <w:kern w:val="0"/>
          <w:position w:val="0"/>
          <w:szCs w:val="20"/>
          <w:lang w:val="en-US" w:eastAsia="zh-CN" w:bidi="ar-SA"/>
        </w:rPr>
        <w:t>为了降低下游河段的环境影响，本项目考虑了生态基流控制，保证下游河段有一定的生态基流量，不会对下游河段的生态环境造成巨大的影响；当水流量小于生态基流用水时，电站原则上不蓄水发电，通过冲砂闸向下游放水，这样的话，下游河段水文情势受影响不大。</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w w:val="100"/>
          <w:kern w:val="0"/>
          <w:position w:val="0"/>
          <w:szCs w:val="20"/>
          <w:lang w:val="en-US" w:eastAsia="zh-CN" w:bidi="ar-SA"/>
        </w:rPr>
      </w:pPr>
      <w:r>
        <w:rPr>
          <w:rFonts w:hint="eastAsia" w:ascii="宋体" w:hAnsi="宋体" w:eastAsia="宋体" w:cs="宋体"/>
          <w:color w:val="auto"/>
          <w:spacing w:val="0"/>
          <w:w w:val="100"/>
          <w:kern w:val="0"/>
          <w:position w:val="0"/>
          <w:szCs w:val="20"/>
          <w:lang w:val="en-US" w:eastAsia="zh-CN" w:bidi="ar-SA"/>
        </w:rPr>
        <w:t>在工程的运行期，由于库区河段总体水位受到一定的抬升，其周边受河流水量渗透补给后的地下水水文情势也会发生一定的变化，造成库岸周边地下水位相应抬高，地下水位抬高产生的影响主要表现在对土地的浸没影响方面。</w:t>
      </w:r>
    </w:p>
    <w:p>
      <w:pPr>
        <w:pStyle w:val="20"/>
        <w:numPr>
          <w:ilvl w:val="3"/>
          <w:numId w:val="4"/>
        </w:numPr>
        <w:tabs>
          <w:tab w:val="left" w:pos="1338"/>
        </w:tabs>
        <w:spacing w:before="0" w:after="0" w:line="306" w:lineRule="exact"/>
        <w:ind w:left="1337" w:right="0" w:hanging="721"/>
        <w:jc w:val="both"/>
        <w:rPr>
          <w:rFonts w:hint="eastAsia" w:ascii="宋体" w:hAnsi="宋体" w:eastAsia="宋体" w:cs="宋体"/>
          <w:b/>
          <w:bCs/>
          <w:sz w:val="24"/>
        </w:rPr>
      </w:pPr>
      <w:r>
        <w:rPr>
          <w:rFonts w:hint="eastAsia" w:ascii="宋体" w:hAnsi="宋体" w:eastAsia="宋体" w:cs="宋体"/>
          <w:b/>
          <w:bCs/>
          <w:sz w:val="24"/>
        </w:rPr>
        <w:t>对泥沙情势的影响</w:t>
      </w:r>
    </w:p>
    <w:p>
      <w:pPr>
        <w:snapToGrid w:val="0"/>
        <w:spacing w:line="360" w:lineRule="auto"/>
        <w:ind w:firstLine="480" w:firstLineChars="200"/>
        <w:jc w:val="left"/>
        <w:rPr>
          <w:rFonts w:hint="default" w:ascii="Times New Roman" w:hAnsi="Times New Roman" w:eastAsia="宋体" w:cs="Times New Roman"/>
          <w:caps w:val="0"/>
          <w:smallCaps w:val="0"/>
          <w:snapToGrid/>
          <w:color w:val="auto"/>
          <w:spacing w:val="0"/>
          <w:w w:val="100"/>
          <w:kern w:val="2"/>
          <w:position w:val="0"/>
          <w:sz w:val="24"/>
          <w:lang w:val="en-US" w:eastAsia="zh-CN"/>
        </w:rPr>
      </w:pPr>
      <w:r>
        <w:rPr>
          <w:rFonts w:hint="default" w:ascii="Times New Roman" w:hAnsi="Times New Roman" w:eastAsia="宋体" w:cs="Times New Roman"/>
          <w:caps w:val="0"/>
          <w:smallCaps w:val="0"/>
          <w:snapToGrid/>
          <w:color w:val="auto"/>
          <w:spacing w:val="0"/>
          <w:w w:val="100"/>
          <w:kern w:val="2"/>
          <w:position w:val="0"/>
          <w:sz w:val="24"/>
          <w:lang w:val="en-US" w:eastAsia="zh-CN"/>
        </w:rPr>
        <w:t>本工程所在流域为深山区，坝址以上流域内，山地植被良好，输沙量不大，属少沙河流。坝址以上流域河床只有少量的漂浮孤石，外加少量砾石，其粒径均在3mm以下，人类活动对水土流失影响较小。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电站建成后，坝上形成回水区，导致水流变缓，会有一定程度的泥沙淤积，尤其是大坝前的推移质泥沙，粒径较大，不易排出库外。由于水流条件变缓，在大坝前会有一定程度的淤泥出现。人形水电站坝址以上流域植被较好，建坝后泥沙一般淤积在库尾，泄洪时泥沙往前推移，由于泥沙中含有粉粒和粘粒，为防止长时间不冲沙使泥沙板结，一般一年至少应冲沙一次。人形坝址建设有冲沙闸门，因此泄洪时可起到冲沙作用，泄洪时，泥沙也随之排出，故大坝受泥沙淤积影响很小，对下游河段冲淤情况不会发生较大的改变。本项目已结合植树造林，扩大植被覆盖面积，减少水土流失，以达到降低推移质来量，减少河段泥沙淤积的目的。</w:t>
      </w:r>
    </w:p>
    <w:p>
      <w:pPr>
        <w:pStyle w:val="20"/>
        <w:numPr>
          <w:ilvl w:val="3"/>
          <w:numId w:val="4"/>
        </w:numPr>
        <w:tabs>
          <w:tab w:val="left" w:pos="1338"/>
        </w:tabs>
        <w:spacing w:before="0" w:after="0" w:line="305" w:lineRule="exact"/>
        <w:ind w:left="1337" w:right="0" w:hanging="721"/>
        <w:jc w:val="left"/>
        <w:rPr>
          <w:rFonts w:hint="eastAsia" w:ascii="宋体" w:hAnsi="宋体" w:eastAsia="宋体" w:cs="宋体"/>
          <w:b/>
          <w:bCs/>
          <w:sz w:val="24"/>
        </w:rPr>
      </w:pPr>
      <w:r>
        <w:rPr>
          <w:rFonts w:hint="eastAsia" w:ascii="宋体" w:hAnsi="宋体" w:eastAsia="宋体" w:cs="宋体"/>
          <w:b/>
          <w:bCs/>
          <w:sz w:val="24"/>
        </w:rPr>
        <w:t>对水质、水温的影响</w:t>
      </w:r>
    </w:p>
    <w:p>
      <w:pPr>
        <w:pageBreakBefore w:val="0"/>
        <w:kinsoku/>
        <w:wordWrap/>
        <w:overflowPunct/>
        <w:topLinePunct w:val="0"/>
        <w:autoSpaceDE/>
        <w:autoSpaceDN/>
        <w:bidi w:val="0"/>
        <w:adjustRightInd/>
        <w:snapToGrid/>
        <w:spacing w:line="360" w:lineRule="auto"/>
        <w:ind w:firstLine="480" w:firstLineChars="200"/>
        <w:jc w:val="both"/>
        <w:rPr>
          <w:rFonts w:hint="eastAsia" w:ascii="Times New Roman" w:eastAsia="宋体" w:cs="Times New Roman"/>
          <w:caps w:val="0"/>
          <w:smallCaps w:val="0"/>
          <w:snapToGrid/>
          <w:color w:val="auto"/>
          <w:spacing w:val="0"/>
          <w:w w:val="100"/>
          <w:kern w:val="2"/>
          <w:position w:val="0"/>
          <w:sz w:val="24"/>
          <w:szCs w:val="24"/>
          <w:lang w:val="en-US" w:eastAsia="zh-CN" w:bidi="ar"/>
        </w:rPr>
      </w:pPr>
      <w:r>
        <w:rPr>
          <w:rFonts w:hint="eastAsia" w:ascii="Times New Roman" w:hAnsi="Times New Roman" w:eastAsia="宋体" w:cs="Times New Roman"/>
          <w:caps w:val="0"/>
          <w:smallCaps w:val="0"/>
          <w:snapToGrid/>
          <w:color w:val="auto"/>
          <w:spacing w:val="0"/>
          <w:w w:val="100"/>
          <w:kern w:val="2"/>
          <w:position w:val="0"/>
          <w:sz w:val="24"/>
          <w:szCs w:val="24"/>
          <w:lang w:val="en-US" w:eastAsia="zh-CN" w:bidi="ar-SA"/>
        </w:rPr>
        <w:t>本项目生活污水量较小，经化粪池处理后，可用作农田浇灌，不排入周边水体，避免对周边水体产生直接影响。</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lang w:val="en-US" w:eastAsia="zh-CN"/>
        </w:rPr>
        <w:t>本项目水库水温为混合型,由此推断，水库不会存在水温分层现象，建库后库区河水的水温与天然河道水温相差不大，水库下泄水温与天然河道水温基本一致，对下游用水影响甚微</w:t>
      </w:r>
      <w:r>
        <w:rPr>
          <w:rFonts w:hint="eastAsia" w:ascii="宋体" w:hAnsi="宋体" w:eastAsia="宋体" w:cs="宋体"/>
          <w:color w:val="auto"/>
          <w:spacing w:val="0"/>
          <w:w w:val="100"/>
          <w:kern w:val="0"/>
          <w:position w:val="0"/>
          <w:sz w:val="24"/>
          <w:szCs w:val="24"/>
        </w:rPr>
        <w:t>。</w:t>
      </w:r>
    </w:p>
    <w:p>
      <w:pPr>
        <w:pStyle w:val="20"/>
        <w:numPr>
          <w:ilvl w:val="3"/>
          <w:numId w:val="4"/>
        </w:numPr>
        <w:tabs>
          <w:tab w:val="left" w:pos="1338"/>
        </w:tabs>
        <w:spacing w:before="0" w:after="0" w:line="304" w:lineRule="exact"/>
        <w:ind w:left="1337" w:right="0" w:hanging="721"/>
        <w:jc w:val="both"/>
        <w:rPr>
          <w:rFonts w:hint="eastAsia" w:ascii="宋体" w:hAnsi="宋体" w:eastAsia="宋体" w:cs="宋体"/>
          <w:b/>
          <w:bCs/>
          <w:sz w:val="24"/>
        </w:rPr>
      </w:pPr>
      <w:r>
        <w:rPr>
          <w:rFonts w:hint="eastAsia" w:ascii="宋体" w:hAnsi="宋体" w:eastAsia="宋体" w:cs="宋体"/>
          <w:b/>
          <w:bCs/>
          <w:sz w:val="24"/>
        </w:rPr>
        <w:t>对水生生物的影响</w:t>
      </w:r>
    </w:p>
    <w:p>
      <w:pPr>
        <w:widowControl/>
        <w:autoSpaceDE/>
        <w:autoSpaceDN/>
        <w:adjustRightInd w:val="0"/>
        <w:snapToGrid w:val="0"/>
        <w:spacing w:line="360" w:lineRule="auto"/>
        <w:ind w:firstLine="480" w:firstLineChars="200"/>
        <w:jc w:val="both"/>
        <w:rPr>
          <w:rFonts w:hint="default" w:ascii="Times New Roman" w:hAnsi="Times New Roman" w:eastAsia="宋体" w:cs="Times New Roman"/>
          <w:caps w:val="0"/>
          <w:smallCaps w:val="0"/>
          <w:snapToGrid/>
          <w:color w:val="auto"/>
          <w:spacing w:val="0"/>
          <w:w w:val="100"/>
          <w:kern w:val="2"/>
          <w:position w:val="0"/>
          <w:sz w:val="24"/>
          <w:szCs w:val="24"/>
          <w:lang w:val="en-US" w:bidi="ar-SA"/>
        </w:rPr>
      </w:pPr>
      <w:r>
        <w:rPr>
          <w:rFonts w:hint="default" w:ascii="Times New Roman" w:hAnsi="Times New Roman" w:eastAsia="宋体" w:cs="Times New Roman"/>
          <w:caps w:val="0"/>
          <w:smallCaps w:val="0"/>
          <w:snapToGrid/>
          <w:color w:val="auto"/>
          <w:spacing w:val="0"/>
          <w:w w:val="100"/>
          <w:kern w:val="2"/>
          <w:position w:val="0"/>
          <w:sz w:val="24"/>
          <w:szCs w:val="24"/>
          <w:lang w:val="en-US" w:bidi="ar-SA"/>
        </w:rPr>
        <w:t>由于大坝对河流的阻隔作用以及水文情势的改变，将对河流中水生生物特别是鱼类繁殖产生明显的影响。</w:t>
      </w:r>
    </w:p>
    <w:p>
      <w:pPr>
        <w:pStyle w:val="7"/>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lang w:val="en-US" w:bidi="ar-SA"/>
        </w:rPr>
      </w:pPr>
      <w:r>
        <w:rPr>
          <w:rFonts w:hint="default" w:ascii="Times New Roman" w:hAnsi="Times New Roman" w:eastAsia="宋体" w:cs="Times New Roman"/>
          <w:caps w:val="0"/>
          <w:smallCaps w:val="0"/>
          <w:snapToGrid/>
          <w:color w:val="auto"/>
          <w:spacing w:val="0"/>
          <w:w w:val="100"/>
          <w:kern w:val="2"/>
          <w:position w:val="0"/>
          <w:sz w:val="24"/>
          <w:szCs w:val="24"/>
          <w:lang w:val="en-US" w:bidi="ar-SA"/>
        </w:rPr>
        <w:t>由于库区来水为天然径流，营养物质、浮游植物外源性输入有限，水体营养水平较低，浮游植物现存量总体仍会较低。水库形成后，由于浮游植物的优势品种将由流水种类逐渐向喜静水种类变化，浮游动物的种类组成也将随之发生变化，原河流中种类和数量较少的枝角类和桡足类在水库中出现了增加，轮虫的种类和数量也呈不断增长趋势。本项目形成的水库调节性能差，对河道水位抬升较小，底层溶解氧变化较小，底栖动物演替变化将不会很明显</w:t>
      </w:r>
      <w:r>
        <w:rPr>
          <w:rFonts w:hint="eastAsia" w:ascii="宋体" w:hAnsi="宋体" w:eastAsia="宋体" w:cs="宋体"/>
          <w:color w:val="auto"/>
          <w:spacing w:val="0"/>
          <w:w w:val="100"/>
          <w:kern w:val="0"/>
          <w:position w:val="0"/>
          <w:lang w:val="en-US" w:bidi="ar-SA"/>
        </w:rPr>
        <w:t>。</w:t>
      </w:r>
    </w:p>
    <w:p>
      <w:pPr>
        <w:pStyle w:val="20"/>
        <w:numPr>
          <w:ilvl w:val="3"/>
          <w:numId w:val="4"/>
        </w:numPr>
        <w:tabs>
          <w:tab w:val="left" w:pos="1338"/>
        </w:tabs>
        <w:spacing w:before="0" w:after="0" w:line="303" w:lineRule="exact"/>
        <w:ind w:left="1337" w:right="0" w:hanging="721"/>
        <w:jc w:val="both"/>
        <w:rPr>
          <w:rFonts w:hint="eastAsia" w:ascii="宋体" w:hAnsi="宋体" w:eastAsia="宋体" w:cs="宋体"/>
          <w:b/>
          <w:bCs/>
          <w:sz w:val="24"/>
        </w:rPr>
      </w:pPr>
      <w:r>
        <w:rPr>
          <w:rFonts w:hint="eastAsia" w:ascii="宋体" w:hAnsi="宋体" w:eastAsia="宋体" w:cs="宋体"/>
          <w:b/>
          <w:bCs/>
          <w:sz w:val="24"/>
        </w:rPr>
        <w:t>对陆生生物的影响</w:t>
      </w:r>
    </w:p>
    <w:p>
      <w:pPr>
        <w:pStyle w:val="7"/>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lang w:val="en-US" w:bidi="ar-SA"/>
        </w:rPr>
      </w:pPr>
      <w:r>
        <w:rPr>
          <w:rFonts w:hint="eastAsia" w:ascii="宋体" w:hAnsi="宋体" w:eastAsia="宋体" w:cs="宋体"/>
          <w:color w:val="auto"/>
          <w:spacing w:val="0"/>
          <w:w w:val="100"/>
          <w:kern w:val="0"/>
          <w:position w:val="0"/>
          <w:lang w:val="en-US" w:bidi="ar-SA"/>
        </w:rPr>
        <w:t>本项目施工期已经结束，对两栖类动物、爬行类动物的影响已消除。水电站建库蓄水后，库周水文、气候、土壤 等环境条件的改变有利于库周水生植被的生长，对于喜好水质良好、水草较多、水体清澈环境并依赖水体完成繁殖过程的两栖类动物营造较好的生存环境，有利于它们的繁殖和生长。</w:t>
      </w:r>
    </w:p>
    <w:p>
      <w:pPr>
        <w:pStyle w:val="7"/>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lang w:val="en-US" w:bidi="ar-SA"/>
        </w:rPr>
      </w:pPr>
      <w:r>
        <w:rPr>
          <w:rFonts w:hint="eastAsia" w:ascii="宋体" w:hAnsi="宋体" w:eastAsia="宋体" w:cs="宋体"/>
          <w:color w:val="auto"/>
          <w:spacing w:val="0"/>
          <w:w w:val="100"/>
          <w:kern w:val="0"/>
          <w:position w:val="0"/>
          <w:lang w:val="en-US" w:bidi="ar-SA"/>
        </w:rPr>
        <w:t>本项目水电站水库蓄水运行后，库周及附近地区水文和气候条件的变化有利于陆生植被的恢复，对鸟类的栖息生境形成正面影响，对库周附近地区鸟类的种类、数量和分布有利。水电站水库蓄水运行，一部分农田、沟渠、草滩、灌草丛被淹没，同时，水库形成后，气候和生态环境的变化有利于库岸植被的生长，在人为干扰因素减少的情况下有利于库植被的恢复，适应草滩、水沟、森林和灌草丛等栖息环境以及以上述环境为主要栖息生境和食物来源的动物类群将得到恢复。</w:t>
      </w:r>
    </w:p>
    <w:p>
      <w:pPr>
        <w:pStyle w:val="20"/>
        <w:numPr>
          <w:ilvl w:val="3"/>
          <w:numId w:val="4"/>
        </w:numPr>
        <w:tabs>
          <w:tab w:val="left" w:pos="1338"/>
        </w:tabs>
        <w:spacing w:before="0" w:after="0" w:line="304" w:lineRule="exact"/>
        <w:ind w:left="1337" w:right="0" w:hanging="721"/>
        <w:jc w:val="left"/>
        <w:rPr>
          <w:rFonts w:hint="eastAsia" w:ascii="宋体" w:hAnsi="宋体" w:eastAsia="宋体" w:cs="宋体"/>
          <w:b/>
          <w:bCs/>
          <w:sz w:val="24"/>
        </w:rPr>
      </w:pPr>
      <w:r>
        <w:rPr>
          <w:rFonts w:hint="eastAsia" w:ascii="宋体" w:hAnsi="宋体" w:eastAsia="宋体" w:cs="宋体"/>
          <w:b/>
          <w:bCs/>
          <w:sz w:val="24"/>
        </w:rPr>
        <w:t>对局地气候的影响</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水库对局地气候的影响取决于水库面积的大小、库区地形地貌和所属气候区等。水库运行后，水体增大，使水面接受的太阳辐射增加，有利于水体增温，从而使库区气温日较差和年较差变小，气温趋于较平稳。同时，水面增大、水位升高，淹没区内下垫面由陆地变为水域，急流型河道变成平稳的水面，风区长度加大，将使风速有所增加。</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本电站正常蓄水时，库容较小。本工程建成运营后没有对局地气候产生显著影响，气温、降水和风速的微小变化对库周的工农业生产和人民生活也没有产生明显影响。</w:t>
      </w:r>
    </w:p>
    <w:p>
      <w:pPr>
        <w:pStyle w:val="20"/>
        <w:numPr>
          <w:ilvl w:val="3"/>
          <w:numId w:val="4"/>
        </w:numPr>
        <w:tabs>
          <w:tab w:val="left" w:pos="1398"/>
        </w:tabs>
        <w:spacing w:before="0" w:after="0" w:line="304" w:lineRule="exact"/>
        <w:ind w:left="1397" w:right="0" w:hanging="781"/>
        <w:jc w:val="both"/>
        <w:rPr>
          <w:rFonts w:hint="eastAsia" w:ascii="宋体" w:hAnsi="宋体" w:eastAsia="宋体" w:cs="宋体"/>
          <w:b/>
          <w:bCs/>
          <w:sz w:val="24"/>
        </w:rPr>
      </w:pPr>
      <w:r>
        <w:rPr>
          <w:rFonts w:hint="eastAsia" w:ascii="宋体" w:hAnsi="宋体" w:eastAsia="宋体" w:cs="宋体"/>
          <w:b/>
          <w:bCs/>
          <w:sz w:val="24"/>
        </w:rPr>
        <w:t>景观生态体系稳定性预测评价</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both"/>
        <w:textAlignment w:val="auto"/>
        <w:rPr>
          <w:rFonts w:hint="eastAsia" w:ascii="宋体" w:hAnsi="宋体" w:eastAsia="宋体" w:cs="宋体"/>
        </w:rPr>
      </w:pPr>
      <w:r>
        <w:rPr>
          <w:rFonts w:hint="eastAsia" w:ascii="宋体" w:hAnsi="宋体" w:eastAsia="宋体" w:cs="宋体"/>
          <w:spacing w:val="-4"/>
          <w:lang w:eastAsia="zh-CN"/>
        </w:rPr>
        <w:t>本</w:t>
      </w:r>
      <w:r>
        <w:rPr>
          <w:rFonts w:hint="eastAsia" w:ascii="宋体" w:hAnsi="宋体" w:eastAsia="宋体" w:cs="宋体"/>
          <w:spacing w:val="-4"/>
        </w:rPr>
        <w:t>项目的实施使区域自然体系的生物量和生产力降低，但仍是</w:t>
      </w:r>
      <w:r>
        <w:rPr>
          <w:rFonts w:hint="eastAsia" w:ascii="宋体" w:hAnsi="宋体" w:eastAsia="宋体" w:cs="宋体"/>
        </w:rPr>
        <w:t>评价区内自然体系可以承受的。工程项目实施和运行后土地利用格局发生了变</w:t>
      </w:r>
      <w:r>
        <w:rPr>
          <w:rFonts w:hint="eastAsia" w:ascii="宋体" w:hAnsi="宋体" w:eastAsia="宋体" w:cs="宋体"/>
          <w:spacing w:val="-12"/>
        </w:rPr>
        <w:t>化，总是来说，变化不显著，表明该项工程的实施和运行对评价区自然体系的质</w:t>
      </w:r>
      <w:r>
        <w:rPr>
          <w:rFonts w:hint="eastAsia" w:ascii="宋体" w:hAnsi="宋体" w:eastAsia="宋体" w:cs="宋体"/>
        </w:rPr>
        <w:t>量没有明显的负面影响。</w:t>
      </w:r>
    </w:p>
    <w:p>
      <w:pPr>
        <w:pStyle w:val="20"/>
        <w:numPr>
          <w:ilvl w:val="3"/>
          <w:numId w:val="4"/>
        </w:numPr>
        <w:tabs>
          <w:tab w:val="left" w:pos="1398"/>
        </w:tabs>
        <w:spacing w:before="0" w:after="0" w:line="305" w:lineRule="exact"/>
        <w:ind w:left="1397" w:right="0" w:hanging="781"/>
        <w:jc w:val="both"/>
        <w:rPr>
          <w:rFonts w:hint="eastAsia" w:ascii="宋体" w:hAnsi="宋体" w:eastAsia="宋体" w:cs="宋体"/>
          <w:b/>
          <w:bCs/>
          <w:sz w:val="24"/>
        </w:rPr>
      </w:pPr>
      <w:r>
        <w:rPr>
          <w:rFonts w:hint="eastAsia" w:ascii="宋体" w:hAnsi="宋体" w:eastAsia="宋体" w:cs="宋体"/>
          <w:b/>
          <w:bCs/>
          <w:sz w:val="24"/>
        </w:rPr>
        <w:t>环境地质影响预测</w:t>
      </w:r>
    </w:p>
    <w:p>
      <w:pPr>
        <w:widowControl/>
        <w:adjustRightInd w:val="0"/>
        <w:snapToGrid w:val="0"/>
        <w:spacing w:line="360" w:lineRule="auto"/>
        <w:ind w:firstLine="480" w:firstLineChars="200"/>
        <w:rPr>
          <w:rFonts w:hint="default" w:asci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eastAsia="宋体" w:cs="Times New Roman"/>
          <w:caps w:val="0"/>
          <w:smallCaps w:val="0"/>
          <w:snapToGrid/>
          <w:color w:val="auto"/>
          <w:spacing w:val="0"/>
          <w:w w:val="100"/>
          <w:kern w:val="2"/>
          <w:position w:val="0"/>
          <w:sz w:val="24"/>
          <w:szCs w:val="24"/>
          <w:lang w:val="en-US" w:eastAsia="zh-CN" w:bidi="ar-SA"/>
        </w:rPr>
        <w:t>①诱发地震</w:t>
      </w:r>
    </w:p>
    <w:p>
      <w:pPr>
        <w:widowControl/>
        <w:adjustRightInd w:val="0"/>
        <w:snapToGrid w:val="0"/>
        <w:spacing w:line="360" w:lineRule="auto"/>
        <w:ind w:firstLine="480" w:firstLineChars="200"/>
        <w:rPr>
          <w:rFonts w:hint="default" w:asci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eastAsia="宋体" w:cs="Times New Roman"/>
          <w:caps w:val="0"/>
          <w:smallCaps w:val="0"/>
          <w:snapToGrid/>
          <w:color w:val="auto"/>
          <w:spacing w:val="0"/>
          <w:w w:val="100"/>
          <w:kern w:val="2"/>
          <w:position w:val="0"/>
          <w:sz w:val="24"/>
          <w:szCs w:val="24"/>
          <w:lang w:val="en-US" w:eastAsia="zh-CN" w:bidi="ar-SA"/>
        </w:rPr>
        <w:t>工程区域内地质构造背景比较稳定，地震动峰值加速度小于0.05g，地震动反应谱特征周期为0.35s，地震基本烈度为</w:t>
      </w:r>
      <w:r>
        <w:rPr>
          <w:rFonts w:hint="eastAsia" w:ascii="Times New Roman" w:eastAsia="宋体" w:cs="Times New Roman"/>
          <w:caps w:val="0"/>
          <w:smallCaps w:val="0"/>
          <w:snapToGrid/>
          <w:color w:val="auto"/>
          <w:spacing w:val="0"/>
          <w:w w:val="100"/>
          <w:kern w:val="2"/>
          <w:position w:val="0"/>
          <w:sz w:val="24"/>
          <w:szCs w:val="24"/>
          <w:lang w:val="en-US" w:eastAsia="zh-CN" w:bidi="ar-SA"/>
        </w:rPr>
        <w:t>Ⅵ</w:t>
      </w:r>
      <w:r>
        <w:rPr>
          <w:rFonts w:hint="default" w:ascii="Times New Roman" w:eastAsia="宋体" w:cs="Times New Roman"/>
          <w:caps w:val="0"/>
          <w:smallCaps w:val="0"/>
          <w:snapToGrid/>
          <w:color w:val="auto"/>
          <w:spacing w:val="0"/>
          <w:w w:val="100"/>
          <w:kern w:val="2"/>
          <w:position w:val="0"/>
          <w:sz w:val="24"/>
          <w:szCs w:val="24"/>
          <w:lang w:val="en-US" w:eastAsia="zh-CN" w:bidi="ar-SA"/>
        </w:rPr>
        <w:t>度以下，水库诱发地震的可能性小。</w:t>
      </w:r>
    </w:p>
    <w:p>
      <w:pPr>
        <w:widowControl/>
        <w:adjustRightInd w:val="0"/>
        <w:snapToGrid w:val="0"/>
        <w:spacing w:line="360" w:lineRule="auto"/>
        <w:ind w:firstLine="480" w:firstLineChars="200"/>
        <w:rPr>
          <w:rFonts w:hint="eastAsia" w:asci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eastAsia="宋体" w:cs="Times New Roman"/>
          <w:caps w:val="0"/>
          <w:smallCaps w:val="0"/>
          <w:snapToGrid/>
          <w:color w:val="auto"/>
          <w:spacing w:val="0"/>
          <w:w w:val="100"/>
          <w:kern w:val="2"/>
          <w:position w:val="0"/>
          <w:sz w:val="24"/>
          <w:szCs w:val="24"/>
          <w:lang w:val="en-US" w:eastAsia="zh-CN" w:bidi="ar-SA"/>
        </w:rPr>
        <w:t>②水库渗漏</w:t>
      </w:r>
    </w:p>
    <w:p>
      <w:pPr>
        <w:widowControl/>
        <w:adjustRightInd w:val="0"/>
        <w:snapToGrid w:val="0"/>
        <w:spacing w:line="360" w:lineRule="auto"/>
        <w:ind w:firstLine="480" w:firstLineChars="200"/>
        <w:rPr>
          <w:rFonts w:hint="default" w:asci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eastAsia="宋体" w:cs="Times New Roman"/>
          <w:caps w:val="0"/>
          <w:smallCaps w:val="0"/>
          <w:snapToGrid/>
          <w:color w:val="auto"/>
          <w:spacing w:val="0"/>
          <w:w w:val="100"/>
          <w:kern w:val="2"/>
          <w:position w:val="0"/>
          <w:sz w:val="24"/>
          <w:szCs w:val="24"/>
          <w:lang w:val="en-US" w:eastAsia="zh-CN" w:bidi="ar-SA"/>
        </w:rPr>
        <w:t>水库具有良好的封闭条件，不存在库水向邻谷渗漏的可能性。库内岩体由一大套燕山期花岗闪长岩或石英二长岩等组成，岩体本身的透水性较小，为相对隔水层，水库区域内未发现大的断裂构造通过，邻近水库无大的深切沟谷，水库蓄水后不会产生向库外渗漏的大通道，因此本水库不存在库区永久性渗漏问题。</w:t>
      </w:r>
    </w:p>
    <w:p>
      <w:pPr>
        <w:widowControl/>
        <w:adjustRightInd w:val="0"/>
        <w:snapToGrid w:val="0"/>
        <w:spacing w:line="360" w:lineRule="auto"/>
        <w:ind w:firstLine="480" w:firstLineChars="200"/>
        <w:rPr>
          <w:rFonts w:hint="default" w:asci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eastAsia="宋体" w:cs="Times New Roman"/>
          <w:caps w:val="0"/>
          <w:smallCaps w:val="0"/>
          <w:snapToGrid/>
          <w:color w:val="auto"/>
          <w:spacing w:val="0"/>
          <w:w w:val="100"/>
          <w:kern w:val="2"/>
          <w:position w:val="0"/>
          <w:sz w:val="24"/>
          <w:szCs w:val="24"/>
          <w:lang w:val="en-US" w:eastAsia="zh-CN" w:bidi="ar-SA"/>
        </w:rPr>
        <w:t>③库岸稳定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default" w:ascii="Times New Roman" w:eastAsia="宋体" w:cs="Times New Roman"/>
          <w:caps w:val="0"/>
          <w:smallCaps w:val="0"/>
          <w:snapToGrid/>
          <w:color w:val="auto"/>
          <w:spacing w:val="0"/>
          <w:w w:val="100"/>
          <w:kern w:val="2"/>
          <w:position w:val="0"/>
          <w:sz w:val="24"/>
          <w:szCs w:val="24"/>
          <w:lang w:val="en-US" w:eastAsia="zh-CN" w:bidi="ar-SA"/>
        </w:rPr>
        <w:t>在本项目水库正常蓄水位附近库岸两侧主要为第四系松散堆积层，微向河谷倾斜，结构松散，加上东晚期花岗岩组成岸坡稍陡，风化较低深，岩体节理及裂隙较发育，岩体完整性一般，局部地形较陡，水库蓄水位范围与两岸岩体无直接接触，库区因水体侵蚀对库岸稳定性影响较小，库岸整体稳定性较好</w:t>
      </w:r>
      <w:r>
        <w:rPr>
          <w:rFonts w:hint="eastAsia" w:ascii="宋体" w:hAnsi="宋体" w:eastAsia="宋体" w:cs="宋体"/>
          <w:color w:val="auto"/>
          <w:spacing w:val="0"/>
          <w:w w:val="100"/>
          <w:kern w:val="0"/>
          <w:position w:val="0"/>
          <w:sz w:val="24"/>
          <w:szCs w:val="24"/>
          <w:lang w:val="en-US"/>
        </w:rPr>
        <w:t>。</w:t>
      </w:r>
    </w:p>
    <w:p>
      <w:pPr>
        <w:pStyle w:val="20"/>
        <w:numPr>
          <w:ilvl w:val="3"/>
          <w:numId w:val="4"/>
        </w:numPr>
        <w:tabs>
          <w:tab w:val="left" w:pos="1638"/>
        </w:tabs>
        <w:spacing w:before="5" w:after="0" w:line="240" w:lineRule="auto"/>
        <w:ind w:left="1637" w:right="0" w:hanging="901"/>
        <w:jc w:val="left"/>
        <w:rPr>
          <w:rFonts w:hint="eastAsia" w:ascii="宋体" w:hAnsi="宋体" w:eastAsia="宋体" w:cs="宋体"/>
          <w:b/>
          <w:bCs/>
          <w:sz w:val="24"/>
        </w:rPr>
      </w:pPr>
      <w:r>
        <w:rPr>
          <w:rFonts w:hint="eastAsia" w:ascii="宋体" w:hAnsi="宋体" w:eastAsia="宋体" w:cs="宋体"/>
          <w:b/>
          <w:bCs/>
          <w:sz w:val="24"/>
        </w:rPr>
        <w:t>对人群健康的影响</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水库蓄水初期，鼠类被迫向水库边缘和居民区迁移，居民区鼠密度增大，同时，随着浅水区与静水区范围的扩大，蚊虫密度升高，可能会导致一些虫媒等疾病的发生。项目已建成，库区影响范围内无村民，因此，对库区人群健康影响较小</w:t>
      </w:r>
      <w:r>
        <w:rPr>
          <w:rFonts w:hint="eastAsia" w:ascii="宋体" w:hAnsi="宋体" w:eastAsia="宋体" w:cs="宋体"/>
          <w:color w:val="auto"/>
          <w:spacing w:val="0"/>
          <w:w w:val="100"/>
          <w:kern w:val="0"/>
          <w:position w:val="0"/>
          <w:sz w:val="24"/>
          <w:szCs w:val="24"/>
          <w:lang w:val="en-US"/>
        </w:rPr>
        <w:t>。</w:t>
      </w:r>
    </w:p>
    <w:p>
      <w:pPr>
        <w:pStyle w:val="20"/>
        <w:numPr>
          <w:ilvl w:val="3"/>
          <w:numId w:val="4"/>
        </w:numPr>
        <w:tabs>
          <w:tab w:val="left" w:pos="1508"/>
        </w:tabs>
        <w:spacing w:before="0" w:after="0" w:line="306" w:lineRule="exact"/>
        <w:ind w:left="1508" w:right="0" w:hanging="891"/>
        <w:jc w:val="left"/>
        <w:rPr>
          <w:rFonts w:hint="eastAsia" w:ascii="宋体" w:hAnsi="宋体" w:eastAsia="宋体" w:cs="宋体"/>
          <w:b/>
          <w:bCs/>
          <w:sz w:val="24"/>
        </w:rPr>
      </w:pPr>
      <w:r>
        <w:rPr>
          <w:rFonts w:hint="eastAsia" w:ascii="宋体" w:hAnsi="宋体" w:eastAsia="宋体" w:cs="宋体"/>
          <w:b/>
          <w:bCs/>
          <w:sz w:val="24"/>
        </w:rPr>
        <w:t>施工对环境的影响</w:t>
      </w:r>
    </w:p>
    <w:p>
      <w:pPr>
        <w:pStyle w:val="20"/>
        <w:keepNext w:val="0"/>
        <w:keepLines w:val="0"/>
        <w:pageBreakBefore w:val="0"/>
        <w:widowControl w:val="0"/>
        <w:numPr>
          <w:ilvl w:val="0"/>
          <w:numId w:val="0"/>
        </w:numPr>
        <w:tabs>
          <w:tab w:val="left" w:pos="898"/>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水质</w:t>
      </w:r>
    </w:p>
    <w:p>
      <w:pPr>
        <w:keepNext w:val="0"/>
        <w:keepLines w:val="0"/>
        <w:pageBreakBefore w:val="0"/>
        <w:widowControl w:val="0"/>
        <w:kinsoku/>
        <w:wordWrap/>
        <w:overflowPunct/>
        <w:topLinePunct w:val="0"/>
        <w:autoSpaceDE/>
        <w:autoSpaceDN/>
        <w:bidi w:val="0"/>
        <w:adjustRightInd/>
        <w:snapToGrid/>
        <w:spacing w:line="360" w:lineRule="auto"/>
        <w:ind w:firstLine="476"/>
        <w:jc w:val="both"/>
        <w:textAlignment w:val="auto"/>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经调查，施工期生产废水主要是基坑废水、生产废水和施工人员生活污水，建设单位将废水经处理后回用于生产、周边区域绿化及降尘等综合利用，并未排入周边水体中。其中：施工期间产生的基坑废水采用沉淀法进行处理；施工期生产废水主要产生于砂石料冲洗、混凝土搅拌、机械修配以及汽车修理等，主要污染物为泥沙、悬浮物、油类，采用自然沉淀处理方法；施工期修建了防渗旱厕，用堆肥方式处理施工人员的生活废水，堆肥用做电站周围绿化肥料。</w:t>
      </w:r>
    </w:p>
    <w:p>
      <w:pPr>
        <w:keepNext w:val="0"/>
        <w:keepLines w:val="0"/>
        <w:pageBreakBefore w:val="0"/>
        <w:widowControl w:val="0"/>
        <w:kinsoku/>
        <w:wordWrap/>
        <w:overflowPunct/>
        <w:topLinePunct w:val="0"/>
        <w:autoSpaceDE/>
        <w:autoSpaceDN/>
        <w:bidi w:val="0"/>
        <w:adjustRightInd/>
        <w:snapToGrid/>
        <w:spacing w:line="360" w:lineRule="auto"/>
        <w:ind w:firstLine="476"/>
        <w:jc w:val="both"/>
        <w:textAlignment w:val="auto"/>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总体而言，施工期水环境保护措施基本合理，施工期间未发生水污染事件，并未对当地的水环境造成明显的影响。</w:t>
      </w:r>
    </w:p>
    <w:p>
      <w:pPr>
        <w:keepNext w:val="0"/>
        <w:keepLines w:val="0"/>
        <w:pageBreakBefore w:val="0"/>
        <w:widowControl w:val="0"/>
        <w:kinsoku/>
        <w:wordWrap/>
        <w:overflowPunct/>
        <w:topLinePunct w:val="0"/>
        <w:autoSpaceDE/>
        <w:autoSpaceDN/>
        <w:bidi w:val="0"/>
        <w:adjustRightInd/>
        <w:snapToGrid/>
        <w:spacing w:line="360" w:lineRule="auto"/>
        <w:ind w:firstLine="476"/>
        <w:jc w:val="both"/>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空气质量</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经调查，建设单位在施工建设过程中，针对运输车辆、机械设备运行废气；凿裂、钻孔、露天爆破粉尘；砂石料加工系统粉尘以及道路扬尘等，采取了严禁随地随处乱挖乱放、尽量控制开挖面、运输粉状施工材料的车辆加遮盖物、经常在作业区域洒水、凿岩机的人员配戴防尘口罩等大气污染防治措施。</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总体而言，施工期大气环境保护措施基本合理，施工期间未发生大气污染事件， 并未对当地的大气环境造成明显的影响。</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声环境</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施工期噪声主要是施工机械噪声、施工爆破噪声，会对施工操作人员和周边环境构成一定影响。经调查，施工单位采取了“合理安排施工作业时间、施工人员佩戴防噪耳塞、施工场地安装临时挡板”等噪声防治措施，施工期间未发生噪声扰民、噪声污染投诉事件。</w:t>
      </w:r>
    </w:p>
    <w:p>
      <w:pPr>
        <w:pStyle w:val="7"/>
        <w:keepNext w:val="0"/>
        <w:keepLines w:val="0"/>
        <w:pageBreakBefore w:val="0"/>
        <w:widowControl w:val="0"/>
        <w:kinsoku/>
        <w:wordWrap/>
        <w:overflowPunct/>
        <w:topLinePunct w:val="0"/>
        <w:bidi w:val="0"/>
        <w:adjustRightInd/>
        <w:snapToGrid/>
        <w:spacing w:before="0" w:line="360" w:lineRule="auto"/>
        <w:ind w:left="0" w:right="0" w:firstLine="480" w:firstLineChars="200"/>
        <w:jc w:val="both"/>
        <w:textAlignment w:val="auto"/>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总体而言，施工期声环境保护措施基本合理，并未对当地的声环境造成明显的影响</w:t>
      </w:r>
    </w:p>
    <w:p>
      <w:pPr>
        <w:pStyle w:val="7"/>
        <w:keepNext w:val="0"/>
        <w:keepLines w:val="0"/>
        <w:pageBreakBefore w:val="0"/>
        <w:widowControl w:val="0"/>
        <w:kinsoku/>
        <w:wordWrap/>
        <w:overflowPunct/>
        <w:topLinePunct w:val="0"/>
        <w:bidi w:val="0"/>
        <w:adjustRightInd/>
        <w:snapToGrid/>
        <w:spacing w:before="0" w:line="360" w:lineRule="auto"/>
        <w:ind w:left="0" w:right="0" w:firstLine="480" w:firstLineChars="200"/>
        <w:jc w:val="both"/>
        <w:textAlignment w:val="auto"/>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固体废物</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rPr>
      </w:pPr>
      <w:r>
        <w:rPr>
          <w:rFonts w:hint="eastAsia" w:ascii="宋体" w:hAnsi="宋体" w:eastAsia="宋体" w:cs="宋体"/>
          <w:color w:val="auto"/>
          <w:spacing w:val="0"/>
          <w:w w:val="100"/>
          <w:kern w:val="0"/>
          <w:position w:val="0"/>
          <w:sz w:val="24"/>
          <w:szCs w:val="24"/>
        </w:rPr>
        <w:t>经调查，施工期的生活垃圾由施工单位组织人员定期清运，未在作业区设置生活垃圾永久堆存点，避免了对区域生态造成不利影响；旱厕由施工单位组织人员定期清理运送，用做绿化堆肥。建设单位在施工完成后，对于作业区堆放的弃渣进行了及时清运处置。</w:t>
      </w:r>
    </w:p>
    <w:p>
      <w:pPr>
        <w:pageBreakBefore w:val="0"/>
        <w:kinsoku/>
        <w:wordWrap/>
        <w:overflowPunct/>
        <w:topLinePunct w:val="0"/>
        <w:autoSpaceDE/>
        <w:autoSpaceDN/>
        <w:bidi w:val="0"/>
        <w:adjustRightInd/>
        <w:snapToGrid/>
        <w:spacing w:line="360" w:lineRule="auto"/>
        <w:ind w:firstLine="480" w:firstLineChars="200"/>
        <w:jc w:val="both"/>
      </w:pPr>
      <w:r>
        <w:rPr>
          <w:rFonts w:hint="eastAsia" w:ascii="宋体" w:hAnsi="宋体" w:eastAsia="宋体" w:cs="宋体"/>
          <w:color w:val="auto"/>
          <w:spacing w:val="0"/>
          <w:w w:val="100"/>
          <w:kern w:val="0"/>
          <w:position w:val="0"/>
          <w:sz w:val="24"/>
          <w:szCs w:val="24"/>
        </w:rPr>
        <w:t>总体而言，施工期固体废物处置措施基本合理，并未对当地的环境造成明显的影响。</w:t>
      </w:r>
    </w:p>
    <w:p>
      <w:pPr>
        <w:pStyle w:val="20"/>
        <w:numPr>
          <w:ilvl w:val="3"/>
          <w:numId w:val="4"/>
        </w:numPr>
        <w:tabs>
          <w:tab w:val="left" w:pos="1458"/>
        </w:tabs>
        <w:spacing w:before="5" w:after="0" w:line="240" w:lineRule="auto"/>
        <w:ind w:left="1457" w:right="0" w:hanging="841"/>
        <w:jc w:val="left"/>
        <w:rPr>
          <w:rFonts w:hint="eastAsia" w:ascii="宋体" w:hAnsi="宋体" w:eastAsia="宋体" w:cs="宋体"/>
          <w:b/>
          <w:bCs/>
          <w:sz w:val="24"/>
        </w:rPr>
      </w:pPr>
      <w:r>
        <w:rPr>
          <w:rFonts w:hint="eastAsia" w:ascii="宋体" w:hAnsi="宋体" w:eastAsia="宋体" w:cs="宋体"/>
          <w:b/>
          <w:bCs/>
          <w:sz w:val="24"/>
        </w:rPr>
        <w:t>工程新增水土流失预测</w:t>
      </w:r>
    </w:p>
    <w:p>
      <w:pPr>
        <w:pStyle w:val="8"/>
        <w:keepNext w:val="0"/>
        <w:keepLines w:val="0"/>
        <w:pageBreakBefore w:val="0"/>
        <w:widowControl w:val="0"/>
        <w:kinsoku/>
        <w:wordWrap/>
        <w:overflowPunct/>
        <w:topLinePunct w:val="0"/>
        <w:autoSpaceDE/>
        <w:autoSpaceDN/>
        <w:bidi w:val="0"/>
        <w:adjustRightInd/>
        <w:snapToGrid/>
        <w:spacing w:beforeLines="0" w:after="0" w:line="360" w:lineRule="auto"/>
        <w:ind w:left="0" w:leftChars="0" w:firstLine="480" w:firstLineChars="200"/>
        <w:textAlignment w:val="auto"/>
        <w:outlineLvl w:val="9"/>
        <w:rPr>
          <w:rFonts w:hint="default" w:ascii="Times New Roman" w:hAnsi="Times New Roman" w:cs="Times New Roman"/>
          <w:color w:val="auto"/>
          <w:sz w:val="24"/>
          <w:szCs w:val="20"/>
        </w:rPr>
      </w:pPr>
      <w:r>
        <w:rPr>
          <w:rFonts w:hint="eastAsia" w:ascii="Times New Roman" w:cs="Times New Roman"/>
          <w:color w:val="auto"/>
          <w:spacing w:val="0"/>
          <w:kern w:val="2"/>
          <w:sz w:val="24"/>
          <w:szCs w:val="24"/>
          <w:lang w:val="en-US" w:eastAsia="zh-CN" w:bidi="ar-SA"/>
        </w:rPr>
        <w:t>本项目</w:t>
      </w:r>
      <w:r>
        <w:rPr>
          <w:rFonts w:hint="default" w:ascii="Times New Roman" w:hAnsi="Times New Roman" w:eastAsia="宋体" w:cs="Times New Roman"/>
          <w:color w:val="auto"/>
          <w:spacing w:val="0"/>
          <w:kern w:val="2"/>
          <w:sz w:val="24"/>
          <w:szCs w:val="24"/>
          <w:lang w:val="en-US" w:eastAsia="zh-CN" w:bidi="ar-SA"/>
        </w:rPr>
        <w:t>水土流失防治责任范围包括项目建设区和直接影响区。项目建设区包括大坝工程区、渠道工程区、发电厂房及管理设施区、渣场区、水库淹没区等。根据工程区新增水土流失的特点及工程布局，将项目建设区划分为4个水土流失防治分区，分别为主体工程区、弃渣场区、施工临时场地区和施工临时道路区。依据治理与防护相结合、植物措施与工程措施相结合、治理水土流失与重建和提高土地生产力相结合的原则，对于陆域地面实施土地平整、覆土回填、种植草皮等水土保持措施，对大坝两岸开挖边坡进行加固护衬，防止水土流失</w:t>
      </w:r>
      <w:r>
        <w:rPr>
          <w:rFonts w:hint="default" w:ascii="Times New Roman" w:hAnsi="Times New Roman" w:cs="Times New Roman"/>
          <w:color w:val="auto"/>
          <w:sz w:val="24"/>
          <w:szCs w:val="20"/>
        </w:rPr>
        <w:t>。</w:t>
      </w:r>
    </w:p>
    <w:p>
      <w:pPr>
        <w:pStyle w:val="20"/>
        <w:numPr>
          <w:ilvl w:val="3"/>
          <w:numId w:val="4"/>
        </w:numPr>
        <w:tabs>
          <w:tab w:val="left" w:pos="1458"/>
        </w:tabs>
        <w:spacing w:before="3" w:after="0" w:line="240" w:lineRule="auto"/>
        <w:ind w:left="1457" w:right="0" w:hanging="841"/>
        <w:jc w:val="left"/>
        <w:rPr>
          <w:rFonts w:hint="eastAsia" w:ascii="宋体" w:hAnsi="宋体" w:eastAsia="宋体" w:cs="宋体"/>
          <w:b/>
          <w:bCs/>
          <w:sz w:val="24"/>
        </w:rPr>
      </w:pPr>
      <w:r>
        <w:rPr>
          <w:rFonts w:hint="eastAsia" w:ascii="宋体" w:hAnsi="宋体" w:eastAsia="宋体" w:cs="宋体"/>
          <w:b/>
          <w:bCs/>
          <w:sz w:val="24"/>
        </w:rPr>
        <w:t>对社会经济的影响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（1）对防洪安全的影响分析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本电站的建设符合</w:t>
      </w:r>
      <w:r>
        <w:rPr>
          <w:rFonts w:hint="eastAsia" w:ascii="宋体" w:hAnsi="宋体" w:eastAsia="宋体" w:cs="宋体"/>
          <w:color w:val="auto"/>
          <w:spacing w:val="0"/>
          <w:w w:val="100"/>
          <w:kern w:val="0"/>
          <w:position w:val="0"/>
          <w:sz w:val="24"/>
          <w:szCs w:val="24"/>
          <w:lang w:val="en-US" w:eastAsia="zh-CN"/>
        </w:rPr>
        <w:t>上堡河</w:t>
      </w:r>
      <w:r>
        <w:rPr>
          <w:rFonts w:hint="eastAsia" w:ascii="宋体" w:hAnsi="宋体" w:eastAsia="宋体" w:cs="宋体"/>
          <w:color w:val="auto"/>
          <w:spacing w:val="0"/>
          <w:w w:val="100"/>
          <w:kern w:val="0"/>
          <w:position w:val="0"/>
          <w:sz w:val="24"/>
          <w:szCs w:val="24"/>
          <w:lang w:val="en-US"/>
        </w:rPr>
        <w:t>流域规划，发电水头与上一级、下一经电站均没有矛盾，取水、用水为河道内用水，不影响其他的用户，其建设充分利用水力资源，符合规划要求。防护标准采用10年一遇洪水，符合有关规范要求。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（2）对区域经济的影响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本电站的建成，为</w:t>
      </w:r>
      <w:r>
        <w:rPr>
          <w:rFonts w:hint="eastAsia" w:ascii="宋体" w:hAnsi="宋体" w:eastAsia="宋体" w:cs="宋体"/>
          <w:color w:val="auto"/>
          <w:spacing w:val="0"/>
          <w:w w:val="100"/>
          <w:kern w:val="0"/>
          <w:position w:val="0"/>
          <w:sz w:val="24"/>
          <w:szCs w:val="24"/>
          <w:lang w:val="en-US" w:eastAsia="zh-CN"/>
        </w:rPr>
        <w:t>崇义县</w:t>
      </w:r>
      <w:r>
        <w:rPr>
          <w:rFonts w:hint="eastAsia" w:ascii="宋体" w:hAnsi="宋体" w:eastAsia="宋体" w:cs="宋体"/>
          <w:color w:val="auto"/>
          <w:spacing w:val="0"/>
          <w:w w:val="100"/>
          <w:kern w:val="0"/>
          <w:position w:val="0"/>
          <w:sz w:val="24"/>
          <w:szCs w:val="24"/>
          <w:lang w:val="en-US"/>
        </w:rPr>
        <w:t>电网增加装机</w:t>
      </w:r>
      <w:r>
        <w:rPr>
          <w:rFonts w:hint="eastAsia" w:ascii="Times New Roman" w:hAnsi="Times New Roman" w:eastAsia="宋体" w:cs="Times New Roman"/>
          <w:color w:val="auto"/>
          <w:spacing w:val="0"/>
          <w:w w:val="100"/>
          <w:kern w:val="0"/>
          <w:position w:val="0"/>
          <w:sz w:val="24"/>
          <w:szCs w:val="24"/>
          <w:lang w:val="en-US" w:eastAsia="zh-CN"/>
        </w:rPr>
        <w:t>500KW</w:t>
      </w:r>
      <w:r>
        <w:rPr>
          <w:rFonts w:hint="eastAsia" w:ascii="宋体" w:hAnsi="宋体" w:eastAsia="宋体" w:cs="宋体"/>
          <w:color w:val="auto"/>
          <w:spacing w:val="0"/>
          <w:w w:val="100"/>
          <w:kern w:val="0"/>
          <w:position w:val="0"/>
          <w:sz w:val="24"/>
          <w:szCs w:val="24"/>
          <w:lang w:val="en-US"/>
        </w:rPr>
        <w:t>，年平均发电量</w:t>
      </w:r>
      <w:r>
        <w:rPr>
          <w:rFonts w:hint="default" w:ascii="Times New Roman" w:hAnsi="Times New Roman" w:eastAsia="宋体" w:cs="Times New Roman"/>
          <w:color w:val="auto"/>
          <w:spacing w:val="0"/>
          <w:w w:val="100"/>
          <w:kern w:val="0"/>
          <w:position w:val="0"/>
          <w:sz w:val="24"/>
          <w:szCs w:val="24"/>
          <w:lang w:val="en-US" w:eastAsia="zh-CN"/>
        </w:rPr>
        <w:t>162</w:t>
      </w:r>
      <w:r>
        <w:rPr>
          <w:rFonts w:hint="eastAsia" w:ascii="宋体" w:hAnsi="宋体" w:eastAsia="宋体" w:cs="宋体"/>
          <w:color w:val="auto"/>
          <w:spacing w:val="0"/>
          <w:w w:val="100"/>
          <w:kern w:val="0"/>
          <w:position w:val="0"/>
          <w:sz w:val="24"/>
          <w:szCs w:val="24"/>
          <w:lang w:val="en-US"/>
        </w:rPr>
        <w:t>万</w:t>
      </w:r>
      <w:r>
        <w:rPr>
          <w:rFonts w:hint="eastAsia" w:ascii="Times New Roman" w:hAnsi="Times New Roman" w:eastAsia="宋体" w:cs="Times New Roman"/>
          <w:color w:val="auto"/>
          <w:spacing w:val="0"/>
          <w:w w:val="100"/>
          <w:kern w:val="0"/>
          <w:position w:val="0"/>
          <w:sz w:val="24"/>
          <w:szCs w:val="24"/>
          <w:lang w:val="en-US" w:eastAsia="zh-CN"/>
        </w:rPr>
        <w:t>kwh</w:t>
      </w:r>
      <w:r>
        <w:rPr>
          <w:rFonts w:hint="eastAsia" w:ascii="宋体" w:hAnsi="宋体" w:eastAsia="宋体" w:cs="宋体"/>
          <w:color w:val="auto"/>
          <w:spacing w:val="0"/>
          <w:w w:val="100"/>
          <w:kern w:val="0"/>
          <w:position w:val="0"/>
          <w:sz w:val="24"/>
          <w:szCs w:val="24"/>
          <w:lang w:val="en-US"/>
        </w:rPr>
        <w:t>，可为</w:t>
      </w:r>
      <w:r>
        <w:rPr>
          <w:rFonts w:hint="eastAsia" w:ascii="宋体" w:hAnsi="宋体" w:eastAsia="宋体" w:cs="宋体"/>
          <w:color w:val="auto"/>
          <w:spacing w:val="0"/>
          <w:w w:val="100"/>
          <w:kern w:val="0"/>
          <w:position w:val="0"/>
          <w:sz w:val="24"/>
          <w:szCs w:val="24"/>
          <w:lang w:val="en-US" w:eastAsia="zh-CN"/>
        </w:rPr>
        <w:t>崇义县</w:t>
      </w:r>
      <w:r>
        <w:rPr>
          <w:rFonts w:hint="eastAsia" w:ascii="宋体" w:hAnsi="宋体" w:eastAsia="宋体" w:cs="宋体"/>
          <w:color w:val="auto"/>
          <w:spacing w:val="0"/>
          <w:w w:val="100"/>
          <w:kern w:val="0"/>
          <w:position w:val="0"/>
          <w:sz w:val="24"/>
          <w:szCs w:val="24"/>
          <w:lang w:val="en-US"/>
        </w:rPr>
        <w:t>电力系统安全运行提供可靠、灵活的电力电量，对</w:t>
      </w:r>
      <w:r>
        <w:rPr>
          <w:rFonts w:hint="eastAsia" w:ascii="宋体" w:hAnsi="宋体" w:eastAsia="宋体" w:cs="宋体"/>
          <w:color w:val="auto"/>
          <w:spacing w:val="0"/>
          <w:w w:val="100"/>
          <w:kern w:val="0"/>
          <w:position w:val="0"/>
          <w:sz w:val="24"/>
          <w:szCs w:val="24"/>
          <w:lang w:val="en-US" w:eastAsia="zh-CN"/>
        </w:rPr>
        <w:t>崇义县</w:t>
      </w:r>
      <w:r>
        <w:rPr>
          <w:rFonts w:hint="eastAsia" w:ascii="宋体" w:hAnsi="宋体" w:eastAsia="宋体" w:cs="宋体"/>
          <w:color w:val="auto"/>
          <w:spacing w:val="0"/>
          <w:w w:val="100"/>
          <w:kern w:val="0"/>
          <w:position w:val="0"/>
          <w:sz w:val="24"/>
          <w:szCs w:val="24"/>
          <w:lang w:val="en-US"/>
        </w:rPr>
        <w:t>社会经济的发展具有重要作用。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另外，水电站项目属于可再生能源项目，其建设又是一种“以电代燃”的清洁生产方式，在取得相同电能的同时，不但可减少污染环境问题，还能减少林木的砍伐和植被破坏，保护生态环境，具有一定的环境效益。</w:t>
      </w:r>
    </w:p>
    <w:p>
      <w:pPr>
        <w:pStyle w:val="20"/>
        <w:numPr>
          <w:ilvl w:val="2"/>
          <w:numId w:val="4"/>
        </w:numPr>
        <w:tabs>
          <w:tab w:val="left" w:pos="738"/>
        </w:tabs>
        <w:spacing w:before="116" w:after="0" w:line="240" w:lineRule="auto"/>
        <w:ind w:left="737" w:right="0" w:hanging="601"/>
        <w:jc w:val="both"/>
        <w:rPr>
          <w:rFonts w:hint="eastAsia" w:ascii="宋体" w:hAnsi="宋体" w:eastAsia="宋体" w:cs="宋体"/>
          <w:b/>
          <w:sz w:val="24"/>
        </w:rPr>
      </w:pPr>
      <w:bookmarkStart w:id="83" w:name="3.1.4环境保护措施"/>
      <w:bookmarkEnd w:id="83"/>
      <w:bookmarkStart w:id="84" w:name="3.1.4环境保护措施"/>
      <w:bookmarkEnd w:id="84"/>
      <w:r>
        <w:rPr>
          <w:rFonts w:hint="eastAsia" w:ascii="宋体" w:hAnsi="宋体" w:eastAsia="宋体" w:cs="宋体"/>
          <w:b/>
          <w:sz w:val="24"/>
        </w:rPr>
        <w:t>环境保护措施</w:t>
      </w:r>
    </w:p>
    <w:p>
      <w:pPr>
        <w:pStyle w:val="7"/>
        <w:spacing w:before="11"/>
        <w:rPr>
          <w:b/>
          <w:sz w:val="21"/>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综合来看，本项目工程的建设对生态与环境的影响有利有弊，而弊端均可以采取防治和改善措施予以减免。建设单位应切实落实本评价报告所提出的各项措施和对策，减免各种不利影响，做到开发与保护并重，从而促进生态环境、经济和社会的协调发展。总体上来讲，本项目建设从环境保护角度来看是可行的。</w:t>
      </w:r>
    </w:p>
    <w:p>
      <w:pPr>
        <w:pStyle w:val="7"/>
        <w:spacing w:line="306" w:lineRule="exact"/>
        <w:ind w:left="617"/>
        <w:rPr>
          <w:rFonts w:hint="eastAsia" w:ascii="宋体" w:hAnsi="宋体" w:eastAsia="宋体" w:cs="宋体"/>
        </w:rPr>
      </w:pPr>
      <w:r>
        <w:rPr>
          <w:rFonts w:hint="eastAsia" w:ascii="宋体" w:hAnsi="宋体" w:eastAsia="宋体" w:cs="宋体"/>
        </w:rPr>
        <w:t>为了减免工程的不利影响，提出以下对策措施：</w:t>
      </w:r>
    </w:p>
    <w:p>
      <w:pPr>
        <w:pStyle w:val="20"/>
        <w:numPr>
          <w:ilvl w:val="0"/>
          <w:numId w:val="5"/>
        </w:numPr>
        <w:tabs>
          <w:tab w:val="left" w:pos="1016"/>
        </w:tabs>
        <w:spacing w:before="160" w:after="0" w:line="362" w:lineRule="auto"/>
        <w:ind w:left="137" w:right="1235" w:firstLine="480"/>
        <w:jc w:val="left"/>
        <w:rPr>
          <w:rFonts w:hint="eastAsia" w:ascii="宋体" w:hAnsi="宋体" w:eastAsia="宋体" w:cs="宋体"/>
          <w:sz w:val="24"/>
        </w:rPr>
      </w:pPr>
      <w:r>
        <w:rPr>
          <w:rFonts w:hint="eastAsia" w:ascii="宋体" w:hAnsi="宋体" w:eastAsia="宋体" w:cs="宋体"/>
          <w:spacing w:val="-3"/>
          <w:sz w:val="24"/>
        </w:rPr>
        <w:t>制定库区环境卫生清理规划，水库蓄水前对库区进行卫生清理；注意介</w:t>
      </w:r>
      <w:r>
        <w:rPr>
          <w:rFonts w:hint="eastAsia" w:ascii="宋体" w:hAnsi="宋体" w:eastAsia="宋体" w:cs="宋体"/>
          <w:sz w:val="24"/>
        </w:rPr>
        <w:t>水传染病等疾病的防治工作。</w:t>
      </w:r>
    </w:p>
    <w:p>
      <w:pPr>
        <w:pStyle w:val="20"/>
        <w:numPr>
          <w:ilvl w:val="0"/>
          <w:numId w:val="5"/>
        </w:numPr>
        <w:tabs>
          <w:tab w:val="left" w:pos="898"/>
        </w:tabs>
        <w:spacing w:before="5" w:after="0" w:line="364" w:lineRule="auto"/>
        <w:ind w:left="137" w:right="1235" w:firstLine="480"/>
        <w:jc w:val="both"/>
        <w:rPr>
          <w:rFonts w:hint="eastAsia" w:ascii="宋体" w:hAnsi="宋体" w:eastAsia="宋体" w:cs="宋体"/>
          <w:sz w:val="24"/>
        </w:rPr>
      </w:pPr>
      <w:r>
        <w:rPr>
          <w:rFonts w:hint="eastAsia" w:ascii="宋体" w:hAnsi="宋体" w:eastAsia="宋体" w:cs="宋体"/>
          <w:spacing w:val="-4"/>
          <w:sz w:val="24"/>
        </w:rPr>
        <w:t>做好施工区环境保护工作， 加强施工中废水、废气、噪声、弃渣处理和</w:t>
      </w:r>
      <w:r>
        <w:rPr>
          <w:rFonts w:hint="eastAsia" w:ascii="宋体" w:hAnsi="宋体" w:eastAsia="宋体" w:cs="宋体"/>
          <w:sz w:val="24"/>
        </w:rPr>
        <w:t>管理，如对砂石料冲洗水采用沉淀池等处理:生活污水经化粪池处理后，定点排放:搞好施工区除尘、绿化工作，减轻大气污染:</w:t>
      </w:r>
      <w:r>
        <w:rPr>
          <w:rFonts w:hint="eastAsia" w:ascii="宋体" w:hAnsi="宋体" w:eastAsia="宋体" w:cs="宋体"/>
          <w:spacing w:val="-1"/>
          <w:sz w:val="24"/>
        </w:rPr>
        <w:t xml:space="preserve">采取噪声低的生产设备和工艺， </w:t>
      </w:r>
      <w:r>
        <w:rPr>
          <w:rFonts w:hint="eastAsia" w:ascii="宋体" w:hAnsi="宋体" w:eastAsia="宋体" w:cs="宋体"/>
          <w:sz w:val="24"/>
        </w:rPr>
        <w:t>尽量避免夜间施工，防治噪声污染；保证施工人员身体健康。</w:t>
      </w:r>
    </w:p>
    <w:p>
      <w:pPr>
        <w:pStyle w:val="20"/>
        <w:numPr>
          <w:ilvl w:val="0"/>
          <w:numId w:val="5"/>
        </w:numPr>
        <w:tabs>
          <w:tab w:val="left" w:pos="1016"/>
        </w:tabs>
        <w:spacing w:before="0" w:after="0" w:line="362" w:lineRule="auto"/>
        <w:ind w:left="137" w:right="1235" w:firstLine="480"/>
        <w:jc w:val="both"/>
        <w:rPr>
          <w:rFonts w:hint="eastAsia" w:ascii="宋体" w:hAnsi="宋体" w:eastAsia="宋体" w:cs="宋体"/>
          <w:sz w:val="24"/>
        </w:rPr>
      </w:pPr>
      <w:r>
        <w:rPr>
          <w:rFonts w:hint="eastAsia" w:ascii="宋体" w:hAnsi="宋体" w:eastAsia="宋体" w:cs="宋体"/>
          <w:spacing w:val="-2"/>
          <w:sz w:val="24"/>
        </w:rPr>
        <w:t>在安装间设置事故油池以收集事故漏油，将厂房集水井废水排入生活化</w:t>
      </w:r>
      <w:r>
        <w:rPr>
          <w:rFonts w:hint="eastAsia" w:ascii="宋体" w:hAnsi="宋体" w:eastAsia="宋体" w:cs="宋体"/>
          <w:sz w:val="24"/>
        </w:rPr>
        <w:t>粪施发理，减少营运期对河水水体的污染。</w:t>
      </w:r>
    </w:p>
    <w:p>
      <w:pPr>
        <w:pStyle w:val="20"/>
        <w:numPr>
          <w:ilvl w:val="0"/>
          <w:numId w:val="5"/>
        </w:numPr>
        <w:tabs>
          <w:tab w:val="left" w:pos="1141"/>
        </w:tabs>
        <w:spacing w:before="3" w:after="0" w:line="364" w:lineRule="auto"/>
        <w:ind w:left="137" w:right="1232" w:firstLine="600"/>
        <w:jc w:val="both"/>
        <w:rPr>
          <w:rFonts w:hint="eastAsia" w:ascii="宋体" w:hAnsi="宋体" w:eastAsia="宋体" w:cs="宋体"/>
          <w:sz w:val="24"/>
        </w:rPr>
      </w:pPr>
      <w:r>
        <w:rPr>
          <w:rFonts w:hint="eastAsia" w:ascii="宋体" w:hAnsi="宋体" w:eastAsia="宋体" w:cs="宋体"/>
          <w:sz w:val="24"/>
        </w:rPr>
        <w:t>制定切实可行的水土保持方案，落实各项水土流失防治措施，使工程建设造成的水土流失降低到最低限度。</w:t>
      </w:r>
    </w:p>
    <w:p>
      <w:pPr>
        <w:pStyle w:val="20"/>
        <w:numPr>
          <w:ilvl w:val="0"/>
          <w:numId w:val="5"/>
        </w:numPr>
        <w:tabs>
          <w:tab w:val="left" w:pos="898"/>
        </w:tabs>
        <w:spacing w:before="0" w:after="0" w:line="306" w:lineRule="exact"/>
        <w:ind w:left="897" w:right="0" w:hanging="281"/>
        <w:jc w:val="both"/>
        <w:rPr>
          <w:rFonts w:hint="eastAsia" w:ascii="宋体" w:hAnsi="宋体" w:eastAsia="宋体" w:cs="宋体"/>
          <w:sz w:val="24"/>
        </w:rPr>
      </w:pPr>
      <w:r>
        <w:rPr>
          <w:rFonts w:hint="eastAsia" w:ascii="宋体" w:hAnsi="宋体" w:eastAsia="宋体" w:cs="宋体"/>
          <w:spacing w:val="-4"/>
          <w:sz w:val="24"/>
        </w:rPr>
        <w:t>工程枯水期发电时，应保证下游河道有</w:t>
      </w:r>
      <w:r>
        <w:rPr>
          <w:rFonts w:hint="default" w:ascii="Times New Roman" w:hAnsi="Times New Roman" w:eastAsia="宋体" w:cs="Times New Roman"/>
          <w:spacing w:val="-4"/>
          <w:sz w:val="24"/>
        </w:rPr>
        <w:t>0.0</w:t>
      </w:r>
      <w:r>
        <w:rPr>
          <w:rFonts w:hint="eastAsia" w:ascii="Times New Roman" w:hAnsi="Times New Roman" w:eastAsia="宋体" w:cs="Times New Roman"/>
          <w:spacing w:val="-4"/>
          <w:sz w:val="24"/>
          <w:lang w:val="en-US" w:eastAsia="zh-CN"/>
        </w:rPr>
        <w:t>34</w:t>
      </w:r>
      <w:r>
        <w:rPr>
          <w:rFonts w:hint="default" w:ascii="Times New Roman" w:hAnsi="Times New Roman" w:eastAsia="宋体" w:cs="Times New Roman"/>
          <w:spacing w:val="-4"/>
          <w:sz w:val="24"/>
        </w:rPr>
        <w:t>m</w:t>
      </w:r>
      <w:r>
        <w:rPr>
          <w:rFonts w:hint="default" w:ascii="Times New Roman" w:hAnsi="Times New Roman" w:eastAsia="宋体" w:cs="Times New Roman"/>
          <w:spacing w:val="-4"/>
          <w:sz w:val="24"/>
          <w:vertAlign w:val="superscript"/>
        </w:rPr>
        <w:t>3</w:t>
      </w:r>
      <w:r>
        <w:rPr>
          <w:rFonts w:hint="default" w:ascii="Times New Roman" w:hAnsi="Times New Roman" w:eastAsia="宋体" w:cs="Times New Roman"/>
          <w:spacing w:val="-4"/>
          <w:sz w:val="24"/>
        </w:rPr>
        <w:t>/s</w:t>
      </w:r>
      <w:r>
        <w:rPr>
          <w:rFonts w:hint="eastAsia" w:ascii="宋体" w:hAnsi="宋体" w:eastAsia="宋体" w:cs="宋体"/>
          <w:sz w:val="24"/>
        </w:rPr>
        <w:t>的生态基流。</w:t>
      </w:r>
    </w:p>
    <w:p>
      <w:pPr>
        <w:pStyle w:val="7"/>
        <w:spacing w:before="12"/>
        <w:rPr>
          <w:sz w:val="21"/>
        </w:rPr>
      </w:pPr>
    </w:p>
    <w:p>
      <w:pPr>
        <w:pStyle w:val="20"/>
        <w:numPr>
          <w:ilvl w:val="2"/>
          <w:numId w:val="4"/>
        </w:numPr>
        <w:tabs>
          <w:tab w:val="left" w:pos="836"/>
        </w:tabs>
        <w:spacing w:before="0" w:after="0" w:line="240" w:lineRule="auto"/>
        <w:ind w:left="836" w:right="0" w:hanging="699"/>
        <w:jc w:val="left"/>
        <w:rPr>
          <w:rFonts w:hint="eastAsia" w:ascii="宋体" w:hAnsi="宋体" w:eastAsia="宋体" w:cs="宋体"/>
          <w:b/>
          <w:sz w:val="28"/>
          <w:highlight w:val="none"/>
        </w:rPr>
      </w:pPr>
      <w:bookmarkStart w:id="85" w:name="3.1.5公众参与"/>
      <w:bookmarkEnd w:id="85"/>
      <w:bookmarkStart w:id="86" w:name="3.1.5公众参与"/>
      <w:bookmarkEnd w:id="86"/>
      <w:r>
        <w:rPr>
          <w:rFonts w:hint="eastAsia" w:ascii="宋体" w:hAnsi="宋体" w:eastAsia="宋体" w:cs="宋体"/>
          <w:b/>
          <w:sz w:val="28"/>
          <w:highlight w:val="none"/>
        </w:rPr>
        <w:t>公众参与</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52" w:firstLineChars="200"/>
        <w:jc w:val="both"/>
        <w:textAlignment w:val="auto"/>
        <w:rPr>
          <w:rFonts w:hint="eastAsia" w:ascii="宋体" w:hAnsi="宋体" w:eastAsia="宋体" w:cs="宋体"/>
          <w:highlight w:val="none"/>
        </w:rPr>
      </w:pPr>
      <w:r>
        <w:rPr>
          <w:rFonts w:hint="eastAsia" w:ascii="宋体" w:hAnsi="宋体" w:eastAsia="宋体" w:cs="宋体"/>
          <w:spacing w:val="-7"/>
          <w:highlight w:val="none"/>
        </w:rPr>
        <w:t>对公众参与调查结果统计表明，本项目的建设得到了大多数影响区城公众的</w:t>
      </w:r>
      <w:r>
        <w:rPr>
          <w:rFonts w:hint="eastAsia" w:ascii="宋体" w:hAnsi="宋体" w:eastAsia="宋体" w:cs="宋体"/>
          <w:spacing w:val="-10"/>
          <w:highlight w:val="none"/>
        </w:rPr>
        <w:t>支持，评价区内群众对水库的建设带来的环境问题有一定认识，认为应采取各种</w:t>
      </w:r>
      <w:r>
        <w:rPr>
          <w:rFonts w:hint="eastAsia" w:ascii="宋体" w:hAnsi="宋体" w:eastAsia="宋体" w:cs="宋体"/>
          <w:spacing w:val="-11"/>
          <w:highlight w:val="none"/>
        </w:rPr>
        <w:t>措施，不减少占用耕地、毁坏森林，减轻噪声、废气、固体废物、废水等污染。</w:t>
      </w:r>
    </w:p>
    <w:p>
      <w:pPr>
        <w:pStyle w:val="20"/>
        <w:numPr>
          <w:ilvl w:val="2"/>
          <w:numId w:val="4"/>
        </w:numPr>
        <w:tabs>
          <w:tab w:val="left" w:pos="836"/>
        </w:tabs>
        <w:spacing w:before="120" w:after="0" w:line="240" w:lineRule="auto"/>
        <w:ind w:left="836" w:right="0" w:hanging="699"/>
        <w:jc w:val="left"/>
        <w:rPr>
          <w:rFonts w:hint="eastAsia" w:ascii="宋体" w:hAnsi="宋体" w:eastAsia="宋体" w:cs="宋体"/>
          <w:b/>
          <w:bCs w:val="0"/>
          <w:sz w:val="28"/>
        </w:rPr>
      </w:pPr>
      <w:bookmarkStart w:id="87" w:name="3.1.6总结论"/>
      <w:bookmarkEnd w:id="87"/>
      <w:bookmarkStart w:id="88" w:name="3.1.6总结论"/>
      <w:bookmarkEnd w:id="88"/>
      <w:r>
        <w:rPr>
          <w:rFonts w:hint="eastAsia" w:ascii="宋体" w:hAnsi="宋体" w:eastAsia="宋体" w:cs="宋体"/>
          <w:b/>
          <w:bCs w:val="0"/>
          <w:sz w:val="28"/>
        </w:rPr>
        <w:t>总结论</w:t>
      </w:r>
    </w:p>
    <w:p>
      <w:pPr>
        <w:pStyle w:val="7"/>
        <w:spacing w:before="11"/>
        <w:rPr>
          <w:rFonts w:hint="eastAsia" w:ascii="宋体" w:hAnsi="宋体" w:eastAsia="宋体" w:cs="宋体"/>
          <w:b/>
          <w:bCs w:val="0"/>
          <w:sz w:val="23"/>
        </w:rPr>
      </w:pPr>
    </w:p>
    <w:p>
      <w:pPr>
        <w:pStyle w:val="20"/>
        <w:numPr>
          <w:ilvl w:val="3"/>
          <w:numId w:val="4"/>
        </w:numPr>
        <w:tabs>
          <w:tab w:val="left" w:pos="1338"/>
        </w:tabs>
        <w:spacing w:before="0" w:after="0" w:line="240" w:lineRule="auto"/>
        <w:ind w:left="1337" w:right="0" w:hanging="721"/>
        <w:jc w:val="left"/>
        <w:rPr>
          <w:rFonts w:hint="eastAsia" w:ascii="宋体" w:hAnsi="宋体" w:eastAsia="宋体" w:cs="宋体"/>
          <w:b/>
          <w:bCs w:val="0"/>
          <w:sz w:val="24"/>
        </w:rPr>
      </w:pPr>
      <w:r>
        <w:rPr>
          <w:rFonts w:hint="eastAsia" w:ascii="宋体" w:hAnsi="宋体" w:eastAsia="宋体" w:cs="宋体"/>
          <w:b/>
          <w:bCs w:val="0"/>
          <w:sz w:val="24"/>
        </w:rPr>
        <w:t>主要有利影响</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rPr>
      </w:pP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崇义县上堡人形水电站装机容量500kw，年设计发电170万kw/h，年利用小时数</w:t>
      </w:r>
      <w:r>
        <w:rPr>
          <w:rFonts w:hint="eastAsia" w:ascii="Times New Roman" w:eastAsia="宋体" w:cs="Times New Roman"/>
          <w:caps w:val="0"/>
          <w:smallCaps w:val="0"/>
          <w:snapToGrid/>
          <w:spacing w:val="0"/>
          <w:w w:val="100"/>
          <w:kern w:val="2"/>
          <w:position w:val="0"/>
          <w:sz w:val="24"/>
          <w:szCs w:val="22"/>
          <w:lang w:val="en-US" w:eastAsia="zh-CN"/>
        </w:rPr>
        <w:t>3240</w:t>
      </w:r>
      <w:r>
        <w:rPr>
          <w:rFonts w:hint="eastAsia" w:ascii="Times New Roman" w:hAnsi="Times New Roman" w:eastAsia="宋体" w:cs="Times New Roman"/>
          <w:caps w:val="0"/>
          <w:smallCaps w:val="0"/>
          <w:snapToGrid/>
          <w:spacing w:val="0"/>
          <w:w w:val="100"/>
          <w:kern w:val="2"/>
          <w:position w:val="0"/>
          <w:sz w:val="24"/>
          <w:szCs w:val="22"/>
          <w:lang w:val="en-US" w:eastAsia="zh-CN"/>
        </w:rPr>
        <w:t>h</w:t>
      </w:r>
      <w:r>
        <w:rPr>
          <w:rFonts w:hint="eastAsia" w:ascii="宋体" w:hAnsi="宋体" w:eastAsia="宋体" w:cs="宋体"/>
          <w:spacing w:val="-8"/>
        </w:rPr>
        <w:t>，</w:t>
      </w:r>
      <w:r>
        <w:rPr>
          <w:rFonts w:hint="eastAsia" w:ascii="宋体" w:hAnsi="宋体" w:eastAsia="宋体" w:cs="宋体"/>
          <w:spacing w:val="-8"/>
          <w:lang w:eastAsia="zh-CN"/>
        </w:rPr>
        <w:t>本项目</w:t>
      </w:r>
      <w:r>
        <w:rPr>
          <w:rFonts w:hint="eastAsia" w:ascii="宋体" w:hAnsi="宋体" w:eastAsia="宋体" w:cs="宋体"/>
          <w:spacing w:val="-1"/>
        </w:rPr>
        <w:t>工程建成运行后，不仅给</w:t>
      </w:r>
      <w:r>
        <w:rPr>
          <w:rFonts w:hint="eastAsia" w:ascii="Times New Roman" w:eastAsia="宋体" w:cs="Times New Roman"/>
          <w:caps w:val="0"/>
          <w:smallCaps w:val="0"/>
          <w:snapToGrid/>
          <w:spacing w:val="0"/>
          <w:w w:val="100"/>
          <w:kern w:val="2"/>
          <w:position w:val="0"/>
          <w:sz w:val="24"/>
          <w:szCs w:val="22"/>
          <w:lang w:val="en-US" w:eastAsia="zh-CN"/>
        </w:rPr>
        <w:t>上堡</w:t>
      </w:r>
      <w:r>
        <w:rPr>
          <w:rFonts w:hint="eastAsia" w:ascii="宋体" w:hAnsi="宋体" w:eastAsia="宋体" w:cs="宋体"/>
          <w:spacing w:val="-1"/>
          <w:lang w:eastAsia="zh-CN"/>
        </w:rPr>
        <w:t>乡</w:t>
      </w:r>
      <w:r>
        <w:rPr>
          <w:rFonts w:hint="eastAsia" w:ascii="宋体" w:hAnsi="宋体" w:eastAsia="宋体" w:cs="宋体"/>
          <w:spacing w:val="-1"/>
        </w:rPr>
        <w:t>带来持续的财政税收， 对</w:t>
      </w:r>
      <w:r>
        <w:rPr>
          <w:rFonts w:hint="eastAsia" w:ascii="宋体" w:hAnsi="宋体" w:eastAsia="宋体" w:cs="宋体"/>
          <w:spacing w:val="-7"/>
        </w:rPr>
        <w:t>改普当地电力系统的供电质量，领解电力紧求的开盾也将起重要作用</w:t>
      </w:r>
      <w:r>
        <w:rPr>
          <w:rFonts w:hint="eastAsia" w:ascii="宋体" w:hAnsi="宋体" w:eastAsia="宋体" w:cs="宋体"/>
        </w:rPr>
        <w:t>。</w:t>
      </w:r>
    </w:p>
    <w:p>
      <w:pPr>
        <w:pStyle w:val="20"/>
        <w:numPr>
          <w:ilvl w:val="3"/>
          <w:numId w:val="4"/>
        </w:numPr>
        <w:tabs>
          <w:tab w:val="left" w:pos="1398"/>
        </w:tabs>
        <w:spacing w:before="161" w:after="0" w:line="240" w:lineRule="auto"/>
        <w:ind w:left="1397" w:right="0" w:hanging="781"/>
        <w:jc w:val="left"/>
        <w:rPr>
          <w:rFonts w:hint="eastAsia" w:ascii="宋体" w:hAnsi="宋体" w:eastAsia="宋体" w:cs="宋体"/>
          <w:b/>
          <w:bCs/>
          <w:sz w:val="24"/>
        </w:rPr>
      </w:pPr>
      <w:r>
        <w:rPr>
          <w:rFonts w:hint="eastAsia" w:ascii="宋体" w:hAnsi="宋体" w:eastAsia="宋体" w:cs="宋体"/>
          <w:b/>
          <w:bCs/>
          <w:sz w:val="24"/>
        </w:rPr>
        <w:t>主要不利影响</w:t>
      </w:r>
    </w:p>
    <w:p>
      <w:pPr>
        <w:pStyle w:val="7"/>
        <w:keepNext w:val="0"/>
        <w:keepLines w:val="0"/>
        <w:pageBreakBefore w:val="0"/>
        <w:widowControl w:val="0"/>
        <w:kinsoku/>
        <w:wordWrap/>
        <w:overflowPunct/>
        <w:topLinePunct w:val="0"/>
        <w:autoSpaceDE/>
        <w:autoSpaceDN/>
        <w:bidi w:val="0"/>
        <w:adjustRightInd/>
        <w:snapToGrid/>
        <w:spacing w:before="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color w:val="auto"/>
          <w:spacing w:val="0"/>
          <w:w w:val="100"/>
          <w:kern w:val="0"/>
          <w:position w:val="0"/>
          <w:lang w:val="en-US" w:bidi="ar-SA"/>
        </w:rPr>
        <w:t>经过调查，</w:t>
      </w:r>
      <w:r>
        <w:rPr>
          <w:rFonts w:hint="default" w:ascii="Times New Roman" w:hAnsi="Times New Roman" w:eastAsia="宋体" w:cs="Times New Roman"/>
          <w:caps w:val="0"/>
          <w:smallCaps w:val="0"/>
          <w:snapToGrid/>
          <w:spacing w:val="0"/>
          <w:w w:val="100"/>
          <w:kern w:val="2"/>
          <w:position w:val="0"/>
          <w:sz w:val="24"/>
          <w:szCs w:val="22"/>
          <w:lang w:val="en-US" w:eastAsia="zh-CN"/>
        </w:rPr>
        <w:t>本项目施工期已经结束，施工期的环境影响已经结束</w:t>
      </w:r>
      <w:r>
        <w:rPr>
          <w:rFonts w:hint="eastAsia" w:ascii="宋体" w:hAnsi="宋体" w:eastAsia="宋体" w:cs="宋体"/>
          <w:color w:val="auto"/>
          <w:spacing w:val="0"/>
          <w:w w:val="100"/>
          <w:kern w:val="0"/>
          <w:position w:val="0"/>
          <w:lang w:val="en-US" w:eastAsia="zh-CN" w:bidi="ar-SA"/>
        </w:rPr>
        <w:t>。</w:t>
      </w:r>
      <w:r>
        <w:rPr>
          <w:rFonts w:hint="default" w:ascii="Times New Roman" w:hAnsi="Times New Roman" w:eastAsia="宋体" w:cs="Times New Roman"/>
          <w:caps w:val="0"/>
          <w:smallCaps w:val="0"/>
          <w:snapToGrid/>
          <w:spacing w:val="0"/>
          <w:w w:val="100"/>
          <w:kern w:val="2"/>
          <w:position w:val="0"/>
          <w:sz w:val="24"/>
          <w:szCs w:val="22"/>
          <w:lang w:val="en-US" w:eastAsia="zh-CN"/>
        </w:rPr>
        <w:t>水电站运行期间可能产生的“三废”污染，主要是电站生产区运行管理及生产人员产生的生活污水、生活垃圾和发电设备运行中产生的机械噪声、拦污栅栏、发电机</w:t>
      </w:r>
      <w:r>
        <w:rPr>
          <w:rFonts w:hint="eastAsia" w:ascii="Times New Roman" w:hAnsi="Times New Roman" w:eastAsia="宋体" w:cs="Times New Roman"/>
          <w:caps w:val="0"/>
          <w:smallCaps w:val="0"/>
          <w:snapToGrid/>
          <w:spacing w:val="0"/>
          <w:w w:val="100"/>
          <w:kern w:val="2"/>
          <w:position w:val="0"/>
          <w:sz w:val="24"/>
          <w:szCs w:val="22"/>
          <w:lang w:val="en-US" w:eastAsia="zh-CN"/>
        </w:rPr>
        <w:t>检修</w:t>
      </w:r>
      <w:r>
        <w:rPr>
          <w:rFonts w:hint="default" w:ascii="Times New Roman" w:hAnsi="Times New Roman" w:eastAsia="宋体" w:cs="Times New Roman"/>
          <w:caps w:val="0"/>
          <w:smallCaps w:val="0"/>
          <w:snapToGrid/>
          <w:spacing w:val="0"/>
          <w:w w:val="100"/>
          <w:kern w:val="2"/>
          <w:position w:val="0"/>
          <w:sz w:val="24"/>
          <w:szCs w:val="22"/>
          <w:lang w:val="en-US" w:eastAsia="zh-CN"/>
        </w:rPr>
        <w:t>产生的废</w:t>
      </w:r>
      <w:r>
        <w:rPr>
          <w:rFonts w:hint="eastAsia" w:ascii="Times New Roman" w:hAnsi="Times New Roman" w:eastAsia="宋体" w:cs="Times New Roman"/>
          <w:caps w:val="0"/>
          <w:smallCaps w:val="0"/>
          <w:snapToGrid/>
          <w:spacing w:val="0"/>
          <w:w w:val="100"/>
          <w:kern w:val="2"/>
          <w:position w:val="0"/>
          <w:sz w:val="24"/>
          <w:szCs w:val="22"/>
          <w:lang w:val="en-US" w:eastAsia="zh-CN"/>
        </w:rPr>
        <w:t>机油等</w:t>
      </w:r>
      <w:r>
        <w:rPr>
          <w:rFonts w:hint="default" w:ascii="Times New Roman" w:hAnsi="Times New Roman" w:eastAsia="宋体" w:cs="Times New Roman"/>
          <w:caps w:val="0"/>
          <w:smallCaps w:val="0"/>
          <w:snapToGrid/>
          <w:spacing w:val="0"/>
          <w:w w:val="100"/>
          <w:kern w:val="2"/>
          <w:position w:val="0"/>
          <w:sz w:val="24"/>
          <w:szCs w:val="22"/>
          <w:lang w:val="en-US" w:eastAsia="zh-CN"/>
        </w:rPr>
        <w:t>。这些“三废”影响经相应的环保措施控制后，对周边环境影响不明显</w:t>
      </w:r>
      <w:r>
        <w:rPr>
          <w:rFonts w:hint="eastAsia" w:ascii="宋体" w:hAnsi="宋体" w:eastAsia="宋体" w:cs="宋体"/>
          <w:color w:val="auto"/>
          <w:spacing w:val="0"/>
          <w:w w:val="100"/>
          <w:kern w:val="0"/>
          <w:position w:val="0"/>
          <w:lang w:val="en-US" w:bidi="ar-SA"/>
        </w:rPr>
        <w:t>。</w:t>
      </w:r>
    </w:p>
    <w:p>
      <w:pPr>
        <w:pStyle w:val="7"/>
        <w:keepNext w:val="0"/>
        <w:keepLines w:val="0"/>
        <w:pageBreakBefore w:val="0"/>
        <w:widowControl w:val="0"/>
        <w:kinsoku/>
        <w:wordWrap/>
        <w:overflowPunct/>
        <w:topLinePunct w:val="0"/>
        <w:bidi w:val="0"/>
        <w:adjustRightInd/>
        <w:snapToGrid/>
        <w:spacing w:before="0" w:line="360" w:lineRule="auto"/>
        <w:ind w:left="0" w:right="0" w:firstLine="444" w:firstLineChars="200"/>
        <w:jc w:val="left"/>
        <w:textAlignment w:val="auto"/>
        <w:rPr>
          <w:rFonts w:hint="eastAsia" w:ascii="宋体" w:hAnsi="宋体" w:eastAsia="宋体" w:cs="宋体"/>
        </w:rPr>
      </w:pPr>
      <w:r>
        <w:rPr>
          <w:rFonts w:hint="eastAsia" w:ascii="宋体" w:hAnsi="宋体" w:eastAsia="宋体" w:cs="宋体"/>
          <w:spacing w:val="-9"/>
        </w:rPr>
        <w:t>综上所述，</w:t>
      </w:r>
      <w:r>
        <w:rPr>
          <w:rFonts w:hint="eastAsia" w:ascii="Times New Roman" w:hAnsi="Times New Roman" w:eastAsia="宋体" w:cs="Times New Roman"/>
          <w:caps w:val="0"/>
          <w:smallCaps w:val="0"/>
          <w:snapToGrid/>
          <w:spacing w:val="0"/>
          <w:w w:val="100"/>
          <w:kern w:val="2"/>
          <w:position w:val="0"/>
          <w:sz w:val="24"/>
          <w:szCs w:val="22"/>
          <w:lang w:val="en-US" w:eastAsia="zh-CN"/>
        </w:rPr>
        <w:t>本项目</w:t>
      </w:r>
      <w:r>
        <w:rPr>
          <w:rFonts w:hint="eastAsia" w:ascii="宋体" w:hAnsi="宋体" w:eastAsia="宋体" w:cs="宋体"/>
          <w:spacing w:val="-9"/>
        </w:rPr>
        <w:t>工程选址合理，建设方案可行。工程建设对生态与环</w:t>
      </w:r>
      <w:r>
        <w:rPr>
          <w:rFonts w:hint="eastAsia" w:ascii="宋体" w:hAnsi="宋体" w:eastAsia="宋体" w:cs="宋体"/>
          <w:spacing w:val="-13"/>
        </w:rPr>
        <w:t>境的影响有利有弊，从整体分析，有利影响大于不利影响，除水库淹没土地资源永久性影响外，工程施工等不利影响大多可以采取防治和改善措施予以减免。从</w:t>
      </w:r>
      <w:r>
        <w:rPr>
          <w:rFonts w:hint="eastAsia" w:ascii="宋体" w:hAnsi="宋体" w:eastAsia="宋体" w:cs="宋体"/>
          <w:spacing w:val="-15"/>
        </w:rPr>
        <w:t>环境保护角度来看，不存在工程建设的制约性环境影响。建设单位应充分保证环</w:t>
      </w:r>
      <w:r>
        <w:rPr>
          <w:rFonts w:hint="eastAsia" w:ascii="宋体" w:hAnsi="宋体" w:eastAsia="宋体" w:cs="宋体"/>
          <w:spacing w:val="-18"/>
        </w:rPr>
        <w:t>保投资，切实落实本评价报告所提出的各项环保措施和对策，减免各种不利影响。</w:t>
      </w:r>
      <w:r>
        <w:rPr>
          <w:rFonts w:hint="eastAsia" w:ascii="宋体" w:hAnsi="宋体" w:eastAsia="宋体" w:cs="宋体"/>
        </w:rPr>
        <w:t>从环保角度考虑，本项目是可行的。</w:t>
      </w:r>
    </w:p>
    <w:p>
      <w:pPr>
        <w:pStyle w:val="20"/>
        <w:numPr>
          <w:ilvl w:val="2"/>
          <w:numId w:val="4"/>
        </w:numPr>
        <w:tabs>
          <w:tab w:val="left" w:pos="836"/>
        </w:tabs>
        <w:spacing w:before="117" w:after="0" w:line="240" w:lineRule="auto"/>
        <w:ind w:left="836" w:right="0" w:hanging="699"/>
        <w:jc w:val="left"/>
        <w:rPr>
          <w:rFonts w:hint="eastAsia" w:ascii="宋体" w:hAnsi="宋体" w:eastAsia="宋体" w:cs="宋体"/>
          <w:b/>
          <w:sz w:val="28"/>
        </w:rPr>
      </w:pPr>
      <w:bookmarkStart w:id="89" w:name="3.1.7建议"/>
      <w:bookmarkEnd w:id="89"/>
      <w:bookmarkStart w:id="90" w:name="3.1.7建议"/>
      <w:bookmarkEnd w:id="90"/>
      <w:r>
        <w:rPr>
          <w:rFonts w:hint="eastAsia" w:ascii="宋体" w:hAnsi="宋体" w:eastAsia="宋体" w:cs="宋体"/>
          <w:b/>
          <w:sz w:val="28"/>
        </w:rPr>
        <w:t>建议</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lang w:val="en-US" w:bidi="ar-SA"/>
        </w:rPr>
      </w:pPr>
      <w:r>
        <w:rPr>
          <w:rFonts w:hint="eastAsia" w:ascii="宋体" w:hAnsi="宋体" w:eastAsia="宋体" w:cs="宋体"/>
          <w:color w:val="auto"/>
          <w:spacing w:val="0"/>
          <w:w w:val="100"/>
          <w:kern w:val="0"/>
          <w:position w:val="0"/>
          <w:lang w:val="en-US" w:bidi="ar-SA"/>
        </w:rPr>
        <w:t>（1）对存有问题的环保措施进行整改；</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lang w:val="en-US" w:bidi="ar-SA"/>
        </w:rPr>
      </w:pPr>
      <w:r>
        <w:rPr>
          <w:rFonts w:hint="eastAsia" w:ascii="宋体" w:hAnsi="宋体" w:eastAsia="宋体" w:cs="宋体"/>
          <w:color w:val="auto"/>
          <w:spacing w:val="0"/>
          <w:w w:val="100"/>
          <w:kern w:val="0"/>
          <w:position w:val="0"/>
          <w:lang w:val="en-US" w:bidi="ar-SA"/>
        </w:rPr>
        <w:t>（2）严格遵循“三同时”制度，并落实相应费用，确保各项环保措施的实施；</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lang w:val="en-US" w:bidi="ar-SA"/>
        </w:rPr>
      </w:pPr>
      <w:r>
        <w:rPr>
          <w:rFonts w:hint="eastAsia" w:ascii="宋体" w:hAnsi="宋体" w:eastAsia="宋体" w:cs="宋体"/>
          <w:color w:val="auto"/>
          <w:spacing w:val="0"/>
          <w:w w:val="100"/>
          <w:kern w:val="0"/>
          <w:position w:val="0"/>
          <w:lang w:val="en-US" w:bidi="ar-SA"/>
        </w:rPr>
        <w:t>（3）根据“三同时”原则，落实鱼类增殖， 并开展相关鱼类研究和监测、调查工作，切实保护鱼类资源；</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lang w:val="en-US" w:eastAsia="zh-CN" w:bidi="ar-SA"/>
        </w:rPr>
      </w:pPr>
      <w:r>
        <w:rPr>
          <w:rFonts w:hint="eastAsia" w:ascii="宋体" w:hAnsi="宋体" w:eastAsia="宋体" w:cs="宋体"/>
          <w:color w:val="auto"/>
          <w:spacing w:val="0"/>
          <w:w w:val="100"/>
          <w:kern w:val="0"/>
          <w:position w:val="0"/>
          <w:lang w:val="en-US" w:bidi="ar-SA"/>
        </w:rPr>
        <w:t>（4）工程运行期需高度重视环境保护工作，加强环境管理，落实环境监测。</w:t>
      </w:r>
    </w:p>
    <w:p>
      <w:pPr>
        <w:pStyle w:val="4"/>
        <w:ind w:left="137" w:firstLine="0"/>
        <w:rPr>
          <w:highlight w:val="none"/>
        </w:rPr>
      </w:pPr>
      <w:r>
        <w:rPr>
          <w:rFonts w:ascii="Arial" w:eastAsia="Arial"/>
        </w:rPr>
        <w:t>3.2</w:t>
      </w:r>
      <w:bookmarkStart w:id="91" w:name="3.2环境影响报告书审批意见"/>
      <w:bookmarkEnd w:id="91"/>
      <w:r>
        <w:rPr>
          <w:rFonts w:ascii="Arial" w:eastAsia="Arial"/>
          <w:spacing w:val="68"/>
        </w:rPr>
        <w:t xml:space="preserve"> </w:t>
      </w:r>
      <w:r>
        <w:rPr>
          <w:rFonts w:hint="eastAsia" w:ascii="宋体" w:hAnsi="宋体" w:eastAsia="宋体" w:cs="宋体"/>
          <w:highlight w:val="none"/>
        </w:rPr>
        <w:t>环境影响报告书审批意见</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ascii="宋体" w:hAnsi="宋体" w:eastAsia="宋体" w:cs="宋体"/>
        </w:rPr>
      </w:pPr>
      <w:r>
        <w:rPr>
          <w:rFonts w:hint="eastAsia" w:ascii="宋体" w:hAnsi="宋体" w:eastAsia="宋体" w:cs="宋体"/>
        </w:rPr>
        <w:t>根据项目的环评批复，意见如下：</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hAnsi="宋体" w:eastAsia="宋体" w:cs="宋体"/>
          <w:b w:val="0"/>
          <w:bCs w:val="0"/>
          <w:sz w:val="24"/>
          <w:szCs w:val="22"/>
          <w:highlight w:val="none"/>
          <w:lang w:eastAsia="zh-CN"/>
        </w:rPr>
        <w:t>一</w:t>
      </w:r>
      <w:r>
        <w:rPr>
          <w:rFonts w:hint="eastAsia" w:ascii="宋体" w:hAnsi="宋体" w:eastAsia="宋体" w:cs="宋体"/>
          <w:b w:val="0"/>
          <w:bCs w:val="0"/>
          <w:sz w:val="24"/>
          <w:szCs w:val="22"/>
          <w:highlight w:val="none"/>
        </w:rPr>
        <w:t>、根据《报告书》的结论，在落实环评报告提出的各项环保措施的前提下，同意你单位崇义县上堡人形水电站工程项目按《报告书》和批复中提出的建设性质、地点、规模、采用的生产工艺和环境保护对策措施进行建设。</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二、崇义县上堡人形水电站工程项目位于江西省赣州市崇义县上堡乡正井村，电站取水水源为古亭水上堡河支流均源河，拦河坝中心地理位置坐标为东经</w:t>
      </w:r>
      <w:r>
        <w:rPr>
          <w:rFonts w:hint="default" w:ascii="Times New Roman" w:hAnsi="Times New Roman" w:eastAsia="宋体" w:cs="Times New Roman"/>
          <w:b w:val="0"/>
          <w:bCs w:val="0"/>
          <w:sz w:val="24"/>
          <w:szCs w:val="22"/>
          <w:highlight w:val="none"/>
        </w:rPr>
        <w:t>113</w:t>
      </w:r>
      <w:r>
        <w:rPr>
          <w:rFonts w:hint="default" w:ascii="Times New Roman" w:hAnsi="Times New Roman" w:eastAsia="宋体" w:cs="Times New Roman"/>
          <w:b w:val="0"/>
          <w:bCs w:val="0"/>
          <w:sz w:val="24"/>
          <w:szCs w:val="22"/>
          <w:highlight w:val="none"/>
          <w:lang w:val="en-US" w:eastAsia="zh-CN"/>
        </w:rPr>
        <w:t>°</w:t>
      </w:r>
      <w:r>
        <w:rPr>
          <w:rFonts w:hint="default" w:ascii="Times New Roman" w:hAnsi="Times New Roman" w:eastAsia="宋体" w:cs="Times New Roman"/>
          <w:b w:val="0"/>
          <w:bCs w:val="0"/>
          <w:sz w:val="24"/>
          <w:szCs w:val="22"/>
          <w:highlight w:val="none"/>
        </w:rPr>
        <w:t>57</w:t>
      </w:r>
      <w:r>
        <w:rPr>
          <w:rFonts w:hint="default" w:ascii="Times New Roman" w:hAnsi="Times New Roman" w:eastAsia="宋体" w:cs="Times New Roman"/>
          <w:b w:val="0"/>
          <w:bCs w:val="0"/>
          <w:sz w:val="24"/>
          <w:szCs w:val="22"/>
          <w:highlight w:val="none"/>
          <w:lang w:eastAsia="zh-CN"/>
        </w:rPr>
        <w:t>′</w:t>
      </w:r>
      <w:r>
        <w:rPr>
          <w:rFonts w:hint="default" w:ascii="Times New Roman" w:hAnsi="Times New Roman" w:eastAsia="宋体" w:cs="Times New Roman"/>
          <w:b w:val="0"/>
          <w:bCs w:val="0"/>
          <w:sz w:val="24"/>
          <w:szCs w:val="22"/>
          <w:highlight w:val="none"/>
        </w:rPr>
        <w:t>06.48</w:t>
      </w:r>
      <w:r>
        <w:rPr>
          <w:rFonts w:hint="default" w:ascii="Times New Roman" w:hAnsi="Times New Roman" w:eastAsia="宋体" w:cs="Times New Roman"/>
          <w:b w:val="0"/>
          <w:bCs w:val="0"/>
          <w:sz w:val="24"/>
          <w:szCs w:val="22"/>
          <w:highlight w:val="none"/>
          <w:lang w:eastAsia="zh-CN"/>
        </w:rPr>
        <w:t>″</w:t>
      </w:r>
      <w:r>
        <w:rPr>
          <w:rFonts w:hint="eastAsia" w:ascii="宋体" w:hAnsi="宋体" w:eastAsia="宋体" w:cs="宋体"/>
          <w:b w:val="0"/>
          <w:bCs w:val="0"/>
          <w:sz w:val="24"/>
          <w:szCs w:val="22"/>
          <w:highlight w:val="none"/>
        </w:rPr>
        <w:t>，北纬</w:t>
      </w:r>
      <w:r>
        <w:rPr>
          <w:rFonts w:hint="default" w:ascii="Times New Roman" w:hAnsi="Times New Roman" w:eastAsia="宋体" w:cs="Times New Roman"/>
          <w:b w:val="0"/>
          <w:bCs w:val="0"/>
          <w:sz w:val="24"/>
          <w:szCs w:val="22"/>
          <w:highlight w:val="none"/>
        </w:rPr>
        <w:t>25</w:t>
      </w:r>
      <w:r>
        <w:rPr>
          <w:rFonts w:hint="default" w:ascii="Times New Roman" w:hAnsi="Times New Roman" w:eastAsia="宋体" w:cs="Times New Roman"/>
          <w:b w:val="0"/>
          <w:bCs w:val="0"/>
          <w:sz w:val="24"/>
          <w:szCs w:val="22"/>
          <w:highlight w:val="none"/>
          <w:lang w:val="en-US" w:eastAsia="zh-CN"/>
        </w:rPr>
        <w:t>°</w:t>
      </w:r>
      <w:r>
        <w:rPr>
          <w:rFonts w:hint="eastAsia" w:ascii="Times New Roman" w:hAnsi="Times New Roman" w:eastAsia="宋体" w:cs="Times New Roman"/>
          <w:b w:val="0"/>
          <w:bCs w:val="0"/>
          <w:sz w:val="24"/>
          <w:szCs w:val="22"/>
          <w:highlight w:val="none"/>
          <w:lang w:val="en-US" w:eastAsia="zh-CN"/>
        </w:rPr>
        <w:t xml:space="preserve"> </w:t>
      </w:r>
      <w:r>
        <w:rPr>
          <w:rFonts w:hint="default" w:ascii="Times New Roman" w:hAnsi="Times New Roman" w:eastAsia="宋体" w:cs="Times New Roman"/>
          <w:b w:val="0"/>
          <w:bCs w:val="0"/>
          <w:sz w:val="24"/>
          <w:szCs w:val="22"/>
          <w:highlight w:val="none"/>
        </w:rPr>
        <w:t>43</w:t>
      </w:r>
      <w:r>
        <w:rPr>
          <w:rFonts w:hint="default" w:ascii="Times New Roman" w:hAnsi="Times New Roman" w:eastAsia="宋体" w:cs="Times New Roman"/>
          <w:b w:val="0"/>
          <w:bCs w:val="0"/>
          <w:sz w:val="24"/>
          <w:szCs w:val="22"/>
          <w:highlight w:val="none"/>
          <w:lang w:eastAsia="zh-CN"/>
        </w:rPr>
        <w:t>′</w:t>
      </w:r>
      <w:r>
        <w:rPr>
          <w:rFonts w:hint="default" w:ascii="Times New Roman" w:hAnsi="Times New Roman" w:eastAsia="宋体" w:cs="Times New Roman"/>
          <w:b w:val="0"/>
          <w:bCs w:val="0"/>
          <w:sz w:val="24"/>
          <w:szCs w:val="22"/>
          <w:highlight w:val="none"/>
        </w:rPr>
        <w:t>09.69</w:t>
      </w:r>
      <w:r>
        <w:rPr>
          <w:rFonts w:hint="default" w:ascii="Times New Roman" w:hAnsi="Times New Roman" w:eastAsia="宋体" w:cs="Times New Roman"/>
          <w:b w:val="0"/>
          <w:bCs w:val="0"/>
          <w:sz w:val="24"/>
          <w:szCs w:val="22"/>
          <w:highlight w:val="none"/>
          <w:lang w:eastAsia="zh-CN"/>
        </w:rPr>
        <w:t>″</w:t>
      </w:r>
      <w:r>
        <w:rPr>
          <w:rFonts w:hint="eastAsia" w:ascii="宋体" w:hAnsi="宋体" w:eastAsia="宋体" w:cs="宋体"/>
          <w:b w:val="0"/>
          <w:bCs w:val="0"/>
          <w:sz w:val="24"/>
          <w:szCs w:val="22"/>
          <w:highlight w:val="none"/>
        </w:rPr>
        <w:t>，电站厂房中心地理位置坐标为东经</w:t>
      </w:r>
      <w:r>
        <w:rPr>
          <w:rFonts w:hint="default" w:ascii="Times New Roman" w:hAnsi="Times New Roman" w:eastAsia="宋体" w:cs="Times New Roman"/>
          <w:b w:val="0"/>
          <w:bCs w:val="0"/>
          <w:sz w:val="24"/>
          <w:szCs w:val="22"/>
          <w:highlight w:val="none"/>
        </w:rPr>
        <w:t>113</w:t>
      </w:r>
      <w:r>
        <w:rPr>
          <w:rFonts w:hint="default" w:ascii="Times New Roman" w:hAnsi="Times New Roman" w:eastAsia="宋体" w:cs="Times New Roman"/>
          <w:b w:val="0"/>
          <w:bCs w:val="0"/>
          <w:sz w:val="24"/>
          <w:szCs w:val="22"/>
          <w:highlight w:val="none"/>
          <w:lang w:val="en-US" w:eastAsia="zh-CN"/>
        </w:rPr>
        <w:t>°</w:t>
      </w:r>
      <w:r>
        <w:rPr>
          <w:rFonts w:hint="default" w:ascii="Times New Roman" w:hAnsi="Times New Roman" w:eastAsia="宋体" w:cs="Times New Roman"/>
          <w:b w:val="0"/>
          <w:bCs w:val="0"/>
          <w:sz w:val="24"/>
          <w:szCs w:val="22"/>
          <w:highlight w:val="none"/>
        </w:rPr>
        <w:t>57</w:t>
      </w:r>
      <w:r>
        <w:rPr>
          <w:rFonts w:hint="default" w:ascii="Times New Roman" w:hAnsi="Times New Roman" w:eastAsia="宋体" w:cs="Times New Roman"/>
          <w:b w:val="0"/>
          <w:bCs w:val="0"/>
          <w:sz w:val="24"/>
          <w:szCs w:val="22"/>
          <w:highlight w:val="none"/>
          <w:lang w:eastAsia="zh-CN"/>
        </w:rPr>
        <w:t>′</w:t>
      </w:r>
      <w:r>
        <w:rPr>
          <w:rFonts w:hint="default" w:ascii="Times New Roman" w:hAnsi="Times New Roman" w:eastAsia="宋体" w:cs="Times New Roman"/>
          <w:b w:val="0"/>
          <w:bCs w:val="0"/>
          <w:sz w:val="24"/>
          <w:szCs w:val="22"/>
          <w:highlight w:val="none"/>
        </w:rPr>
        <w:t>48.02</w:t>
      </w:r>
      <w:r>
        <w:rPr>
          <w:rFonts w:hint="default" w:ascii="Times New Roman" w:hAnsi="Times New Roman" w:eastAsia="宋体" w:cs="Times New Roman"/>
          <w:b w:val="0"/>
          <w:bCs w:val="0"/>
          <w:sz w:val="24"/>
          <w:szCs w:val="22"/>
          <w:highlight w:val="none"/>
          <w:lang w:eastAsia="zh-CN"/>
        </w:rPr>
        <w:t>″</w:t>
      </w:r>
      <w:r>
        <w:rPr>
          <w:rFonts w:hint="eastAsia" w:ascii="宋体" w:hAnsi="宋体" w:eastAsia="宋体" w:cs="宋体"/>
          <w:b w:val="0"/>
          <w:bCs w:val="0"/>
          <w:sz w:val="24"/>
          <w:szCs w:val="22"/>
          <w:highlight w:val="none"/>
        </w:rPr>
        <w:t>，北纬</w:t>
      </w:r>
      <w:r>
        <w:rPr>
          <w:rFonts w:hint="default" w:ascii="Times New Roman" w:hAnsi="Times New Roman" w:eastAsia="宋体" w:cs="Times New Roman"/>
          <w:b w:val="0"/>
          <w:bCs w:val="0"/>
          <w:sz w:val="24"/>
          <w:szCs w:val="22"/>
          <w:highlight w:val="none"/>
        </w:rPr>
        <w:t>25</w:t>
      </w:r>
      <w:r>
        <w:rPr>
          <w:rFonts w:hint="default" w:ascii="Times New Roman" w:hAnsi="Times New Roman" w:eastAsia="宋体" w:cs="Times New Roman"/>
          <w:b w:val="0"/>
          <w:bCs w:val="0"/>
          <w:sz w:val="24"/>
          <w:szCs w:val="22"/>
          <w:highlight w:val="none"/>
          <w:lang w:val="en-US" w:eastAsia="zh-CN"/>
        </w:rPr>
        <w:t>°</w:t>
      </w:r>
      <w:r>
        <w:rPr>
          <w:rFonts w:hint="default" w:ascii="Times New Roman" w:hAnsi="Times New Roman" w:eastAsia="宋体" w:cs="Times New Roman"/>
          <w:b w:val="0"/>
          <w:bCs w:val="0"/>
          <w:sz w:val="24"/>
          <w:szCs w:val="22"/>
          <w:highlight w:val="none"/>
        </w:rPr>
        <w:t>43</w:t>
      </w:r>
      <w:r>
        <w:rPr>
          <w:rFonts w:hint="default" w:ascii="Times New Roman" w:hAnsi="Times New Roman" w:eastAsia="宋体" w:cs="Times New Roman"/>
          <w:b w:val="0"/>
          <w:bCs w:val="0"/>
          <w:sz w:val="24"/>
          <w:szCs w:val="22"/>
          <w:highlight w:val="none"/>
          <w:lang w:eastAsia="zh-CN"/>
        </w:rPr>
        <w:t>′</w:t>
      </w:r>
      <w:r>
        <w:rPr>
          <w:rFonts w:hint="default" w:ascii="Times New Roman" w:hAnsi="Times New Roman" w:eastAsia="宋体" w:cs="Times New Roman"/>
          <w:b w:val="0"/>
          <w:bCs w:val="0"/>
          <w:sz w:val="24"/>
          <w:szCs w:val="22"/>
          <w:highlight w:val="none"/>
        </w:rPr>
        <w:t>58.01</w:t>
      </w:r>
      <w:r>
        <w:rPr>
          <w:rFonts w:hint="default" w:ascii="Times New Roman" w:hAnsi="Times New Roman" w:eastAsia="宋体" w:cs="Times New Roman"/>
          <w:b w:val="0"/>
          <w:bCs w:val="0"/>
          <w:sz w:val="24"/>
          <w:szCs w:val="22"/>
          <w:highlight w:val="none"/>
          <w:lang w:eastAsia="zh-CN"/>
        </w:rPr>
        <w:t>″</w:t>
      </w:r>
      <w:r>
        <w:rPr>
          <w:rFonts w:hint="eastAsia" w:ascii="宋体" w:hAnsi="宋体" w:eastAsia="宋体" w:cs="宋体"/>
          <w:b w:val="0"/>
          <w:bCs w:val="0"/>
          <w:sz w:val="24"/>
          <w:szCs w:val="22"/>
          <w:highlight w:val="none"/>
        </w:rPr>
        <w:t>. 电站有</w:t>
      </w:r>
      <w:r>
        <w:rPr>
          <w:rFonts w:hint="default" w:ascii="Times New Roman" w:hAnsi="Times New Roman" w:eastAsia="宋体" w:cs="Times New Roman"/>
          <w:b w:val="0"/>
          <w:bCs w:val="0"/>
          <w:sz w:val="24"/>
          <w:szCs w:val="22"/>
          <w:highlight w:val="none"/>
        </w:rPr>
        <w:t>2</w:t>
      </w:r>
      <w:r>
        <w:rPr>
          <w:rFonts w:hint="eastAsia" w:ascii="宋体" w:hAnsi="宋体" w:eastAsia="宋体" w:cs="宋体"/>
          <w:b w:val="0"/>
          <w:bCs w:val="0"/>
          <w:sz w:val="24"/>
          <w:szCs w:val="22"/>
          <w:highlight w:val="none"/>
        </w:rPr>
        <w:t>合发电机，总装机容量</w:t>
      </w:r>
      <w:r>
        <w:rPr>
          <w:rFonts w:hint="eastAsia" w:ascii="Times New Roman" w:hAnsi="Times New Roman" w:eastAsia="宋体" w:cs="Times New Roman"/>
          <w:b w:val="0"/>
          <w:bCs w:val="0"/>
          <w:sz w:val="24"/>
          <w:szCs w:val="22"/>
          <w:highlight w:val="none"/>
        </w:rPr>
        <w:t>500Kw</w:t>
      </w:r>
      <w:r>
        <w:rPr>
          <w:rFonts w:hint="eastAsia" w:ascii="宋体" w:hAnsi="宋体" w:eastAsia="宋体" w:cs="宋体"/>
          <w:b w:val="0"/>
          <w:bCs w:val="0"/>
          <w:sz w:val="24"/>
          <w:szCs w:val="22"/>
          <w:highlight w:val="none"/>
        </w:rPr>
        <w:t>，设计发电量为</w:t>
      </w:r>
      <w:r>
        <w:rPr>
          <w:rFonts w:hint="eastAsia" w:ascii="Times New Roman" w:hAnsi="Times New Roman" w:eastAsia="宋体" w:cs="Times New Roman"/>
          <w:b w:val="0"/>
          <w:bCs w:val="0"/>
          <w:sz w:val="24"/>
          <w:szCs w:val="22"/>
          <w:highlight w:val="none"/>
        </w:rPr>
        <w:t>170</w:t>
      </w:r>
      <w:r>
        <w:rPr>
          <w:rFonts w:hint="eastAsia" w:ascii="宋体" w:hAnsi="宋体" w:eastAsia="宋体" w:cs="宋体"/>
          <w:b w:val="0"/>
          <w:bCs w:val="0"/>
          <w:sz w:val="24"/>
          <w:szCs w:val="22"/>
          <w:highlight w:val="none"/>
        </w:rPr>
        <w:t>万</w:t>
      </w:r>
      <w:r>
        <w:rPr>
          <w:rFonts w:hint="eastAsia" w:ascii="Times New Roman" w:hAnsi="Times New Roman" w:eastAsia="宋体" w:cs="Times New Roman"/>
          <w:b w:val="0"/>
          <w:bCs w:val="0"/>
          <w:sz w:val="24"/>
          <w:szCs w:val="22"/>
          <w:highlight w:val="none"/>
        </w:rPr>
        <w:t>kw.h</w:t>
      </w:r>
      <w:r>
        <w:rPr>
          <w:rFonts w:hint="eastAsia" w:ascii="宋体" w:hAnsi="宋体" w:eastAsia="宋体" w:cs="宋体"/>
          <w:b w:val="0"/>
          <w:bCs w:val="0"/>
          <w:sz w:val="24"/>
          <w:szCs w:val="22"/>
          <w:highlight w:val="none"/>
        </w:rPr>
        <w:t>,多年平均发电量</w:t>
      </w:r>
      <w:r>
        <w:rPr>
          <w:rFonts w:hint="eastAsia" w:ascii="Times New Roman" w:hAnsi="Times New Roman" w:eastAsia="宋体" w:cs="Times New Roman"/>
          <w:b w:val="0"/>
          <w:bCs w:val="0"/>
          <w:sz w:val="24"/>
          <w:szCs w:val="22"/>
          <w:highlight w:val="none"/>
        </w:rPr>
        <w:t>162</w:t>
      </w:r>
      <w:r>
        <w:rPr>
          <w:rFonts w:hint="eastAsia" w:ascii="宋体" w:hAnsi="宋体" w:eastAsia="宋体" w:cs="宋体"/>
          <w:b w:val="0"/>
          <w:bCs w:val="0"/>
          <w:sz w:val="24"/>
          <w:szCs w:val="22"/>
          <w:highlight w:val="none"/>
        </w:rPr>
        <w:t>万</w:t>
      </w:r>
      <w:r>
        <w:rPr>
          <w:rFonts w:hint="eastAsia" w:ascii="Times New Roman" w:hAnsi="Times New Roman" w:eastAsia="宋体" w:cs="Times New Roman"/>
          <w:b w:val="0"/>
          <w:bCs w:val="0"/>
          <w:sz w:val="24"/>
          <w:szCs w:val="22"/>
          <w:highlight w:val="none"/>
        </w:rPr>
        <w:t>kw.h</w:t>
      </w:r>
      <w:r>
        <w:rPr>
          <w:rFonts w:hint="eastAsia" w:ascii="宋体" w:hAnsi="宋体" w:eastAsia="宋体" w:cs="宋体"/>
          <w:b w:val="0"/>
          <w:bCs w:val="0"/>
          <w:sz w:val="24"/>
          <w:szCs w:val="22"/>
          <w:highlight w:val="none"/>
        </w:rPr>
        <w:t>.项目主要包括拦河坝、引水渠道、引水隧洞、压力前池、压力钢管、发电厂房升压站和输电线路及附属住房等。项目总投资</w:t>
      </w:r>
      <w:r>
        <w:rPr>
          <w:rFonts w:hint="eastAsia" w:ascii="Times New Roman" w:hAnsi="Times New Roman" w:eastAsia="宋体" w:cs="Times New Roman"/>
          <w:b w:val="0"/>
          <w:bCs w:val="0"/>
          <w:sz w:val="24"/>
          <w:szCs w:val="22"/>
          <w:highlight w:val="none"/>
        </w:rPr>
        <w:t>252</w:t>
      </w:r>
      <w:r>
        <w:rPr>
          <w:rFonts w:hint="eastAsia" w:ascii="宋体" w:hAnsi="宋体" w:eastAsia="宋体" w:cs="宋体"/>
          <w:b w:val="0"/>
          <w:bCs w:val="0"/>
          <w:sz w:val="24"/>
          <w:szCs w:val="22"/>
          <w:highlight w:val="none"/>
        </w:rPr>
        <w:t>万元，其中环保投资</w:t>
      </w:r>
      <w:r>
        <w:rPr>
          <w:rFonts w:hint="eastAsia" w:ascii="Times New Roman" w:hAnsi="Times New Roman" w:eastAsia="宋体" w:cs="Times New Roman"/>
          <w:b w:val="0"/>
          <w:bCs w:val="0"/>
          <w:sz w:val="24"/>
          <w:szCs w:val="22"/>
          <w:highlight w:val="none"/>
        </w:rPr>
        <w:t>15.7</w:t>
      </w:r>
      <w:r>
        <w:rPr>
          <w:rFonts w:hint="eastAsia" w:ascii="宋体" w:hAnsi="宋体" w:eastAsia="宋体" w:cs="宋体"/>
          <w:b w:val="0"/>
          <w:bCs w:val="0"/>
          <w:sz w:val="24"/>
          <w:szCs w:val="22"/>
          <w:highlight w:val="none"/>
        </w:rPr>
        <w:t>万元，环保投资占总投资的</w:t>
      </w:r>
      <w:r>
        <w:rPr>
          <w:rFonts w:hint="eastAsia" w:ascii="Times New Roman" w:hAnsi="Times New Roman" w:eastAsia="宋体" w:cs="Times New Roman"/>
          <w:b w:val="0"/>
          <w:bCs w:val="0"/>
          <w:sz w:val="24"/>
          <w:szCs w:val="22"/>
          <w:highlight w:val="none"/>
        </w:rPr>
        <w:t>6. 23%</w:t>
      </w:r>
      <w:r>
        <w:rPr>
          <w:rFonts w:hint="eastAsia" w:ascii="宋体" w:hAnsi="宋体" w:eastAsia="宋体" w:cs="宋体"/>
          <w:b w:val="0"/>
          <w:bCs w:val="0"/>
          <w:sz w:val="24"/>
          <w:szCs w:val="22"/>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三、项目建设必须严格执行“配套的环境保护设施与主体工程同时设计、同时施工、同时投入使用”的环境保护“三同时”制度，环保投资必须专款专用。</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四、项目在设计、建设和运行过程中必须认真落实《报告书》中提出的各项环保措施和要求，并重点做好以下工作:</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(一)废水污染防治</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项目运营期废水主要为生活污水。</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项目须按“雨污分流、清污分流”原则设计、建设分流制集排水系统。本项目生活污水废水经化粪池处理后用于农田施肥，不外排。</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(二)噪声污染防治</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本项目运营期噪声主要为发电机房产生的机械噪声和水流噪声。</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项目采取基础减振、厂房隔声、为工作人员配备耳塞等防噪、降噪措施。</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(三)大气污染防治</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本项目大气污染物主要为职工食堂油烟废气。</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项目安装油烟机进行收集处理后经专用烟道楼顶排放。</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(四)固体废物处置</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本项目产生的固体废物主要有生活垃圾、格栅拦截垃圾以及设备维护检修产生的废机油、含油抹布等。</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项目需建危废暂存间，设备检修维护产生的废机油统一收集后委托有资质单位处置;含油抹布混入生活垃圾，与生活垃圾及格栅拦截垃圾一同由当地环卫部门收集后处置。</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(五)生态</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项目建设过程中要注意保护周边环境，避免对周围生态、动植物造成重大破坏。电站须按要求安装下泄最小流量设施，保证下泄10%的年平均流量(</w:t>
      </w:r>
      <w:r>
        <w:rPr>
          <w:rFonts w:hint="default" w:ascii="Times New Roman" w:hAnsi="Times New Roman" w:eastAsia="宋体" w:cs="Times New Roman"/>
          <w:b w:val="0"/>
          <w:bCs w:val="0"/>
          <w:sz w:val="24"/>
          <w:szCs w:val="22"/>
          <w:highlight w:val="none"/>
        </w:rPr>
        <w:t>0. 025m</w:t>
      </w:r>
      <w:r>
        <w:rPr>
          <w:rFonts w:hint="default" w:ascii="Times New Roman" w:hAnsi="Times New Roman" w:eastAsia="宋体" w:cs="Times New Roman"/>
          <w:b w:val="0"/>
          <w:bCs w:val="0"/>
          <w:sz w:val="24"/>
          <w:szCs w:val="22"/>
          <w:highlight w:val="none"/>
          <w:vertAlign w:val="superscript"/>
        </w:rPr>
        <w:t>3</w:t>
      </w:r>
      <w:r>
        <w:rPr>
          <w:rFonts w:hint="default" w:ascii="Times New Roman" w:hAnsi="Times New Roman" w:eastAsia="宋体" w:cs="Times New Roman"/>
          <w:b w:val="0"/>
          <w:bCs w:val="0"/>
          <w:sz w:val="24"/>
          <w:szCs w:val="22"/>
          <w:highlight w:val="none"/>
        </w:rPr>
        <w:t>/</w:t>
      </w:r>
      <w:r>
        <w:rPr>
          <w:rFonts w:hint="default" w:ascii="Times New Roman" w:hAnsi="Times New Roman" w:eastAsia="宋体" w:cs="Times New Roman"/>
          <w:b w:val="0"/>
          <w:bCs w:val="0"/>
          <w:sz w:val="24"/>
          <w:szCs w:val="22"/>
          <w:highlight w:val="none"/>
          <w:lang w:val="en-US" w:eastAsia="zh-CN"/>
        </w:rPr>
        <w:t>s</w:t>
      </w:r>
      <w:r>
        <w:rPr>
          <w:rFonts w:hint="eastAsia" w:ascii="宋体" w:hAnsi="宋体" w:eastAsia="宋体" w:cs="宋体"/>
          <w:b w:val="0"/>
          <w:bCs w:val="0"/>
          <w:sz w:val="24"/>
          <w:szCs w:val="22"/>
          <w:highlight w:val="none"/>
        </w:rPr>
        <w:t>)以满足下游最小生态用水，严禁坝址至电站厂房之间发生脱水现象，同时拦河坝需设置排沙:底孔并定期排放水库底部堆积泥砂。本工程对陆域地面需采取土地平整、覆土回填、种植草皮等切实可行的水土保持措施，对大坝两岸开挖边坡进行加固护衬，防止水土流失，避免山体滑坡。引水式电站须按要求设置动物通道，</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(六)环境风险防范</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项目建设单位须加强环境风险管理,杜绝环境风险事故的发生。一旦出现环境风险事故，必须立即停产，及时采取措施，确保环境安全。</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eastAsia" w:ascii="宋体" w:hAnsi="宋体" w:eastAsia="宋体" w:cs="宋体"/>
          <w:b w:val="0"/>
          <w:bCs w:val="0"/>
          <w:sz w:val="24"/>
          <w:szCs w:val="22"/>
          <w:highlight w:val="none"/>
        </w:rPr>
      </w:pPr>
      <w:r>
        <w:rPr>
          <w:rFonts w:hint="eastAsia" w:hAnsi="宋体" w:eastAsia="宋体" w:cs="宋体"/>
          <w:b w:val="0"/>
          <w:bCs w:val="0"/>
          <w:sz w:val="24"/>
          <w:szCs w:val="22"/>
          <w:highlight w:val="none"/>
          <w:lang w:eastAsia="zh-CN"/>
        </w:rPr>
        <w:t>（七）</w:t>
      </w:r>
      <w:r>
        <w:rPr>
          <w:rFonts w:hint="eastAsia" w:ascii="宋体" w:hAnsi="宋体" w:eastAsia="宋体" w:cs="宋体"/>
          <w:b w:val="0"/>
          <w:bCs w:val="0"/>
          <w:sz w:val="24"/>
          <w:szCs w:val="22"/>
          <w:highlight w:val="none"/>
        </w:rPr>
        <w:t>积极推行清洁生产</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使用先进的工艺与设备，从源头上减少各类污染物的产生，禁止采用淘汰落后的设备和工艺，项目须按要求规范设置各类排污口和标识。</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(八)健全环保机构和制度</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建立健全环保组织机构,加强污染治理设施的管理、维护及运行情况的监测，确保其处理能力和处理效率能够满足污染物长期稳定达标排放要求。严禁擅自闲置、停用环保治理设施。</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(九)环境信息公开</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项目须严格落实《报告书》中提出的环境监测计划，对周围大气、地表水等定期开展监测，若项目废水、废气超标排放或环境质量恶化，应立即停产治理。同时须按要求做好企业环境信息公开工作，接受社会监督。</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五、项目执行排放标准种排放总量要求</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1.废水:项目生活污水结预处理后作为农肥使用，执行《农田灌溉水质标准》(</w:t>
      </w:r>
      <w:r>
        <w:rPr>
          <w:rFonts w:hint="default" w:ascii="Times New Roman" w:hAnsi="Times New Roman" w:eastAsia="宋体" w:cs="Times New Roman"/>
          <w:b w:val="0"/>
          <w:bCs w:val="0"/>
          <w:sz w:val="24"/>
          <w:szCs w:val="22"/>
          <w:highlight w:val="none"/>
        </w:rPr>
        <w:t>GB5084-2005</w:t>
      </w:r>
      <w:r>
        <w:rPr>
          <w:rFonts w:hint="eastAsia" w:ascii="宋体" w:hAnsi="宋体" w:eastAsia="宋体" w:cs="宋体"/>
          <w:b w:val="0"/>
          <w:bCs w:val="0"/>
          <w:sz w:val="24"/>
          <w:szCs w:val="22"/>
          <w:highlight w:val="none"/>
        </w:rPr>
        <w:t>)表</w:t>
      </w:r>
      <w:r>
        <w:rPr>
          <w:rFonts w:hint="eastAsia" w:ascii="Times New Roman" w:hAnsi="Times New Roman" w:eastAsia="宋体" w:cs="Times New Roman"/>
          <w:b w:val="0"/>
          <w:bCs w:val="0"/>
          <w:sz w:val="24"/>
          <w:szCs w:val="22"/>
          <w:highlight w:val="none"/>
        </w:rPr>
        <w:t>1</w:t>
      </w:r>
      <w:r>
        <w:rPr>
          <w:rFonts w:hint="eastAsia" w:ascii="宋体" w:hAnsi="宋体" w:eastAsia="宋体" w:cs="宋体"/>
          <w:b w:val="0"/>
          <w:bCs w:val="0"/>
          <w:sz w:val="24"/>
          <w:szCs w:val="22"/>
          <w:highlight w:val="none"/>
        </w:rPr>
        <w:t>中旱作标准，不外排。</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2.噪声:施工期噪声排放执行《建筑施工场界环境噪声排放标准》(</w:t>
      </w:r>
      <w:r>
        <w:rPr>
          <w:rFonts w:hint="eastAsia" w:ascii="Times New Roman" w:hAnsi="Times New Roman" w:eastAsia="宋体" w:cs="Times New Roman"/>
          <w:b w:val="0"/>
          <w:bCs w:val="0"/>
          <w:sz w:val="24"/>
          <w:szCs w:val="22"/>
          <w:highlight w:val="none"/>
        </w:rPr>
        <w:t>GB12523</w:t>
      </w:r>
      <w:r>
        <w:rPr>
          <w:rFonts w:hint="eastAsia" w:ascii="Times New Roman" w:hAnsi="Times New Roman" w:eastAsia="宋体" w:cs="Times New Roman"/>
          <w:b w:val="0"/>
          <w:bCs w:val="0"/>
          <w:sz w:val="24"/>
          <w:szCs w:val="22"/>
          <w:highlight w:val="none"/>
          <w:lang w:eastAsia="zh-CN"/>
        </w:rPr>
        <w:t>—</w:t>
      </w:r>
      <w:r>
        <w:rPr>
          <w:rFonts w:hint="eastAsia" w:ascii="Times New Roman" w:hAnsi="Times New Roman" w:eastAsia="宋体" w:cs="Times New Roman"/>
          <w:b w:val="0"/>
          <w:bCs w:val="0"/>
          <w:sz w:val="24"/>
          <w:szCs w:val="22"/>
          <w:highlight w:val="none"/>
        </w:rPr>
        <w:t>2011</w:t>
      </w:r>
      <w:r>
        <w:rPr>
          <w:rFonts w:hint="eastAsia" w:ascii="宋体" w:hAnsi="宋体" w:eastAsia="宋体" w:cs="宋体"/>
          <w:b w:val="0"/>
          <w:bCs w:val="0"/>
          <w:sz w:val="24"/>
          <w:szCs w:val="22"/>
          <w:highlight w:val="none"/>
        </w:rPr>
        <w:t>)相关标准</w:t>
      </w:r>
      <w:r>
        <w:rPr>
          <w:rFonts w:hint="eastAsia" w:hAnsi="宋体" w:eastAsia="宋体" w:cs="宋体"/>
          <w:b w:val="0"/>
          <w:bCs w:val="0"/>
          <w:sz w:val="24"/>
          <w:szCs w:val="22"/>
          <w:highlight w:val="none"/>
          <w:lang w:eastAsia="zh-CN"/>
        </w:rPr>
        <w:t>；</w:t>
      </w:r>
      <w:r>
        <w:rPr>
          <w:rFonts w:hint="eastAsia" w:ascii="宋体" w:hAnsi="宋体" w:eastAsia="宋体" w:cs="宋体"/>
          <w:b w:val="0"/>
          <w:bCs w:val="0"/>
          <w:sz w:val="24"/>
          <w:szCs w:val="22"/>
          <w:highlight w:val="none"/>
        </w:rPr>
        <w:t>营运期厂界噪声执行《工业企业厂界环境噪声排放标准》(</w:t>
      </w:r>
      <w:r>
        <w:rPr>
          <w:rFonts w:hint="eastAsia" w:ascii="Times New Roman" w:hAnsi="Times New Roman" w:eastAsia="宋体" w:cs="Times New Roman"/>
          <w:b w:val="0"/>
          <w:bCs w:val="0"/>
          <w:sz w:val="24"/>
          <w:szCs w:val="22"/>
          <w:highlight w:val="none"/>
        </w:rPr>
        <w:t xml:space="preserve"> GB12348</w:t>
      </w:r>
      <w:r>
        <w:rPr>
          <w:rFonts w:hint="eastAsia" w:ascii="Times New Roman" w:hAnsi="Times New Roman" w:eastAsia="宋体" w:cs="Times New Roman"/>
          <w:b w:val="0"/>
          <w:bCs w:val="0"/>
          <w:sz w:val="24"/>
          <w:szCs w:val="22"/>
          <w:highlight w:val="none"/>
          <w:lang w:eastAsia="zh-CN"/>
        </w:rPr>
        <w:t>—</w:t>
      </w:r>
      <w:r>
        <w:rPr>
          <w:rFonts w:hint="eastAsia" w:ascii="Times New Roman" w:hAnsi="Times New Roman" w:eastAsia="宋体" w:cs="Times New Roman"/>
          <w:b w:val="0"/>
          <w:bCs w:val="0"/>
          <w:sz w:val="24"/>
          <w:szCs w:val="22"/>
          <w:highlight w:val="none"/>
        </w:rPr>
        <w:t>2008</w:t>
      </w:r>
      <w:r>
        <w:rPr>
          <w:rFonts w:hint="eastAsia" w:ascii="宋体" w:hAnsi="宋体" w:eastAsia="宋体" w:cs="宋体"/>
          <w:b w:val="0"/>
          <w:bCs w:val="0"/>
          <w:sz w:val="24"/>
          <w:szCs w:val="22"/>
          <w:highlight w:val="none"/>
        </w:rPr>
        <w:t>)中的</w:t>
      </w:r>
      <w:r>
        <w:rPr>
          <w:rFonts w:hint="eastAsia" w:ascii="Times New Roman" w:hAnsi="Times New Roman" w:eastAsia="宋体" w:cs="Times New Roman"/>
          <w:b w:val="0"/>
          <w:bCs w:val="0"/>
          <w:sz w:val="24"/>
          <w:szCs w:val="22"/>
          <w:highlight w:val="none"/>
        </w:rPr>
        <w:t>2</w:t>
      </w:r>
      <w:r>
        <w:rPr>
          <w:rFonts w:hint="eastAsia" w:ascii="宋体" w:hAnsi="宋体" w:eastAsia="宋体" w:cs="宋体"/>
          <w:b w:val="0"/>
          <w:bCs w:val="0"/>
          <w:sz w:val="24"/>
          <w:szCs w:val="22"/>
          <w:highlight w:val="none"/>
        </w:rPr>
        <w:t>类标准。</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3.废气:项目食堂油烟参照执行《饮食业油烟排放标准》(试行) (</w:t>
      </w:r>
      <w:r>
        <w:rPr>
          <w:rFonts w:hint="eastAsia" w:ascii="Times New Roman" w:hAnsi="Times New Roman" w:eastAsia="宋体" w:cs="Times New Roman"/>
          <w:b w:val="0"/>
          <w:bCs w:val="0"/>
          <w:sz w:val="24"/>
          <w:szCs w:val="22"/>
          <w:highlight w:val="none"/>
        </w:rPr>
        <w:t>GB18483-2001</w:t>
      </w:r>
      <w:r>
        <w:rPr>
          <w:rFonts w:hint="eastAsia" w:ascii="宋体" w:hAnsi="宋体" w:eastAsia="宋体" w:cs="宋体"/>
          <w:b w:val="0"/>
          <w:bCs w:val="0"/>
          <w:sz w:val="24"/>
          <w:szCs w:val="22"/>
          <w:highlight w:val="none"/>
        </w:rPr>
        <w:t>) 中的小型标准。</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4.固体废物:一般固体废弃物处理及处置执行《一般工业固体废物贮存、处置场污染控制标准》(</w:t>
      </w:r>
      <w:r>
        <w:rPr>
          <w:rFonts w:hint="eastAsia" w:ascii="Times New Roman" w:hAnsi="Times New Roman" w:eastAsia="宋体" w:cs="Times New Roman"/>
          <w:b w:val="0"/>
          <w:bCs w:val="0"/>
          <w:sz w:val="24"/>
          <w:szCs w:val="22"/>
          <w:highlight w:val="none"/>
        </w:rPr>
        <w:t xml:space="preserve"> G</w:t>
      </w:r>
      <w:r>
        <w:rPr>
          <w:rFonts w:hint="default" w:ascii="Times New Roman" w:hAnsi="Times New Roman" w:eastAsia="宋体" w:cs="Times New Roman"/>
          <w:b w:val="0"/>
          <w:bCs w:val="0"/>
          <w:sz w:val="24"/>
          <w:szCs w:val="22"/>
          <w:highlight w:val="none"/>
        </w:rPr>
        <w:t xml:space="preserve">B18599 </w:t>
      </w:r>
      <w:r>
        <w:rPr>
          <w:rFonts w:hint="default" w:ascii="Times New Roman" w:hAnsi="Times New Roman" w:eastAsia="宋体" w:cs="Times New Roman"/>
          <w:b w:val="0"/>
          <w:bCs w:val="0"/>
          <w:sz w:val="24"/>
          <w:szCs w:val="22"/>
          <w:highlight w:val="none"/>
          <w:lang w:eastAsia="zh-CN"/>
        </w:rPr>
        <w:t>—</w:t>
      </w:r>
      <w:r>
        <w:rPr>
          <w:rFonts w:hint="default" w:ascii="Times New Roman" w:hAnsi="Times New Roman" w:eastAsia="宋体" w:cs="Times New Roman"/>
          <w:b w:val="0"/>
          <w:bCs w:val="0"/>
          <w:sz w:val="24"/>
          <w:szCs w:val="22"/>
          <w:highlight w:val="none"/>
        </w:rPr>
        <w:t>2001</w:t>
      </w:r>
      <w:r>
        <w:rPr>
          <w:rFonts w:hint="eastAsia" w:ascii="宋体" w:hAnsi="宋体" w:eastAsia="宋体" w:cs="宋体"/>
          <w:b w:val="0"/>
          <w:bCs w:val="0"/>
          <w:sz w:val="24"/>
          <w:szCs w:val="22"/>
          <w:highlight w:val="none"/>
        </w:rPr>
        <w:t xml:space="preserve"> )及</w:t>
      </w:r>
      <w:r>
        <w:rPr>
          <w:rFonts w:hint="eastAsia" w:ascii="Times New Roman" w:hAnsi="Times New Roman" w:eastAsia="宋体" w:cs="Times New Roman"/>
          <w:b w:val="0"/>
          <w:bCs w:val="0"/>
          <w:sz w:val="24"/>
          <w:szCs w:val="22"/>
          <w:highlight w:val="none"/>
        </w:rPr>
        <w:t>2013</w:t>
      </w:r>
      <w:r>
        <w:rPr>
          <w:rFonts w:hint="eastAsia" w:ascii="宋体" w:hAnsi="宋体" w:eastAsia="宋体" w:cs="宋体"/>
          <w:b w:val="0"/>
          <w:bCs w:val="0"/>
          <w:sz w:val="24"/>
          <w:szCs w:val="22"/>
          <w:highlight w:val="none"/>
        </w:rPr>
        <w:t>修改单要求</w:t>
      </w:r>
      <w:r>
        <w:rPr>
          <w:rFonts w:hint="eastAsia" w:hAnsi="宋体" w:eastAsia="宋体" w:cs="宋体"/>
          <w:b w:val="0"/>
          <w:bCs w:val="0"/>
          <w:sz w:val="24"/>
          <w:szCs w:val="22"/>
          <w:highlight w:val="none"/>
          <w:lang w:eastAsia="zh-CN"/>
        </w:rPr>
        <w:t>；</w:t>
      </w:r>
      <w:r>
        <w:rPr>
          <w:rFonts w:hint="eastAsia" w:ascii="宋体" w:hAnsi="宋体" w:eastAsia="宋体" w:cs="宋体"/>
          <w:b w:val="0"/>
          <w:bCs w:val="0"/>
          <w:sz w:val="24"/>
          <w:szCs w:val="22"/>
          <w:highlight w:val="none"/>
        </w:rPr>
        <w:t>危险废物执行《危险废物贮存污染控制标准》(</w:t>
      </w:r>
      <w:r>
        <w:rPr>
          <w:rFonts w:hint="eastAsia" w:ascii="Times New Roman" w:hAnsi="Times New Roman" w:eastAsia="宋体" w:cs="Times New Roman"/>
          <w:b w:val="0"/>
          <w:bCs w:val="0"/>
          <w:sz w:val="24"/>
          <w:szCs w:val="22"/>
          <w:highlight w:val="none"/>
        </w:rPr>
        <w:t>GB18597-2001</w:t>
      </w:r>
      <w:r>
        <w:rPr>
          <w:rFonts w:hint="eastAsia" w:ascii="宋体" w:hAnsi="宋体" w:eastAsia="宋体" w:cs="宋体"/>
          <w:b w:val="0"/>
          <w:bCs w:val="0"/>
          <w:sz w:val="24"/>
          <w:szCs w:val="22"/>
          <w:highlight w:val="none"/>
        </w:rPr>
        <w:t>)及</w:t>
      </w:r>
      <w:r>
        <w:rPr>
          <w:rFonts w:hint="eastAsia" w:ascii="Times New Roman" w:hAnsi="Times New Roman" w:eastAsia="宋体" w:cs="Times New Roman"/>
          <w:b w:val="0"/>
          <w:bCs w:val="0"/>
          <w:sz w:val="24"/>
          <w:szCs w:val="22"/>
          <w:highlight w:val="none"/>
        </w:rPr>
        <w:t>2013</w:t>
      </w:r>
      <w:r>
        <w:rPr>
          <w:rFonts w:hint="eastAsia" w:ascii="宋体" w:hAnsi="宋体" w:eastAsia="宋体" w:cs="宋体"/>
          <w:b w:val="0"/>
          <w:bCs w:val="0"/>
          <w:sz w:val="24"/>
          <w:szCs w:val="22"/>
          <w:highlight w:val="none"/>
        </w:rPr>
        <w:t>年修改单要求。</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六、项目建成后，你单位应当按照规定标准和程序，对配套建设的环境保护设施自行验收，在检收过程中应当如实查验、监测、记载建设项目环保设施的建设和调试情况，不得弄虚作假，验收合格后方可正式投入生产。同时，除按照国家规定需要保密的情形外，应当依法向社会公开验收报告。</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七以上批复仅限于《崇义县上堡人形水电站工程项目环境影响报告书》确定的内容，若建设项目性质、规模、地点、采用的生产工艺、防治污染的措施发生重大变化或自批复之日起超过5年方开工建设，必须向县生态环境局重新申请办理环境保护审批手续。</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firstLine="480" w:firstLineChars="200"/>
        <w:textAlignment w:val="auto"/>
        <w:rPr>
          <w:rFonts w:hint="eastAsia" w:ascii="宋体" w:hAnsi="宋体" w:eastAsia="宋体" w:cs="宋体"/>
          <w:b w:val="0"/>
          <w:bCs w:val="0"/>
          <w:sz w:val="24"/>
          <w:szCs w:val="22"/>
          <w:highlight w:val="none"/>
        </w:rPr>
      </w:pPr>
      <w:r>
        <w:rPr>
          <w:rFonts w:hint="eastAsia" w:ascii="宋体" w:hAnsi="宋体" w:eastAsia="宋体" w:cs="宋体"/>
          <w:b w:val="0"/>
          <w:bCs w:val="0"/>
          <w:sz w:val="24"/>
          <w:szCs w:val="22"/>
          <w:highlight w:val="none"/>
        </w:rPr>
        <w:t>八对已批复的各项环境保护事项必须认真执行,并接受生态环境部门的监督，如有违反，将依法追究法律责任。</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eastAsia" w:ascii="宋体" w:hAnsi="宋体" w:eastAsia="宋体" w:cs="宋体"/>
          <w:b w:val="0"/>
          <w:bCs w:val="0"/>
          <w:sz w:val="24"/>
          <w:szCs w:val="22"/>
          <w:highlight w:val="none"/>
        </w:rPr>
        <w:sectPr>
          <w:footerReference r:id="rId7" w:type="default"/>
          <w:pgSz w:w="11910" w:h="16840"/>
          <w:pgMar w:top="1380" w:right="560" w:bottom="1180" w:left="1660" w:header="0" w:footer="991" w:gutter="0"/>
          <w:pgBorders>
            <w:top w:val="none" w:sz="0" w:space="0"/>
            <w:left w:val="none" w:sz="0" w:space="0"/>
            <w:bottom w:val="none" w:sz="0" w:space="0"/>
            <w:right w:val="none" w:sz="0" w:space="0"/>
          </w:pgBorders>
          <w:pgNumType w:fmt="decimal"/>
        </w:sectPr>
      </w:pPr>
      <w:r>
        <w:rPr>
          <w:rFonts w:hint="eastAsia" w:ascii="宋体" w:hAnsi="宋体" w:eastAsia="宋体" w:cs="宋体"/>
          <w:b w:val="0"/>
          <w:bCs w:val="0"/>
          <w:sz w:val="24"/>
          <w:szCs w:val="22"/>
          <w:highlight w:val="none"/>
        </w:rPr>
        <w:t>九、请赣州市崇义生态环境综合执法大队实施对项目建设的日常监督管理工作。。</w:t>
      </w:r>
    </w:p>
    <w:p>
      <w:pPr>
        <w:pStyle w:val="3"/>
        <w:numPr>
          <w:ilvl w:val="0"/>
          <w:numId w:val="4"/>
        </w:numPr>
        <w:tabs>
          <w:tab w:val="left" w:pos="498"/>
        </w:tabs>
        <w:spacing w:before="83" w:after="0" w:line="240" w:lineRule="auto"/>
        <w:ind w:left="497" w:right="0" w:hanging="361"/>
        <w:jc w:val="left"/>
        <w:rPr>
          <w:rFonts w:hint="eastAsia" w:ascii="宋体" w:hAnsi="宋体" w:eastAsia="宋体" w:cs="宋体"/>
        </w:rPr>
      </w:pPr>
      <w:bookmarkStart w:id="92" w:name="_bookmark16"/>
      <w:bookmarkEnd w:id="92"/>
      <w:bookmarkStart w:id="93" w:name="_bookmark16"/>
      <w:bookmarkEnd w:id="93"/>
      <w:bookmarkStart w:id="94" w:name="4环境保护措施落实情况调查"/>
      <w:bookmarkEnd w:id="94"/>
      <w:r>
        <w:rPr>
          <w:rFonts w:hint="eastAsia" w:ascii="宋体" w:hAnsi="宋体" w:eastAsia="宋体" w:cs="宋体"/>
        </w:rPr>
        <w:t>环境保护措施落实情况调查</w:t>
      </w:r>
    </w:p>
    <w:p>
      <w:pPr>
        <w:pStyle w:val="4"/>
        <w:numPr>
          <w:ilvl w:val="1"/>
          <w:numId w:val="4"/>
        </w:numPr>
        <w:tabs>
          <w:tab w:val="left" w:pos="740"/>
        </w:tabs>
        <w:spacing w:before="0" w:after="0" w:line="240" w:lineRule="auto"/>
        <w:ind w:left="740" w:right="0" w:hanging="603"/>
        <w:jc w:val="left"/>
        <w:rPr>
          <w:rFonts w:hint="eastAsia" w:ascii="宋体" w:hAnsi="宋体" w:eastAsia="宋体" w:cs="宋体"/>
        </w:rPr>
      </w:pPr>
      <w:bookmarkStart w:id="95" w:name="_bookmark17"/>
      <w:bookmarkEnd w:id="95"/>
      <w:bookmarkStart w:id="96" w:name="_bookmark17"/>
      <w:bookmarkEnd w:id="96"/>
      <w:bookmarkStart w:id="97" w:name="4.1环保措施落实情况"/>
      <w:bookmarkEnd w:id="97"/>
      <w:r>
        <w:rPr>
          <w:rFonts w:hint="eastAsia" w:ascii="宋体" w:hAnsi="宋体" w:eastAsia="宋体" w:cs="宋体"/>
        </w:rPr>
        <w:t>环保措施落实情况</w:t>
      </w:r>
    </w:p>
    <w:p>
      <w:pPr>
        <w:pStyle w:val="20"/>
        <w:numPr>
          <w:ilvl w:val="2"/>
          <w:numId w:val="4"/>
        </w:numPr>
        <w:tabs>
          <w:tab w:val="left" w:pos="836"/>
        </w:tabs>
        <w:spacing w:before="244" w:after="0" w:line="240" w:lineRule="auto"/>
        <w:ind w:left="836" w:right="0" w:hanging="699"/>
        <w:jc w:val="left"/>
        <w:rPr>
          <w:rFonts w:hint="eastAsia" w:ascii="宋体" w:hAnsi="宋体" w:eastAsia="宋体" w:cs="宋体"/>
          <w:b/>
          <w:sz w:val="28"/>
        </w:rPr>
      </w:pPr>
      <w:bookmarkStart w:id="98" w:name="4.1.1施工期环保措施"/>
      <w:bookmarkEnd w:id="98"/>
      <w:bookmarkStart w:id="99" w:name="4.1.1施工期环保措施"/>
      <w:bookmarkEnd w:id="99"/>
      <w:r>
        <w:rPr>
          <w:rFonts w:hint="eastAsia" w:ascii="宋体" w:hAnsi="宋体" w:eastAsia="宋体" w:cs="宋体"/>
          <w:b/>
          <w:sz w:val="28"/>
        </w:rPr>
        <w:t>施工期环保措施</w:t>
      </w:r>
    </w:p>
    <w:p>
      <w:pPr>
        <w:pStyle w:val="7"/>
        <w:spacing w:before="11"/>
        <w:rPr>
          <w:rFonts w:hint="eastAsia" w:ascii="宋体" w:hAnsi="宋体" w:eastAsia="宋体" w:cs="宋体"/>
          <w:b/>
          <w:sz w:val="23"/>
        </w:rPr>
      </w:pPr>
    </w:p>
    <w:p>
      <w:pPr>
        <w:pStyle w:val="20"/>
        <w:numPr>
          <w:ilvl w:val="3"/>
          <w:numId w:val="4"/>
        </w:numPr>
        <w:tabs>
          <w:tab w:val="left" w:pos="990"/>
        </w:tabs>
        <w:spacing w:before="0" w:after="0" w:line="240" w:lineRule="auto"/>
        <w:ind w:left="989" w:right="0" w:hanging="853"/>
        <w:jc w:val="left"/>
        <w:rPr>
          <w:rFonts w:hint="eastAsia" w:ascii="宋体" w:hAnsi="宋体" w:eastAsia="宋体" w:cs="宋体"/>
          <w:b/>
          <w:sz w:val="24"/>
        </w:rPr>
      </w:pPr>
      <w:bookmarkStart w:id="100" w:name="4.1.1.1施工期开挖采取的环境保护措施"/>
      <w:bookmarkEnd w:id="100"/>
      <w:bookmarkStart w:id="101" w:name="4.1.1.1施工期开挖采取的环境保护措施"/>
      <w:bookmarkEnd w:id="101"/>
      <w:r>
        <w:rPr>
          <w:rFonts w:hint="eastAsia" w:ascii="宋体" w:hAnsi="宋体" w:eastAsia="宋体" w:cs="宋体"/>
          <w:b/>
          <w:sz w:val="24"/>
          <w:lang w:eastAsia="zh-CN"/>
        </w:rPr>
        <w:t>生态环境</w:t>
      </w:r>
      <w:r>
        <w:rPr>
          <w:rFonts w:hint="eastAsia" w:ascii="宋体" w:hAnsi="宋体" w:eastAsia="宋体" w:cs="宋体"/>
          <w:b/>
          <w:sz w:val="24"/>
        </w:rPr>
        <w:t>保护措施</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在施工期间对施工人员进行了施工区生态保护的宣传教育，并以公告、宣传标语等形式教育施工人员，通过制度化严禁施工人员非法滥砍滥伐林木，减轻了施工对当地陆生动植物的影响。弃渣场周围设置了挡渣墙、截水沟和排水沟，避免了流失造成水质污染和影响鱼类栖息环境。</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同时建设单位施工期间对工程的水土保持工作比较重视，在建设中为了确保水土保持工程的质量，将水土保持工程纳入主体工程的管理程序中，严格执行了项目建设监理制度。建设单位对工程建设质量进行监督检查，并检查了施工单位及质保体系运行情况。建设过程中未造成较大的水土流失危害。</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总体而言，施工期间基本落实了必要的生态环境保护措施。</w:t>
      </w:r>
    </w:p>
    <w:p>
      <w:pPr>
        <w:pStyle w:val="20"/>
        <w:numPr>
          <w:ilvl w:val="3"/>
          <w:numId w:val="4"/>
        </w:numPr>
        <w:tabs>
          <w:tab w:val="left" w:pos="990"/>
        </w:tabs>
        <w:spacing w:before="0" w:after="0" w:line="240" w:lineRule="auto"/>
        <w:ind w:left="989" w:right="0" w:hanging="853"/>
        <w:jc w:val="left"/>
        <w:rPr>
          <w:rFonts w:hint="eastAsia" w:ascii="宋体" w:hAnsi="宋体" w:eastAsia="宋体" w:cs="宋体"/>
          <w:b/>
          <w:sz w:val="24"/>
        </w:rPr>
      </w:pPr>
      <w:bookmarkStart w:id="102" w:name="4.1.1.2施工期的水污染防治措施"/>
      <w:bookmarkEnd w:id="102"/>
      <w:bookmarkStart w:id="103" w:name="4.1.1.2施工期的水污染防治措施"/>
      <w:bookmarkEnd w:id="103"/>
      <w:r>
        <w:rPr>
          <w:rFonts w:hint="eastAsia" w:ascii="宋体" w:hAnsi="宋体" w:eastAsia="宋体" w:cs="宋体"/>
          <w:b/>
          <w:sz w:val="24"/>
        </w:rPr>
        <w:t>施工期的水污染防治措施</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施工期生产废水主要是基坑废水、生产废水和施工人员生活污水，废水经处理后回用于生产、周边区域绿化及降尘等综合利用，并未排入水体。其中：施工期间产生的基坑废水采用沉淀法进行处理；施工期生产废水主要产生于砂石料冲洗、混凝土搅拌、机械修配以及汽车修理等，主要污染物为泥沙、悬浮物、油类，采用自然沉淀处理方法；施工期修建了防渗旱厕，用堆肥方式处理施工人员的生活废水，堆肥用做电站周围绿化肥料。</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总体而言，施工期水环境保护措施基本合理，施工期间未发生水污染事件。</w:t>
      </w:r>
    </w:p>
    <w:p>
      <w:pPr>
        <w:pStyle w:val="20"/>
        <w:numPr>
          <w:ilvl w:val="3"/>
          <w:numId w:val="4"/>
        </w:numPr>
        <w:tabs>
          <w:tab w:val="left" w:pos="990"/>
        </w:tabs>
        <w:spacing w:before="125" w:after="0" w:line="240" w:lineRule="auto"/>
        <w:ind w:left="989" w:right="0" w:hanging="853"/>
        <w:jc w:val="left"/>
        <w:rPr>
          <w:rFonts w:hint="eastAsia" w:ascii="宋体" w:hAnsi="宋体" w:eastAsia="宋体" w:cs="宋体"/>
          <w:b/>
          <w:sz w:val="24"/>
        </w:rPr>
      </w:pPr>
      <w:bookmarkStart w:id="104" w:name="4.1.1.3施工期的大气污染防治措施"/>
      <w:bookmarkEnd w:id="104"/>
      <w:bookmarkStart w:id="105" w:name="4.1.1.3施工期的大气污染防治措施"/>
      <w:bookmarkEnd w:id="105"/>
      <w:r>
        <w:rPr>
          <w:rFonts w:hint="eastAsia" w:ascii="宋体" w:hAnsi="宋体" w:eastAsia="宋体" w:cs="宋体"/>
          <w:b/>
          <w:sz w:val="24"/>
        </w:rPr>
        <w:t>施工期的大气污染防治措施</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施工建设过程中，针对运输车辆、机械设备运行废气；凿裂、钻孔、露天爆破粉尘；砂石料加工系统粉尘以及道路扬尘等，建设单位采取了严禁随地随处乱挖乱放、尽量控制开挖面、运输粉状施工材料的车辆加遮盖物、经常在作业区域洒水、凿岩机的人员配戴防尘口罩等大气污染防治措施。据调查，施工期间未发生大气污染投诉事件。</w:t>
      </w:r>
    </w:p>
    <w:p>
      <w:pPr>
        <w:pStyle w:val="20"/>
        <w:numPr>
          <w:ilvl w:val="3"/>
          <w:numId w:val="4"/>
        </w:numPr>
        <w:tabs>
          <w:tab w:val="left" w:pos="990"/>
        </w:tabs>
        <w:spacing w:before="125" w:after="0" w:line="240" w:lineRule="auto"/>
        <w:ind w:left="989" w:right="0" w:hanging="853"/>
        <w:jc w:val="left"/>
        <w:rPr>
          <w:rFonts w:hint="eastAsia" w:ascii="宋体" w:hAnsi="宋体" w:eastAsia="宋体" w:cs="宋体"/>
          <w:b/>
          <w:sz w:val="24"/>
        </w:rPr>
      </w:pPr>
      <w:bookmarkStart w:id="106" w:name="4.1.1.4施工期的噪声污染防治措施"/>
      <w:bookmarkEnd w:id="106"/>
      <w:bookmarkStart w:id="107" w:name="4.1.1.4施工期的噪声污染防治措施"/>
      <w:bookmarkEnd w:id="107"/>
      <w:r>
        <w:rPr>
          <w:rFonts w:hint="eastAsia" w:ascii="宋体" w:hAnsi="宋体" w:eastAsia="宋体" w:cs="宋体"/>
          <w:b/>
          <w:sz w:val="24"/>
        </w:rPr>
        <w:t>施工期的噪声污染防治措施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施工期噪声主要是施工机械噪声、施工爆破噪声，会对施工操作人员构成一定影响。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auto"/>
          <w:spacing w:val="0"/>
          <w:w w:val="100"/>
          <w:kern w:val="0"/>
          <w:position w:val="0"/>
          <w:sz w:val="24"/>
          <w:szCs w:val="24"/>
          <w:lang w:val="en-US"/>
        </w:rPr>
        <w:t>据调查，施工单位采取了“合理安排施工作业时间、施工人员佩戴防噪耳塞、施工场地安装临时挡板”等噪声防治措施，施工期间未发生噪声扰民、噪声污染投诉事件。</w:t>
      </w:r>
    </w:p>
    <w:p>
      <w:pPr>
        <w:pStyle w:val="7"/>
        <w:spacing w:before="11"/>
        <w:rPr>
          <w:sz w:val="21"/>
        </w:rPr>
      </w:pPr>
    </w:p>
    <w:p>
      <w:pPr>
        <w:pStyle w:val="7"/>
        <w:spacing w:before="11"/>
        <w:rPr>
          <w:sz w:val="21"/>
        </w:rPr>
      </w:pPr>
    </w:p>
    <w:p>
      <w:pPr>
        <w:pStyle w:val="20"/>
        <w:numPr>
          <w:ilvl w:val="3"/>
          <w:numId w:val="4"/>
        </w:numPr>
        <w:tabs>
          <w:tab w:val="left" w:pos="990"/>
        </w:tabs>
        <w:spacing w:before="0" w:after="0" w:line="240" w:lineRule="auto"/>
        <w:ind w:left="989" w:right="0" w:hanging="853"/>
        <w:jc w:val="left"/>
        <w:rPr>
          <w:rFonts w:hint="eastAsia" w:ascii="宋体" w:hAnsi="宋体" w:eastAsia="宋体" w:cs="宋体"/>
          <w:b/>
          <w:sz w:val="24"/>
        </w:rPr>
      </w:pPr>
      <w:bookmarkStart w:id="108" w:name="4.1.1.5施工期生活垃圾污染防治措施"/>
      <w:bookmarkEnd w:id="108"/>
      <w:bookmarkStart w:id="109" w:name="4.1.1.5施工期生活垃圾污染防治措施"/>
      <w:bookmarkEnd w:id="109"/>
      <w:r>
        <w:rPr>
          <w:rFonts w:hint="eastAsia" w:ascii="宋体" w:hAnsi="宋体" w:eastAsia="宋体" w:cs="宋体"/>
          <w:b/>
          <w:sz w:val="24"/>
        </w:rPr>
        <w:t>施工期</w:t>
      </w:r>
      <w:r>
        <w:rPr>
          <w:rFonts w:hint="eastAsia" w:ascii="宋体" w:hAnsi="宋体" w:eastAsia="宋体" w:cs="宋体"/>
          <w:b/>
          <w:sz w:val="24"/>
          <w:lang w:eastAsia="zh-CN"/>
        </w:rPr>
        <w:t>固体废物</w:t>
      </w:r>
      <w:r>
        <w:rPr>
          <w:rFonts w:hint="eastAsia" w:ascii="宋体" w:hAnsi="宋体" w:eastAsia="宋体" w:cs="宋体"/>
          <w:b/>
          <w:sz w:val="24"/>
        </w:rPr>
        <w:t>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据调查，施工期的生活垃圾由施工单位组织人员定期清运，未在作业区设置生活垃圾处置堆存点，避免了对区域生态造成不利影响；旱厕由施工单位组织人员定期清理运送，用做绿化堆肥。建设单位在施工完成后，对于作业区堆放的弃渣进行了及时清运处置。运至周边其它建设项目进行填方使用。</w:t>
      </w:r>
    </w:p>
    <w:p>
      <w:pPr>
        <w:pStyle w:val="20"/>
        <w:numPr>
          <w:ilvl w:val="2"/>
          <w:numId w:val="4"/>
        </w:numPr>
        <w:tabs>
          <w:tab w:val="left" w:pos="836"/>
        </w:tabs>
        <w:spacing w:before="120" w:after="0" w:line="240" w:lineRule="auto"/>
        <w:ind w:left="836" w:right="0" w:hanging="699"/>
        <w:jc w:val="left"/>
        <w:rPr>
          <w:rFonts w:hint="eastAsia" w:ascii="宋体" w:hAnsi="宋体" w:eastAsia="宋体" w:cs="宋体"/>
          <w:b/>
          <w:sz w:val="28"/>
        </w:rPr>
      </w:pPr>
      <w:bookmarkStart w:id="110" w:name="4.1.2营运期环保措施"/>
      <w:bookmarkEnd w:id="110"/>
      <w:bookmarkStart w:id="111" w:name="4.1.2营运期环保措施"/>
      <w:bookmarkEnd w:id="111"/>
      <w:r>
        <w:rPr>
          <w:rFonts w:hint="eastAsia" w:ascii="宋体" w:hAnsi="宋体" w:eastAsia="宋体" w:cs="宋体"/>
          <w:b/>
          <w:spacing w:val="-1"/>
          <w:w w:val="95"/>
          <w:sz w:val="28"/>
        </w:rPr>
        <w:t>营运期环保措施</w:t>
      </w:r>
    </w:p>
    <w:p>
      <w:pPr>
        <w:pStyle w:val="20"/>
        <w:numPr>
          <w:ilvl w:val="3"/>
          <w:numId w:val="4"/>
        </w:numPr>
        <w:tabs>
          <w:tab w:val="left" w:pos="990"/>
        </w:tabs>
        <w:spacing w:before="0" w:after="0" w:line="240" w:lineRule="auto"/>
        <w:ind w:left="989" w:right="0" w:hanging="853"/>
        <w:jc w:val="left"/>
        <w:rPr>
          <w:rFonts w:hint="eastAsia" w:ascii="宋体" w:hAnsi="宋体" w:eastAsia="宋体" w:cs="宋体"/>
          <w:b/>
          <w:sz w:val="24"/>
        </w:rPr>
      </w:pPr>
      <w:bookmarkStart w:id="112" w:name="4.1.2.1废水污染处置设施"/>
      <w:bookmarkEnd w:id="112"/>
      <w:bookmarkStart w:id="113" w:name="4.1.2.1废水污染处置设施"/>
      <w:bookmarkEnd w:id="113"/>
      <w:r>
        <w:rPr>
          <w:rFonts w:hint="eastAsia" w:ascii="宋体" w:hAnsi="宋体" w:eastAsia="宋体" w:cs="宋体"/>
          <w:b/>
          <w:sz w:val="24"/>
        </w:rPr>
        <w:t>废水污染处置设施</w:t>
      </w:r>
    </w:p>
    <w:p>
      <w:pPr>
        <w:pageBreakBefore w:val="0"/>
        <w:kinsoku/>
        <w:wordWrap/>
        <w:overflowPunct/>
        <w:topLinePunct w:val="0"/>
        <w:autoSpaceDE/>
        <w:autoSpaceDN/>
        <w:bidi w:val="0"/>
        <w:adjustRightInd/>
        <w:snapToGrid/>
        <w:spacing w:line="360" w:lineRule="auto"/>
        <w:ind w:firstLine="480" w:firstLineChars="200"/>
        <w:jc w:val="both"/>
        <w:rPr>
          <w:rFonts w:ascii="Times New Roman" w:hAnsi="Times New Roman" w:cs="Times New Roman"/>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水电站建成投运后，生活污水经化粪池处理后</w:t>
      </w:r>
      <w:r>
        <w:rPr>
          <w:rFonts w:hint="default" w:ascii="Times New Roman" w:hAnsi="Times New Roman" w:eastAsia="宋体" w:cs="Times New Roman"/>
          <w:caps w:val="0"/>
          <w:smallCaps w:val="0"/>
          <w:snapToGrid/>
          <w:color w:val="auto"/>
          <w:spacing w:val="0"/>
          <w:w w:val="100"/>
          <w:kern w:val="2"/>
          <w:position w:val="0"/>
          <w:sz w:val="24"/>
          <w:lang w:val="en-US" w:eastAsia="zh-CN"/>
        </w:rPr>
        <w:t>用于周边</w:t>
      </w:r>
      <w:r>
        <w:rPr>
          <w:rFonts w:hint="eastAsia" w:ascii="Times New Roman" w:eastAsia="宋体" w:cs="Times New Roman"/>
          <w:caps w:val="0"/>
          <w:smallCaps w:val="0"/>
          <w:snapToGrid/>
          <w:color w:val="auto"/>
          <w:spacing w:val="0"/>
          <w:w w:val="100"/>
          <w:kern w:val="2"/>
          <w:position w:val="0"/>
          <w:sz w:val="24"/>
          <w:lang w:val="en-US" w:eastAsia="zh-CN"/>
        </w:rPr>
        <w:t>林地</w:t>
      </w:r>
      <w:r>
        <w:rPr>
          <w:rFonts w:hint="default" w:ascii="Times New Roman" w:hAnsi="Times New Roman" w:eastAsia="宋体" w:cs="Times New Roman"/>
          <w:caps w:val="0"/>
          <w:smallCaps w:val="0"/>
          <w:snapToGrid/>
          <w:color w:val="auto"/>
          <w:spacing w:val="0"/>
          <w:w w:val="100"/>
          <w:kern w:val="2"/>
          <w:position w:val="0"/>
          <w:sz w:val="24"/>
          <w:lang w:val="en-US" w:eastAsia="zh-CN"/>
        </w:rPr>
        <w:t>农田施肥</w:t>
      </w:r>
      <w:r>
        <w:rPr>
          <w:rFonts w:hint="eastAsia" w:ascii="宋体" w:hAnsi="宋体" w:eastAsia="宋体" w:cs="宋体"/>
          <w:color w:val="auto"/>
          <w:spacing w:val="0"/>
          <w:w w:val="100"/>
          <w:kern w:val="0"/>
          <w:position w:val="0"/>
          <w:sz w:val="24"/>
          <w:szCs w:val="24"/>
          <w:lang w:val="en-US"/>
        </w:rPr>
        <w:t>，对环境影响较小。</w:t>
      </w:r>
    </w:p>
    <w:p>
      <w:pPr>
        <w:pStyle w:val="20"/>
        <w:numPr>
          <w:ilvl w:val="3"/>
          <w:numId w:val="4"/>
        </w:numPr>
        <w:tabs>
          <w:tab w:val="left" w:pos="990"/>
        </w:tabs>
        <w:spacing w:before="125" w:after="0" w:line="240" w:lineRule="auto"/>
        <w:ind w:left="989" w:right="0" w:hanging="853"/>
        <w:jc w:val="left"/>
        <w:rPr>
          <w:rFonts w:hint="eastAsia" w:ascii="宋体" w:hAnsi="宋体" w:eastAsia="宋体" w:cs="宋体"/>
          <w:b/>
          <w:sz w:val="24"/>
        </w:rPr>
      </w:pPr>
      <w:bookmarkStart w:id="114" w:name="4.1.2.2噪声污染防治措施"/>
      <w:bookmarkEnd w:id="114"/>
      <w:bookmarkStart w:id="115" w:name="4.1.2.2噪声污染防治措施"/>
      <w:bookmarkEnd w:id="115"/>
      <w:r>
        <w:rPr>
          <w:rFonts w:hint="eastAsia" w:ascii="宋体" w:hAnsi="宋体" w:eastAsia="宋体" w:cs="宋体"/>
          <w:b/>
          <w:sz w:val="24"/>
        </w:rPr>
        <w:t>噪声污染防治措施</w:t>
      </w:r>
    </w:p>
    <w:p>
      <w:pPr>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auto"/>
          <w:spacing w:val="0"/>
          <w:w w:val="100"/>
          <w:kern w:val="0"/>
          <w:position w:val="0"/>
          <w:sz w:val="24"/>
          <w:szCs w:val="24"/>
          <w:lang w:val="en-US"/>
        </w:rPr>
      </w:pPr>
      <w:r>
        <w:rPr>
          <w:rFonts w:hint="eastAsia" w:ascii="宋体" w:hAnsi="宋体" w:eastAsia="宋体" w:cs="宋体"/>
          <w:color w:val="auto"/>
          <w:spacing w:val="0"/>
          <w:w w:val="100"/>
          <w:kern w:val="0"/>
          <w:position w:val="0"/>
          <w:sz w:val="24"/>
          <w:szCs w:val="24"/>
          <w:lang w:val="en-US"/>
        </w:rPr>
        <w:t>水电站在运行过程中，噪声来源主要是发电机、空压机、各类泵等生产设备产生的机械噪声，声级强度介于</w:t>
      </w:r>
      <w:r>
        <w:rPr>
          <w:rFonts w:hint="default" w:ascii="Times New Roman" w:hAnsi="Times New Roman" w:eastAsia="宋体" w:cs="Times New Roman"/>
          <w:color w:val="auto"/>
          <w:spacing w:val="0"/>
          <w:w w:val="100"/>
          <w:kern w:val="0"/>
          <w:position w:val="0"/>
          <w:sz w:val="24"/>
          <w:szCs w:val="24"/>
          <w:lang w:val="en-US"/>
        </w:rPr>
        <w:t>65~90dB(A)</w:t>
      </w:r>
      <w:r>
        <w:rPr>
          <w:rFonts w:hint="eastAsia" w:ascii="宋体" w:hAnsi="宋体" w:eastAsia="宋体" w:cs="宋体"/>
          <w:color w:val="auto"/>
          <w:spacing w:val="0"/>
          <w:w w:val="100"/>
          <w:kern w:val="0"/>
          <w:position w:val="0"/>
          <w:sz w:val="24"/>
          <w:szCs w:val="24"/>
          <w:lang w:val="en-US"/>
        </w:rPr>
        <w:t>；实际运行过程中，本电站采取了“机电设备基础减震，建筑物厂房隔声”等降噪措施，基本可以满足厂界噪声排放标准的要求。</w:t>
      </w:r>
    </w:p>
    <w:p>
      <w:pPr>
        <w:pStyle w:val="20"/>
        <w:keepNext w:val="0"/>
        <w:keepLines w:val="0"/>
        <w:pageBreakBefore w:val="0"/>
        <w:widowControl w:val="0"/>
        <w:numPr>
          <w:ilvl w:val="3"/>
          <w:numId w:val="4"/>
        </w:numPr>
        <w:tabs>
          <w:tab w:val="left" w:pos="990"/>
        </w:tabs>
        <w:kinsoku/>
        <w:wordWrap/>
        <w:overflowPunct/>
        <w:topLinePunct w:val="0"/>
        <w:autoSpaceDE w:val="0"/>
        <w:autoSpaceDN w:val="0"/>
        <w:bidi w:val="0"/>
        <w:adjustRightInd/>
        <w:snapToGrid/>
        <w:spacing w:before="0" w:after="0" w:line="360" w:lineRule="auto"/>
        <w:ind w:left="482" w:right="0" w:hanging="482" w:hangingChars="200"/>
        <w:jc w:val="left"/>
        <w:textAlignment w:val="auto"/>
        <w:rPr>
          <w:rFonts w:ascii="Arial" w:eastAsia="Arial"/>
          <w:b/>
          <w:bCs w:val="0"/>
          <w:sz w:val="24"/>
        </w:rPr>
      </w:pPr>
      <w:bookmarkStart w:id="116" w:name="4.1.2.3废气污染防治措施"/>
      <w:bookmarkEnd w:id="116"/>
      <w:bookmarkStart w:id="117" w:name="4.1.2.3废气污染防治措施"/>
      <w:bookmarkEnd w:id="117"/>
      <w:r>
        <w:rPr>
          <w:rFonts w:hint="eastAsia" w:ascii="宋体" w:hAnsi="宋体" w:eastAsia="宋体" w:cs="宋体"/>
          <w:b/>
          <w:bCs w:val="0"/>
          <w:sz w:val="24"/>
        </w:rPr>
        <w:t xml:space="preserve">废气污染防治措施 </w:t>
      </w:r>
    </w:p>
    <w:p>
      <w:pPr>
        <w:pStyle w:val="20"/>
        <w:keepNext w:val="0"/>
        <w:keepLines w:val="0"/>
        <w:pageBreakBefore w:val="0"/>
        <w:widowControl w:val="0"/>
        <w:numPr>
          <w:ilvl w:val="0"/>
          <w:numId w:val="0"/>
        </w:numPr>
        <w:tabs>
          <w:tab w:val="left" w:pos="990"/>
        </w:tabs>
        <w:kinsoku/>
        <w:wordWrap/>
        <w:overflowPunct/>
        <w:topLinePunct w:val="0"/>
        <w:autoSpaceDE w:val="0"/>
        <w:autoSpaceDN w:val="0"/>
        <w:bidi w:val="0"/>
        <w:adjustRightInd/>
        <w:snapToGrid/>
        <w:spacing w:before="0" w:after="0" w:line="360" w:lineRule="auto"/>
        <w:ind w:leftChars="-200" w:right="0" w:rightChars="0" w:firstLine="472" w:firstLineChars="200"/>
        <w:jc w:val="left"/>
        <w:textAlignment w:val="auto"/>
        <w:rPr>
          <w:rFonts w:ascii="Arial" w:eastAsia="Arial"/>
          <w:sz w:val="24"/>
        </w:rPr>
      </w:pPr>
      <w:r>
        <w:rPr>
          <w:rFonts w:hint="eastAsia" w:ascii="宋体" w:hAnsi="宋体" w:eastAsia="宋体" w:cs="宋体"/>
          <w:spacing w:val="-2"/>
          <w:sz w:val="24"/>
        </w:rPr>
        <w:t>运营期没有大气污染源。</w:t>
      </w:r>
    </w:p>
    <w:p>
      <w:pPr>
        <w:pStyle w:val="20"/>
        <w:numPr>
          <w:ilvl w:val="3"/>
          <w:numId w:val="4"/>
        </w:numPr>
        <w:tabs>
          <w:tab w:val="left" w:pos="990"/>
        </w:tabs>
        <w:spacing w:before="125" w:after="0" w:line="240" w:lineRule="auto"/>
        <w:ind w:left="989" w:right="0" w:hanging="853"/>
        <w:jc w:val="left"/>
        <w:rPr>
          <w:rFonts w:hint="eastAsia" w:ascii="宋体" w:hAnsi="宋体" w:eastAsia="宋体" w:cs="宋体"/>
          <w:b/>
          <w:sz w:val="24"/>
        </w:rPr>
      </w:pPr>
      <w:bookmarkStart w:id="118" w:name="4.1.2.4固废污染防治措施"/>
      <w:bookmarkEnd w:id="118"/>
      <w:bookmarkStart w:id="119" w:name="4.1.2.4固废污染防治措施"/>
      <w:bookmarkEnd w:id="119"/>
      <w:r>
        <w:rPr>
          <w:rFonts w:hint="eastAsia" w:ascii="宋体" w:hAnsi="宋体" w:eastAsia="宋体" w:cs="宋体"/>
          <w:b/>
          <w:sz w:val="24"/>
        </w:rPr>
        <w:t>固废污染防治措施</w:t>
      </w:r>
    </w:p>
    <w:p>
      <w:pPr>
        <w:pStyle w:val="20"/>
        <w:keepNext w:val="0"/>
        <w:keepLines w:val="0"/>
        <w:pageBreakBefore w:val="0"/>
        <w:widowControl w:val="0"/>
        <w:numPr>
          <w:ilvl w:val="0"/>
          <w:numId w:val="0"/>
        </w:numPr>
        <w:tabs>
          <w:tab w:val="left" w:pos="119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工程弃渣</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Times New Roman" w:hAnsi="Times New Roman" w:eastAsia="宋体" w:cs="Times New Roman"/>
          <w:caps w:val="0"/>
          <w:smallCaps w:val="0"/>
          <w:snapToGrid/>
          <w:spacing w:val="0"/>
          <w:w w:val="100"/>
          <w:kern w:val="2"/>
          <w:position w:val="0"/>
          <w:sz w:val="24"/>
          <w:szCs w:val="22"/>
          <w:lang w:val="en-US" w:eastAsia="zh-CN"/>
        </w:rPr>
        <w:t>本项目</w:t>
      </w:r>
      <w:r>
        <w:rPr>
          <w:rFonts w:hint="eastAsia" w:ascii="宋体" w:hAnsi="宋体" w:eastAsia="宋体" w:cs="宋体"/>
          <w:spacing w:val="-3"/>
        </w:rPr>
        <w:t>已建成运行</w:t>
      </w:r>
      <w:r>
        <w:rPr>
          <w:rFonts w:hint="eastAsia" w:ascii="宋体" w:hAnsi="宋体" w:eastAsia="宋体" w:cs="宋体"/>
          <w:spacing w:val="-3"/>
          <w:lang w:eastAsia="zh-CN"/>
        </w:rPr>
        <w:t>十余</w:t>
      </w:r>
      <w:r>
        <w:rPr>
          <w:rFonts w:hint="eastAsia" w:ascii="宋体" w:hAnsi="宋体" w:eastAsia="宋体" w:cs="宋体"/>
        </w:rPr>
        <w:t>年，根据现场踏勘可知，电站原有工程施</w:t>
      </w:r>
      <w:r>
        <w:rPr>
          <w:rFonts w:hint="eastAsia" w:ascii="宋体" w:hAnsi="宋体" w:eastAsia="宋体" w:cs="宋体"/>
          <w:spacing w:val="-10"/>
        </w:rPr>
        <w:t>工时的弃渣场、取土场、施工场及施工道路植被均已自然恢复，工程区植被及防</w:t>
      </w:r>
      <w:r>
        <w:rPr>
          <w:rFonts w:hint="eastAsia" w:ascii="宋体" w:hAnsi="宋体" w:eastAsia="宋体" w:cs="宋体"/>
          <w:spacing w:val="-7"/>
        </w:rPr>
        <w:t>护情况良好。临时堆场已采取土地平整、覆盖、边</w:t>
      </w:r>
      <w:r>
        <w:rPr>
          <w:rFonts w:hint="eastAsia" w:ascii="宋体" w:hAnsi="宋体" w:eastAsia="宋体" w:cs="宋体"/>
        </w:rPr>
        <w:t>坡撒播草籽等植被恢复措施。</w:t>
      </w:r>
    </w:p>
    <w:p>
      <w:pPr>
        <w:pStyle w:val="20"/>
        <w:keepNext w:val="0"/>
        <w:keepLines w:val="0"/>
        <w:pageBreakBefore w:val="0"/>
        <w:widowControl w:val="0"/>
        <w:numPr>
          <w:ilvl w:val="0"/>
          <w:numId w:val="0"/>
        </w:numPr>
        <w:tabs>
          <w:tab w:val="left" w:pos="119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生活垃圾</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根据现场调查，运营期电站厂房及生活办公区设置有垃圾收集桶，生活垃圾经垃圾桶收集后定期交由当地环卫部处置。</w:t>
      </w:r>
    </w:p>
    <w:p>
      <w:pPr>
        <w:pStyle w:val="20"/>
        <w:keepNext w:val="0"/>
        <w:keepLines w:val="0"/>
        <w:pageBreakBefore w:val="0"/>
        <w:widowControl w:val="0"/>
        <w:numPr>
          <w:ilvl w:val="0"/>
          <w:numId w:val="0"/>
        </w:numPr>
        <w:tabs>
          <w:tab w:val="left" w:pos="119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废机油</w:t>
      </w:r>
    </w:p>
    <w:p>
      <w:pPr>
        <w:widowControl/>
        <w:adjustRightInd w:val="0"/>
        <w:snapToGrid w:val="0"/>
        <w:spacing w:line="360" w:lineRule="auto"/>
        <w:ind w:firstLine="480" w:firstLineChars="200"/>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本项目水电站在运行过程中，会对机电设备进行维护，平常维护不需要更换机油，但每5年会全部更换一次机油。根据建设单位提供资料，水电站运行期间，发电机组5年更换机油约0.5t，则废机油产生量为0.5t/5年（0.1t/a）。根据《国家危险废物名录》，企业对机电设备维护产生的废机油属于危险废物，废物类别为HW08废矿物油与含矿物油废物，代码900-214-08，需交有</w:t>
      </w:r>
      <w:r>
        <w:rPr>
          <w:rFonts w:hint="eastAsia" w:ascii="Times New Roman" w:hAnsi="Times New Roman" w:eastAsia="宋体" w:cs="Times New Roman"/>
          <w:caps w:val="0"/>
          <w:smallCaps w:val="0"/>
          <w:snapToGrid/>
          <w:color w:val="auto"/>
          <w:spacing w:val="0"/>
          <w:w w:val="100"/>
          <w:kern w:val="2"/>
          <w:position w:val="0"/>
          <w:sz w:val="24"/>
          <w:szCs w:val="24"/>
          <w:lang w:val="en-US" w:eastAsia="zh-CN" w:bidi="ar-SA"/>
        </w:rPr>
        <w:t>相关</w:t>
      </w: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资质单位处理。</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此外还会产生少量的含油废抹布，产生量约2kg/a，属于危险废物豁免管理清单900-041-49废弃的含油抹布，可混入生活垃圾，由环卫定期清运</w:t>
      </w:r>
      <w:r>
        <w:rPr>
          <w:rFonts w:hint="eastAsia" w:ascii="宋体" w:hAnsi="宋体" w:eastAsia="宋体" w:cs="宋体"/>
        </w:rPr>
        <w:t>。</w:t>
      </w:r>
    </w:p>
    <w:p>
      <w:pPr>
        <w:pStyle w:val="20"/>
        <w:numPr>
          <w:ilvl w:val="2"/>
          <w:numId w:val="4"/>
        </w:numPr>
        <w:tabs>
          <w:tab w:val="left" w:pos="836"/>
        </w:tabs>
        <w:spacing w:before="44" w:after="0" w:line="240" w:lineRule="auto"/>
        <w:ind w:left="836" w:right="0" w:hanging="699"/>
        <w:jc w:val="left"/>
        <w:rPr>
          <w:rFonts w:hint="eastAsia" w:ascii="宋体" w:hAnsi="宋体" w:eastAsia="宋体" w:cs="宋体"/>
          <w:b/>
          <w:sz w:val="28"/>
        </w:rPr>
      </w:pPr>
      <w:bookmarkStart w:id="120" w:name="4.1.3生态保护工程和设施"/>
      <w:bookmarkEnd w:id="120"/>
      <w:bookmarkStart w:id="121" w:name="4.1.3生态保护工程和设施"/>
      <w:bookmarkEnd w:id="121"/>
      <w:r>
        <w:rPr>
          <w:rFonts w:hint="eastAsia" w:ascii="宋体" w:hAnsi="宋体" w:eastAsia="宋体" w:cs="宋体"/>
          <w:b/>
          <w:sz w:val="28"/>
          <w:lang w:val="en-US" w:eastAsia="zh-CN"/>
        </w:rPr>
        <w:t xml:space="preserve"> </w:t>
      </w:r>
      <w:r>
        <w:rPr>
          <w:rFonts w:hint="eastAsia" w:ascii="宋体" w:hAnsi="宋体" w:eastAsia="宋体" w:cs="宋体"/>
          <w:b/>
          <w:sz w:val="28"/>
        </w:rPr>
        <w:t>生态保护工程和设施</w:t>
      </w:r>
    </w:p>
    <w:p>
      <w:pPr>
        <w:pStyle w:val="20"/>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考虑到枯水期坝下游脱水河段的用水需要，在堰坝的设计中，</w:t>
      </w: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设置生态下泄口控制下泄</w:t>
      </w:r>
      <w:r>
        <w:rPr>
          <w:rFonts w:hint="eastAsia" w:ascii="宋体" w:hAnsi="宋体" w:eastAsia="宋体" w:cs="宋体"/>
          <w:spacing w:val="-4"/>
          <w:sz w:val="24"/>
          <w:szCs w:val="24"/>
        </w:rPr>
        <w:t>，不间断的向下游供水，保证了工程设计要求</w:t>
      </w:r>
      <w:r>
        <w:rPr>
          <w:rFonts w:hint="eastAsia" w:ascii="宋体" w:hAnsi="宋体" w:eastAsia="宋体" w:cs="宋体"/>
          <w:sz w:val="24"/>
          <w:szCs w:val="24"/>
        </w:rPr>
        <w:t>下泄流量</w:t>
      </w:r>
      <w:r>
        <w:rPr>
          <w:rFonts w:hint="default"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/s</w:t>
      </w:r>
      <w:r>
        <w:rPr>
          <w:rFonts w:hint="eastAsia" w:ascii="宋体" w:hAnsi="宋体" w:eastAsia="宋体" w:cs="宋体"/>
          <w:spacing w:val="-3"/>
          <w:sz w:val="24"/>
          <w:szCs w:val="24"/>
        </w:rPr>
        <w:t xml:space="preserve"> </w:t>
      </w:r>
      <w:r>
        <w:rPr>
          <w:rFonts w:hint="eastAsia" w:ascii="宋体" w:hAnsi="宋体" w:eastAsia="宋体" w:cs="宋体"/>
          <w:sz w:val="24"/>
          <w:szCs w:val="24"/>
        </w:rPr>
        <w:t>的要求，并安装流量装置，实现监控水流量情况。</w:t>
      </w:r>
    </w:p>
    <w:p>
      <w:pPr>
        <w:pStyle w:val="20"/>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积极做好水土防治工作，尽量减少了项目水土流失。施工区植被已恢</w:t>
      </w:r>
      <w:r>
        <w:rPr>
          <w:rFonts w:hint="eastAsia" w:ascii="宋体" w:hAnsi="宋体" w:eastAsia="宋体" w:cs="宋体"/>
          <w:spacing w:val="-11"/>
          <w:sz w:val="24"/>
          <w:szCs w:val="24"/>
        </w:rPr>
        <w:t>复，植被覆盖度高，水土保持状况良好，在工程建设过程中，在历次监督检查中</w:t>
      </w:r>
      <w:r>
        <w:rPr>
          <w:rFonts w:hint="eastAsia" w:ascii="宋体" w:hAnsi="宋体" w:eastAsia="宋体" w:cs="宋体"/>
          <w:sz w:val="24"/>
          <w:szCs w:val="24"/>
        </w:rPr>
        <w:t>未发现重大水土保持问题。</w:t>
      </w:r>
    </w:p>
    <w:p>
      <w:pPr>
        <w:pStyle w:val="4"/>
        <w:numPr>
          <w:ilvl w:val="1"/>
          <w:numId w:val="6"/>
        </w:numPr>
        <w:tabs>
          <w:tab w:val="left" w:pos="740"/>
        </w:tabs>
        <w:spacing w:before="0" w:after="0" w:line="240" w:lineRule="auto"/>
        <w:ind w:left="740" w:right="0" w:hanging="603"/>
        <w:jc w:val="left"/>
        <w:rPr>
          <w:rFonts w:hint="eastAsia" w:ascii="宋体" w:hAnsi="宋体" w:eastAsia="宋体" w:cs="宋体"/>
        </w:rPr>
      </w:pPr>
      <w:bookmarkStart w:id="122" w:name="_bookmark18"/>
      <w:bookmarkEnd w:id="122"/>
      <w:bookmarkStart w:id="123" w:name="4.2环保设施投资及“三同时”落实情况"/>
      <w:bookmarkEnd w:id="123"/>
      <w:bookmarkStart w:id="124" w:name="_bookmark18"/>
      <w:bookmarkEnd w:id="124"/>
      <w:r>
        <w:rPr>
          <w:rFonts w:hint="eastAsia" w:ascii="宋体" w:hAnsi="宋体" w:eastAsia="宋体" w:cs="宋体"/>
        </w:rPr>
        <w:t>环保设施投资及“三同时”落实情况</w:t>
      </w:r>
    </w:p>
    <w:p>
      <w:pPr>
        <w:pStyle w:val="20"/>
        <w:keepNext w:val="0"/>
        <w:keepLines w:val="0"/>
        <w:pageBreakBefore w:val="0"/>
        <w:widowControl w:val="0"/>
        <w:numPr>
          <w:ilvl w:val="0"/>
          <w:numId w:val="0"/>
        </w:numPr>
        <w:tabs>
          <w:tab w:val="left" w:pos="1193"/>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环保设施投资</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本工程己采取的环保措施与环评报告书及环保行政主管部门审批要求的对比情况见表</w:t>
      </w:r>
      <w:r>
        <w:rPr>
          <w:rFonts w:hint="eastAsia" w:ascii="Times New Roman" w:hAnsi="Times New Roman" w:eastAsia="宋体" w:cs="Times New Roman"/>
          <w:lang w:val="en-US" w:eastAsia="zh-CN"/>
        </w:rPr>
        <w:t>4-1</w:t>
      </w:r>
      <w:r>
        <w:rPr>
          <w:rFonts w:hint="eastAsia" w:ascii="宋体" w:hAnsi="宋体" w:eastAsia="宋体" w:cs="宋体"/>
        </w:rPr>
        <w:t>。环保总投资为</w:t>
      </w:r>
      <w:r>
        <w:rPr>
          <w:rFonts w:hint="eastAsia" w:ascii="Times New Roman" w:hAnsi="Times New Roman" w:eastAsia="宋体" w:cs="Times New Roman"/>
          <w:lang w:val="en-US" w:eastAsia="zh-CN"/>
        </w:rPr>
        <w:t>15.7</w:t>
      </w:r>
      <w:r>
        <w:rPr>
          <w:rFonts w:hint="eastAsia" w:ascii="宋体" w:hAnsi="宋体" w:eastAsia="宋体" w:cs="宋体"/>
        </w:rPr>
        <w:t>万元，约占总投资</w:t>
      </w:r>
      <w:r>
        <w:rPr>
          <w:rFonts w:hint="eastAsia" w:ascii="Times New Roman" w:eastAsia="宋体" w:cs="Times New Roman"/>
          <w:caps w:val="0"/>
          <w:smallCaps w:val="0"/>
          <w:snapToGrid/>
          <w:color w:val="auto"/>
          <w:spacing w:val="0"/>
          <w:w w:val="100"/>
          <w:kern w:val="2"/>
          <w:position w:val="0"/>
          <w:sz w:val="24"/>
          <w:szCs w:val="20"/>
          <w:lang w:val="en-US" w:eastAsia="zh-CN" w:bidi="ar-SA"/>
        </w:rPr>
        <w:t>252</w:t>
      </w:r>
      <w:r>
        <w:rPr>
          <w:rFonts w:hint="eastAsia" w:ascii="宋体" w:hAnsi="宋体" w:eastAsia="宋体" w:cs="宋体"/>
        </w:rPr>
        <w:t>万元的</w:t>
      </w:r>
      <w:r>
        <w:rPr>
          <w:rFonts w:hint="eastAsia" w:ascii="Times New Roman" w:hAnsi="Times New Roman" w:eastAsia="宋体" w:cs="Times New Roman"/>
          <w:lang w:val="en-US" w:eastAsia="zh-CN"/>
        </w:rPr>
        <w:t>6.23%</w:t>
      </w:r>
      <w:r>
        <w:rPr>
          <w:rFonts w:hint="eastAsia" w:ascii="宋体" w:hAnsi="宋体" w:eastAsia="宋体" w:cs="宋体"/>
        </w:rPr>
        <w:t>。</w:t>
      </w:r>
    </w:p>
    <w:p>
      <w:pPr>
        <w:spacing w:before="1"/>
        <w:ind w:left="2403" w:right="0" w:firstLine="0"/>
        <w:jc w:val="left"/>
        <w:rPr>
          <w:rFonts w:ascii="Times New Roman"/>
          <w:sz w:val="21"/>
        </w:rPr>
      </w:pPr>
      <w:r>
        <w:rPr>
          <w:rFonts w:hint="eastAsia" w:ascii="宋体" w:hAnsi="宋体" w:eastAsia="宋体" w:cs="宋体"/>
          <w:b/>
          <w:sz w:val="21"/>
        </w:rPr>
        <w:t>表 4- 1工程环保措施落实情况对比一览表</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2275"/>
        <w:gridCol w:w="956"/>
        <w:gridCol w:w="1893"/>
        <w:gridCol w:w="1832"/>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类别</w:t>
            </w: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名称</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数量</w:t>
            </w:r>
          </w:p>
        </w:tc>
        <w:tc>
          <w:tcPr>
            <w:tcW w:w="956"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设计</w:t>
            </w:r>
            <w:r>
              <w:rPr>
                <w:rFonts w:hint="eastAsia" w:ascii="宋体" w:hAnsi="宋体" w:eastAsia="宋体" w:cs="宋体"/>
                <w:bCs/>
                <w:color w:val="auto"/>
                <w:sz w:val="21"/>
                <w:szCs w:val="21"/>
              </w:rPr>
              <w:t>投资估算 (万元)</w:t>
            </w:r>
          </w:p>
        </w:tc>
        <w:tc>
          <w:tcPr>
            <w:tcW w:w="925"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实际</w:t>
            </w:r>
            <w:r>
              <w:rPr>
                <w:rFonts w:hint="eastAsia" w:ascii="宋体" w:hAnsi="宋体" w:eastAsia="宋体" w:cs="宋体"/>
                <w:bCs/>
                <w:color w:val="auto"/>
                <w:sz w:val="21"/>
                <w:szCs w:val="21"/>
              </w:rPr>
              <w:t>投资</w:t>
            </w:r>
          </w:p>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(万元)</w:t>
            </w:r>
          </w:p>
        </w:tc>
        <w:tc>
          <w:tcPr>
            <w:tcW w:w="926"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zh-CN" w:eastAsia="zh-CN" w:bidi="zh-CN"/>
              </w:rPr>
            </w:pPr>
            <w:r>
              <w:rPr>
                <w:rFonts w:hint="eastAsia" w:ascii="宋体" w:hAnsi="宋体" w:eastAsia="宋体" w:cs="宋体"/>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废水</w:t>
            </w: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val="en-US"/>
              </w:rPr>
              <w:t>化粪池</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1个</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3</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3</w:t>
            </w:r>
          </w:p>
        </w:tc>
        <w:tc>
          <w:tcPr>
            <w:tcW w:w="926"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bidi="zh-CN"/>
              </w:rPr>
            </w:pPr>
            <w:r>
              <w:rPr>
                <w:rFonts w:hint="eastAsia" w:ascii="宋体" w:hAnsi="宋体" w:eastAsia="宋体" w:cs="宋体"/>
                <w:bCs/>
                <w:color w:val="auto"/>
                <w:sz w:val="21"/>
                <w:szCs w:val="21"/>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废气</w:t>
            </w: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rPr>
            </w:pPr>
            <w:r>
              <w:rPr>
                <w:rFonts w:hint="eastAsia" w:ascii="宋体" w:hAnsi="宋体" w:eastAsia="宋体" w:cs="宋体"/>
                <w:color w:val="auto"/>
                <w:sz w:val="21"/>
                <w:szCs w:val="21"/>
                <w:lang w:val="en-US" w:eastAsia="zh-CN"/>
              </w:rPr>
              <w:t>专用烟道</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1个</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0.2</w:t>
            </w:r>
          </w:p>
        </w:tc>
        <w:tc>
          <w:tcPr>
            <w:tcW w:w="926"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bidi="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噪声</w:t>
            </w: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隔声、减振、绿化等</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2</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vMerge w:val="restar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固废</w:t>
            </w: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垃圾桶、收集桶等</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若干</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0.2</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vMerge w:val="continue"/>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危废暂存间</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1个</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0.3</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0.3</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暂未设置，需整改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环境风险</w:t>
            </w: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变压器下方设置事故油池</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rPr>
              <w:t>1</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暂未设置，需整改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vMerge w:val="restar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生态影响补偿</w:t>
            </w:r>
          </w:p>
        </w:tc>
        <w:tc>
          <w:tcPr>
            <w:tcW w:w="114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生态用水下泄联网</w:t>
            </w:r>
          </w:p>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在线监控措施</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2</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2</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vMerge w:val="continue"/>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p>
        </w:tc>
        <w:tc>
          <w:tcPr>
            <w:tcW w:w="1149"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人工增殖放流鱼苗</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2</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按</w:t>
            </w:r>
            <w:r>
              <w:rPr>
                <w:rFonts w:hint="eastAsia" w:ascii="宋体" w:hAnsi="宋体" w:eastAsia="宋体" w:cs="宋体"/>
                <w:color w:val="auto"/>
                <w:sz w:val="21"/>
                <w:szCs w:val="21"/>
                <w:lang w:val="en-US"/>
              </w:rPr>
              <w:t>10年计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环境监测</w:t>
            </w:r>
          </w:p>
        </w:tc>
        <w:tc>
          <w:tcPr>
            <w:tcW w:w="1149"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定期监测</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4.5</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4.5</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rPr>
              <w:t>按</w:t>
            </w:r>
            <w:r>
              <w:rPr>
                <w:rFonts w:hint="eastAsia" w:ascii="宋体" w:hAnsi="宋体" w:eastAsia="宋体" w:cs="宋体"/>
                <w:color w:val="auto"/>
                <w:sz w:val="21"/>
                <w:szCs w:val="21"/>
                <w:lang w:val="en-US"/>
              </w:rPr>
              <w:t>10年计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其他</w:t>
            </w:r>
          </w:p>
        </w:tc>
        <w:tc>
          <w:tcPr>
            <w:tcW w:w="1149"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0.5</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标识标牌等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合计</w:t>
            </w:r>
          </w:p>
        </w:tc>
        <w:tc>
          <w:tcPr>
            <w:tcW w:w="1149"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3" w:type="pct"/>
            <w:noWrap w:val="0"/>
            <w:vAlign w:val="center"/>
          </w:tcPr>
          <w:p>
            <w:pPr>
              <w:spacing w:line="240" w:lineRule="auto"/>
              <w:ind w:left="110" w:leftChars="50" w:right="110" w:rightChars="5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c>
          <w:tcPr>
            <w:tcW w:w="956" w:type="pct"/>
            <w:noWrap w:val="0"/>
            <w:vAlign w:val="center"/>
          </w:tcPr>
          <w:p>
            <w:pPr>
              <w:spacing w:line="240" w:lineRule="auto"/>
              <w:ind w:left="110" w:leftChars="50" w:right="110"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15.7</w:t>
            </w:r>
          </w:p>
        </w:tc>
        <w:tc>
          <w:tcPr>
            <w:tcW w:w="925" w:type="pct"/>
            <w:noWrap w:val="0"/>
            <w:vAlign w:val="center"/>
          </w:tcPr>
          <w:p>
            <w:pPr>
              <w:spacing w:line="240" w:lineRule="auto"/>
              <w:ind w:left="110" w:leftChars="50" w:right="110" w:rightChars="50"/>
              <w:jc w:val="center"/>
              <w:rPr>
                <w:rFonts w:hint="eastAsia" w:ascii="Times New Roman" w:hAnsi="Times New Roman" w:eastAsia="宋体" w:cs="Times New Roman"/>
                <w:bCs/>
                <w:color w:val="auto"/>
                <w:sz w:val="21"/>
                <w:szCs w:val="21"/>
                <w:lang w:val="en-US" w:eastAsia="zh-CN" w:bidi="zh-CN"/>
              </w:rPr>
            </w:pPr>
            <w:r>
              <w:rPr>
                <w:rFonts w:hint="default" w:ascii="Times New Roman" w:hAnsi="Times New Roman" w:eastAsia="宋体" w:cs="Times New Roman"/>
                <w:bCs/>
                <w:color w:val="auto"/>
                <w:sz w:val="21"/>
                <w:szCs w:val="21"/>
                <w:lang w:val="en-US" w:eastAsia="zh-CN"/>
              </w:rPr>
              <w:t>15.7</w:t>
            </w:r>
          </w:p>
        </w:tc>
        <w:tc>
          <w:tcPr>
            <w:tcW w:w="926" w:type="pct"/>
            <w:noWrap w:val="0"/>
            <w:vAlign w:val="center"/>
          </w:tcPr>
          <w:p>
            <w:pPr>
              <w:spacing w:line="240" w:lineRule="auto"/>
              <w:ind w:left="110" w:leftChars="50" w:right="110" w:rightChars="50"/>
              <w:jc w:val="center"/>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w:t>
            </w:r>
          </w:p>
        </w:tc>
      </w:tr>
    </w:tbl>
    <w:p>
      <w:pPr>
        <w:spacing w:after="0"/>
        <w:jc w:val="left"/>
        <w:rPr>
          <w:rFonts w:hint="eastAsia" w:ascii="宋体" w:hAnsi="宋体" w:eastAsia="宋体" w:cs="宋体"/>
          <w:sz w:val="24"/>
        </w:rPr>
      </w:pPr>
      <w:r>
        <w:rPr>
          <w:rFonts w:ascii="Times New Roman"/>
          <w:sz w:val="21"/>
        </w:rPr>
        <w:br w:type="textWrapping"/>
      </w: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“三同时”落实情况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left"/>
        <w:textAlignment w:val="auto"/>
        <w:rPr>
          <w:rFonts w:hint="eastAsia" w:ascii="宋体" w:hAnsi="宋体" w:eastAsia="宋体" w:cs="宋体"/>
        </w:rPr>
      </w:pPr>
      <w:r>
        <w:rPr>
          <w:rFonts w:hint="eastAsia" w:ascii="宋体" w:hAnsi="宋体" w:eastAsia="宋体" w:cs="宋体"/>
          <w:spacing w:val="-6"/>
          <w:lang w:eastAsia="zh-CN"/>
        </w:rPr>
        <w:t>本</w:t>
      </w:r>
      <w:r>
        <w:rPr>
          <w:rFonts w:hint="eastAsia" w:ascii="宋体" w:hAnsi="宋体" w:eastAsia="宋体" w:cs="宋体"/>
          <w:spacing w:val="-6"/>
        </w:rPr>
        <w:t>工程</w:t>
      </w:r>
      <w:r>
        <w:rPr>
          <w:rFonts w:hint="eastAsia" w:ascii="宋体" w:hAnsi="宋体" w:eastAsia="宋体" w:cs="宋体"/>
          <w:spacing w:val="-6"/>
          <w:lang w:eastAsia="zh-CN"/>
        </w:rPr>
        <w:t>项目</w:t>
      </w:r>
      <w:r>
        <w:rPr>
          <w:rFonts w:hint="eastAsia" w:ascii="宋体" w:hAnsi="宋体" w:eastAsia="宋体" w:cs="宋体"/>
          <w:spacing w:val="-6"/>
        </w:rPr>
        <w:t>在立项、环评、初步设计等手续齐全，环保设施与主</w:t>
      </w:r>
      <w:r>
        <w:rPr>
          <w:rFonts w:hint="eastAsia" w:ascii="宋体" w:hAnsi="宋体" w:eastAsia="宋体" w:cs="宋体"/>
          <w:spacing w:val="-9"/>
        </w:rPr>
        <w:t>体工程同时设计、施工、投入使用。项目环评、环保审批等手续齐全，执行了国</w:t>
      </w:r>
      <w:r>
        <w:rPr>
          <w:rFonts w:hint="eastAsia" w:ascii="宋体" w:hAnsi="宋体" w:eastAsia="宋体" w:cs="宋体"/>
        </w:rPr>
        <w:t>家环境保护“三同时”</w:t>
      </w:r>
      <w:r>
        <w:rPr>
          <w:rFonts w:hint="eastAsia" w:ascii="宋体" w:hAnsi="宋体" w:eastAsia="宋体" w:cs="宋体"/>
          <w:spacing w:val="-8"/>
        </w:rPr>
        <w:t>的有关规定，符合《环境影响评价法》和《建设项目环境保</w:t>
      </w:r>
      <w:r>
        <w:rPr>
          <w:rFonts w:hint="eastAsia" w:ascii="宋体" w:hAnsi="宋体" w:eastAsia="宋体" w:cs="宋体"/>
          <w:spacing w:val="-9"/>
        </w:rPr>
        <w:t>护管理条例》中的有关规定。根据企业提供的资料和现场踏勘情况，并与建设项</w:t>
      </w:r>
      <w:r>
        <w:rPr>
          <w:rFonts w:hint="eastAsia" w:ascii="宋体" w:hAnsi="宋体" w:eastAsia="宋体" w:cs="宋体"/>
          <w:spacing w:val="-10"/>
        </w:rPr>
        <w:t>目环评报告书，工程设计书及批复文件进行对比，企业的建设内容与环评提出的</w:t>
      </w:r>
      <w:r>
        <w:rPr>
          <w:rFonts w:hint="eastAsia" w:ascii="宋体" w:hAnsi="宋体" w:eastAsia="宋体" w:cs="宋体"/>
        </w:rPr>
        <w:t xml:space="preserve">要求基本一致，项目“三同时”落实情况见表 4- </w:t>
      </w:r>
      <w:r>
        <w:rPr>
          <w:rFonts w:hint="eastAsia" w:ascii="宋体" w:hAnsi="宋体" w:eastAsia="宋体" w:cs="宋体"/>
          <w:spacing w:val="4"/>
        </w:rPr>
        <w:t>2</w:t>
      </w:r>
      <w:r>
        <w:rPr>
          <w:rFonts w:hint="eastAsia" w:ascii="宋体" w:hAnsi="宋体" w:eastAsia="宋体" w:cs="宋体"/>
        </w:rPr>
        <w:t>。</w:t>
      </w:r>
    </w:p>
    <w:p>
      <w:pPr>
        <w:spacing w:after="0" w:line="364" w:lineRule="auto"/>
        <w:jc w:val="both"/>
        <w:sectPr>
          <w:pgSz w:w="11910" w:h="16840"/>
          <w:pgMar w:top="1360" w:right="560" w:bottom="1180" w:left="1660" w:header="0" w:footer="991" w:gutter="0"/>
          <w:pgBorders>
            <w:top w:val="none" w:sz="0" w:space="0"/>
            <w:left w:val="none" w:sz="0" w:space="0"/>
            <w:bottom w:val="none" w:sz="0" w:space="0"/>
            <w:right w:val="none" w:sz="0" w:space="0"/>
          </w:pgBorders>
          <w:pgNumType w:fmt="decimal"/>
        </w:sectPr>
      </w:pPr>
    </w:p>
    <w:p>
      <w:pPr>
        <w:pStyle w:val="7"/>
        <w:spacing w:before="1"/>
        <w:rPr>
          <w:sz w:val="20"/>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hAnsi="宋体" w:eastAsia="宋体" w:cs="宋体"/>
          <w:b/>
          <w:sz w:val="21"/>
        </w:rPr>
      </w:pPr>
      <w:r>
        <w:rPr>
          <w:rFonts w:hint="eastAsia" w:ascii="宋体" w:hAnsi="宋体" w:eastAsia="宋体" w:cs="宋体"/>
          <w:b/>
          <w:sz w:val="21"/>
        </w:rPr>
        <w:t>表 4- 2企业“三同时”落实情况</w:t>
      </w:r>
    </w:p>
    <w:p>
      <w:pPr>
        <w:pStyle w:val="7"/>
        <w:spacing w:before="12"/>
        <w:rPr>
          <w:b/>
          <w:sz w:val="10"/>
        </w:rPr>
      </w:pPr>
    </w:p>
    <w:tbl>
      <w:tblPr>
        <w:tblStyle w:val="16"/>
        <w:tblW w:w="0" w:type="auto"/>
        <w:tblInd w:w="14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7"/>
        <w:gridCol w:w="889"/>
        <w:gridCol w:w="5277"/>
        <w:gridCol w:w="4605"/>
        <w:gridCol w:w="18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576" w:type="dxa"/>
            <w:gridSpan w:val="2"/>
            <w:tcBorders>
              <w:righ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验收对象</w:t>
            </w:r>
          </w:p>
        </w:tc>
        <w:tc>
          <w:tcPr>
            <w:tcW w:w="5277" w:type="dxa"/>
            <w:tcBorders>
              <w:left w:val="single" w:color="000000" w:sz="6" w:space="0"/>
              <w:righ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环评及设计要求</w:t>
            </w:r>
          </w:p>
        </w:tc>
        <w:tc>
          <w:tcPr>
            <w:tcW w:w="4605" w:type="dxa"/>
            <w:tcBorders>
              <w:left w:val="single" w:color="000000" w:sz="6" w:space="0"/>
              <w:righ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批复要求</w:t>
            </w:r>
          </w:p>
        </w:tc>
        <w:tc>
          <w:tcPr>
            <w:tcW w:w="1810" w:type="dxa"/>
            <w:tcBorders>
              <w:lef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落实情况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35" w:hRule="atLeast"/>
        </w:trPr>
        <w:tc>
          <w:tcPr>
            <w:tcW w:w="687" w:type="dxa"/>
            <w:vMerge w:val="restart"/>
            <w:tcBorders>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废水</w:t>
            </w:r>
          </w:p>
        </w:tc>
        <w:tc>
          <w:tcPr>
            <w:tcW w:w="889"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施工期</w:t>
            </w:r>
          </w:p>
        </w:tc>
        <w:tc>
          <w:tcPr>
            <w:tcW w:w="5277"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numPr>
                <w:ilvl w:val="0"/>
                <w:numId w:val="7"/>
              </w:numPr>
              <w:tabs>
                <w:tab w:val="left" w:pos="615"/>
              </w:tabs>
              <w:kinsoku/>
              <w:wordWrap/>
              <w:overflowPunct/>
              <w:topLinePunct w:val="0"/>
              <w:autoSpaceDE w:val="0"/>
              <w:autoSpaceDN w:val="0"/>
              <w:bidi w:val="0"/>
              <w:adjustRightInd/>
              <w:snapToGrid/>
              <w:spacing w:before="0" w:after="0" w:line="240" w:lineRule="auto"/>
              <w:ind w:left="0" w:right="0" w:hanging="602"/>
              <w:jc w:val="left"/>
              <w:textAlignment w:val="auto"/>
              <w:rPr>
                <w:rFonts w:hint="eastAsia" w:ascii="宋体" w:hAnsi="宋体" w:eastAsia="宋体" w:cs="宋体"/>
                <w:sz w:val="21"/>
                <w:szCs w:val="21"/>
                <w:highlight w:val="none"/>
              </w:rPr>
            </w:pPr>
            <w:r>
              <w:rPr>
                <w:rFonts w:hint="eastAsia" w:ascii="宋体" w:hAnsi="宋体" w:eastAsia="宋体" w:cs="宋体"/>
                <w:spacing w:val="-4"/>
                <w:sz w:val="21"/>
                <w:szCs w:val="21"/>
                <w:highlight w:val="none"/>
                <w:lang w:eastAsia="zh-CN"/>
              </w:rPr>
              <w:t>①</w:t>
            </w:r>
            <w:r>
              <w:rPr>
                <w:rFonts w:hint="eastAsia" w:ascii="宋体" w:hAnsi="宋体" w:eastAsia="宋体" w:cs="宋体"/>
                <w:spacing w:val="-4"/>
                <w:sz w:val="21"/>
                <w:szCs w:val="21"/>
                <w:highlight w:val="none"/>
              </w:rPr>
              <w:t>加强对爆破药品的管理，防止散落水中污染水体。</w:t>
            </w:r>
          </w:p>
          <w:p>
            <w:pPr>
              <w:pStyle w:val="21"/>
              <w:keepNext w:val="0"/>
              <w:keepLines w:val="0"/>
              <w:pageBreakBefore w:val="0"/>
              <w:widowControl w:val="0"/>
              <w:numPr>
                <w:ilvl w:val="0"/>
                <w:numId w:val="0"/>
              </w:numPr>
              <w:tabs>
                <w:tab w:val="left" w:pos="615"/>
              </w:tabs>
              <w:kinsoku/>
              <w:wordWrap/>
              <w:overflowPunct/>
              <w:topLinePunct w:val="0"/>
              <w:autoSpaceDE w:val="0"/>
              <w:autoSpaceDN w:val="0"/>
              <w:bidi w:val="0"/>
              <w:adjustRightInd/>
              <w:snapToGrid/>
              <w:spacing w:before="0" w:after="0" w:line="242" w:lineRule="auto"/>
              <w:ind w:leftChars="0" w:right="0" w:rightChars="0"/>
              <w:jc w:val="left"/>
              <w:textAlignment w:val="auto"/>
              <w:rPr>
                <w:rFonts w:hint="eastAsia" w:ascii="宋体" w:hAnsi="宋体" w:eastAsia="宋体" w:cs="宋体"/>
                <w:sz w:val="21"/>
                <w:szCs w:val="21"/>
                <w:highlight w:val="none"/>
              </w:rPr>
            </w:pPr>
            <w:r>
              <w:rPr>
                <w:rFonts w:hint="eastAsia" w:ascii="宋体" w:hAnsi="宋体" w:eastAsia="宋体" w:cs="宋体"/>
                <w:spacing w:val="-5"/>
                <w:sz w:val="21"/>
                <w:szCs w:val="21"/>
                <w:highlight w:val="none"/>
                <w:lang w:eastAsia="zh-CN"/>
              </w:rPr>
              <w:t>②</w:t>
            </w:r>
            <w:r>
              <w:rPr>
                <w:rFonts w:hint="eastAsia" w:ascii="宋体" w:hAnsi="宋体" w:eastAsia="宋体" w:cs="宋体"/>
                <w:spacing w:val="-5"/>
                <w:sz w:val="21"/>
                <w:szCs w:val="21"/>
                <w:highlight w:val="none"/>
              </w:rPr>
              <w:t>在施工人员集中的区域，应建化类池，防止生活废物直排入溪。</w:t>
            </w:r>
          </w:p>
          <w:p>
            <w:pPr>
              <w:pStyle w:val="21"/>
              <w:keepNext w:val="0"/>
              <w:keepLines w:val="0"/>
              <w:pageBreakBefore w:val="0"/>
              <w:widowControl w:val="0"/>
              <w:numPr>
                <w:ilvl w:val="0"/>
                <w:numId w:val="0"/>
              </w:numPr>
              <w:tabs>
                <w:tab w:val="left" w:pos="615"/>
              </w:tabs>
              <w:kinsoku/>
              <w:wordWrap/>
              <w:overflowPunct/>
              <w:topLinePunct w:val="0"/>
              <w:autoSpaceDE w:val="0"/>
              <w:autoSpaceDN w:val="0"/>
              <w:bidi w:val="0"/>
              <w:adjustRightInd/>
              <w:snapToGrid/>
              <w:spacing w:before="0" w:after="0" w:line="242" w:lineRule="auto"/>
              <w:ind w:leftChars="0" w:right="0" w:rightChars="0"/>
              <w:jc w:val="left"/>
              <w:textAlignment w:val="auto"/>
              <w:rPr>
                <w:rFonts w:hint="eastAsia" w:ascii="宋体" w:hAnsi="宋体" w:eastAsia="宋体" w:cs="宋体"/>
                <w:sz w:val="21"/>
                <w:szCs w:val="21"/>
                <w:highlight w:val="none"/>
              </w:rPr>
            </w:pPr>
            <w:r>
              <w:rPr>
                <w:rFonts w:hint="eastAsia" w:ascii="宋体" w:hAnsi="宋体" w:eastAsia="宋体" w:cs="宋体"/>
                <w:spacing w:val="-5"/>
                <w:sz w:val="21"/>
                <w:szCs w:val="21"/>
                <w:highlight w:val="none"/>
                <w:lang w:eastAsia="zh-CN"/>
              </w:rPr>
              <w:t>③</w:t>
            </w:r>
            <w:r>
              <w:rPr>
                <w:rFonts w:hint="eastAsia" w:ascii="宋体" w:hAnsi="宋体" w:eastAsia="宋体" w:cs="宋体"/>
                <w:spacing w:val="-5"/>
                <w:sz w:val="21"/>
                <w:szCs w:val="21"/>
                <w:highlight w:val="none"/>
              </w:rPr>
              <w:t xml:space="preserve">在施工机械集中维修点，应建含油废水集水池， </w:t>
            </w:r>
            <w:r>
              <w:rPr>
                <w:rFonts w:hint="eastAsia" w:ascii="宋体" w:hAnsi="宋体" w:eastAsia="宋体" w:cs="宋体"/>
                <w:sz w:val="21"/>
                <w:szCs w:val="21"/>
                <w:highlight w:val="none"/>
              </w:rPr>
              <w:t>通过隔油处理后排放。</w:t>
            </w:r>
          </w:p>
        </w:tc>
        <w:tc>
          <w:tcPr>
            <w:tcW w:w="4605"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2" w:lineRule="auto"/>
              <w:ind w:left="0" w:right="0"/>
              <w:jc w:val="left"/>
              <w:textAlignment w:val="auto"/>
              <w:rPr>
                <w:rFonts w:hint="eastAsia" w:ascii="宋体" w:hAnsi="宋体" w:eastAsia="宋体" w:cs="宋体"/>
                <w:sz w:val="21"/>
                <w:szCs w:val="21"/>
                <w:highlight w:val="none"/>
                <w:lang w:eastAsia="zh-CN"/>
              </w:rPr>
            </w:pPr>
            <w:r>
              <w:rPr>
                <w:rFonts w:hint="eastAsia" w:ascii="宋体" w:hAnsi="宋体" w:eastAsia="宋体" w:cs="宋体"/>
                <w:spacing w:val="-9"/>
                <w:sz w:val="21"/>
                <w:szCs w:val="21"/>
                <w:highlight w:val="none"/>
              </w:rPr>
              <w:t>施工期间，机械维修和拆洗产生的废水及日常生活污水应有效处理</w:t>
            </w:r>
            <w:r>
              <w:rPr>
                <w:rFonts w:hint="eastAsia" w:ascii="宋体" w:hAnsi="宋体" w:eastAsia="宋体" w:cs="宋体"/>
                <w:spacing w:val="-15"/>
                <w:sz w:val="21"/>
                <w:szCs w:val="21"/>
                <w:highlight w:val="none"/>
              </w:rPr>
              <w:t>水污染物排放执行</w:t>
            </w:r>
            <w:r>
              <w:rPr>
                <w:rFonts w:hint="default" w:ascii="Times New Roman" w:hAnsi="Times New Roman" w:eastAsia="宋体" w:cs="Times New Roman"/>
                <w:sz w:val="21"/>
                <w:szCs w:val="21"/>
                <w:highlight w:val="none"/>
              </w:rPr>
              <w:t>GB8978-1996</w:t>
            </w:r>
            <w:r>
              <w:rPr>
                <w:rFonts w:hint="eastAsia" w:ascii="宋体" w:hAnsi="宋体" w:eastAsia="宋体" w:cs="宋体"/>
                <w:spacing w:val="-7"/>
                <w:sz w:val="21"/>
                <w:szCs w:val="21"/>
                <w:highlight w:val="none"/>
              </w:rPr>
              <w:t>《污水综合排放标准》中的一级排</w:t>
            </w:r>
            <w:r>
              <w:rPr>
                <w:rFonts w:hint="eastAsia" w:ascii="宋体" w:hAnsi="宋体" w:eastAsia="宋体" w:cs="宋体"/>
                <w:spacing w:val="-16"/>
                <w:position w:val="2"/>
                <w:sz w:val="21"/>
                <w:szCs w:val="21"/>
                <w:highlight w:val="none"/>
              </w:rPr>
              <w:t>放标准</w:t>
            </w:r>
            <w:r>
              <w:rPr>
                <w:rFonts w:hint="eastAsia" w:ascii="宋体" w:hAnsi="宋体" w:eastAsia="宋体" w:cs="宋体"/>
                <w:spacing w:val="-16"/>
                <w:position w:val="2"/>
                <w:sz w:val="21"/>
                <w:szCs w:val="21"/>
                <w:highlight w:val="none"/>
                <w:lang w:eastAsia="zh-CN"/>
              </w:rPr>
              <w:t>。</w:t>
            </w:r>
          </w:p>
        </w:tc>
        <w:tc>
          <w:tcPr>
            <w:tcW w:w="1810" w:type="dxa"/>
            <w:tcBorders>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w:t>
            </w: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trPr>
        <w:tc>
          <w:tcPr>
            <w:tcW w:w="687" w:type="dxa"/>
            <w:vMerge w:val="continue"/>
            <w:tcBorders>
              <w:top w:val="nil"/>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p>
        </w:tc>
        <w:tc>
          <w:tcPr>
            <w:tcW w:w="88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营运期</w:t>
            </w:r>
          </w:p>
        </w:tc>
        <w:tc>
          <w:tcPr>
            <w:tcW w:w="5277"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2"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考虑到特枯年份，坝下脱水段的用水需要，应预设放水孔，以满足脱水段农灌用水和植物生长的需水量。</w:t>
            </w:r>
          </w:p>
        </w:tc>
        <w:tc>
          <w:tcPr>
            <w:tcW w:w="4605"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242" w:lineRule="auto"/>
              <w:ind w:left="0" w:right="0"/>
              <w:jc w:val="left"/>
              <w:textAlignment w:val="auto"/>
              <w:rPr>
                <w:rFonts w:hint="eastAsia" w:ascii="宋体" w:hAnsi="宋体" w:eastAsia="宋体" w:cs="宋体"/>
                <w:sz w:val="21"/>
                <w:szCs w:val="21"/>
              </w:rPr>
            </w:pPr>
            <w:r>
              <w:rPr>
                <w:rFonts w:hint="eastAsia" w:ascii="宋体" w:hAnsi="宋体" w:eastAsia="宋体" w:cs="宋体"/>
                <w:spacing w:val="-2"/>
                <w:sz w:val="21"/>
                <w:szCs w:val="21"/>
              </w:rPr>
              <w:t>工程在施工期和营运期应确保工程所在区域的地表水环境质量达</w:t>
            </w:r>
            <w:r>
              <w:rPr>
                <w:rFonts w:hint="eastAsia" w:ascii="宋体" w:hAnsi="宋体" w:eastAsia="宋体" w:cs="宋体"/>
                <w:sz w:val="21"/>
                <w:szCs w:val="21"/>
              </w:rPr>
              <w:t>到《地表水环境质量标准》(</w:t>
            </w:r>
            <w:r>
              <w:rPr>
                <w:rFonts w:hint="eastAsia" w:ascii="Times New Roman" w:hAnsi="Times New Roman" w:eastAsia="宋体" w:cs="Times New Roman"/>
                <w:sz w:val="21"/>
                <w:szCs w:val="21"/>
              </w:rPr>
              <w:t xml:space="preserve"> GB3838-2002 </w:t>
            </w:r>
            <w:r>
              <w:rPr>
                <w:rFonts w:hint="eastAsia" w:ascii="宋体" w:hAnsi="宋体" w:eastAsia="宋体" w:cs="宋体"/>
                <w:sz w:val="21"/>
                <w:szCs w:val="21"/>
              </w:rPr>
              <w:t>)</w:t>
            </w:r>
            <w:r>
              <w:rPr>
                <w:rFonts w:hint="eastAsia" w:ascii="宋体" w:hAnsi="宋体" w:eastAsia="宋体" w:cs="宋体"/>
                <w:sz w:val="21"/>
                <w:szCs w:val="21"/>
                <w:lang w:eastAsia="zh-CN"/>
              </w:rPr>
              <w:t>Ⅱ</w:t>
            </w:r>
            <w:r>
              <w:rPr>
                <w:rFonts w:hint="eastAsia" w:ascii="宋体" w:hAnsi="宋体" w:eastAsia="宋体" w:cs="宋体"/>
                <w:sz w:val="21"/>
                <w:szCs w:val="21"/>
              </w:rPr>
              <w:t>类标准；</w:t>
            </w:r>
            <w:r>
              <w:rPr>
                <w:rFonts w:hint="eastAsia" w:ascii="宋体" w:hAnsi="宋体" w:eastAsia="宋体" w:cs="宋体"/>
                <w:sz w:val="21"/>
                <w:szCs w:val="21"/>
                <w:lang w:eastAsia="zh-CN"/>
              </w:rPr>
              <w:t>并确保</w:t>
            </w:r>
            <w:r>
              <w:rPr>
                <w:rFonts w:hint="eastAsia" w:ascii="宋体" w:hAnsi="宋体" w:eastAsia="宋体" w:cs="宋体"/>
                <w:sz w:val="21"/>
                <w:szCs w:val="21"/>
              </w:rPr>
              <w:t>最小下泄生态流量为0.</w:t>
            </w:r>
            <w:r>
              <w:rPr>
                <w:rFonts w:hint="eastAsia" w:ascii="宋体" w:hAnsi="宋体" w:eastAsia="宋体" w:cs="宋体"/>
                <w:sz w:val="21"/>
                <w:szCs w:val="21"/>
                <w:lang w:val="en-US" w:eastAsia="zh-CN"/>
              </w:rPr>
              <w:t>025</w:t>
            </w:r>
            <w:r>
              <w:rPr>
                <w:rFonts w:hint="eastAsia" w:ascii="宋体" w:hAnsi="宋体" w:eastAsia="宋体" w:cs="宋体"/>
                <w:sz w:val="21"/>
                <w:szCs w:val="21"/>
              </w:rPr>
              <w:t>m</w:t>
            </w:r>
            <w:r>
              <w:rPr>
                <w:rFonts w:hint="eastAsia" w:ascii="宋体" w:hAnsi="宋体" w:eastAsia="宋体" w:cs="宋体"/>
                <w:sz w:val="21"/>
                <w:szCs w:val="21"/>
                <w:vertAlign w:val="superscript"/>
              </w:rPr>
              <w:t>3</w:t>
            </w:r>
            <w:r>
              <w:rPr>
                <w:rFonts w:hint="eastAsia" w:ascii="宋体" w:hAnsi="宋体" w:eastAsia="宋体" w:cs="宋体"/>
                <w:sz w:val="21"/>
                <w:szCs w:val="21"/>
              </w:rPr>
              <w:t>/s，可满足生态用水需要水量的要求</w:t>
            </w:r>
          </w:p>
        </w:tc>
        <w:tc>
          <w:tcPr>
            <w:tcW w:w="1810" w:type="dxa"/>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67" w:hRule="atLeast"/>
        </w:trPr>
        <w:tc>
          <w:tcPr>
            <w:tcW w:w="687" w:type="dxa"/>
            <w:tcBorders>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废气</w:t>
            </w:r>
          </w:p>
        </w:tc>
        <w:tc>
          <w:tcPr>
            <w:tcW w:w="889"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施工期</w:t>
            </w:r>
          </w:p>
        </w:tc>
        <w:tc>
          <w:tcPr>
            <w:tcW w:w="5277"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numPr>
                <w:ilvl w:val="0"/>
                <w:numId w:val="0"/>
              </w:numPr>
              <w:tabs>
                <w:tab w:val="left" w:pos="615"/>
              </w:tabs>
              <w:kinsoku/>
              <w:wordWrap/>
              <w:overflowPunct/>
              <w:topLinePunct w:val="0"/>
              <w:autoSpaceDE w:val="0"/>
              <w:autoSpaceDN w:val="0"/>
              <w:bidi w:val="0"/>
              <w:adjustRightInd/>
              <w:snapToGrid/>
              <w:spacing w:before="0" w:after="0" w:line="242" w:lineRule="auto"/>
              <w:ind w:leftChars="0" w:right="0" w:rightChars="0"/>
              <w:jc w:val="left"/>
              <w:textAlignment w:val="auto"/>
              <w:rPr>
                <w:rFonts w:hint="eastAsia" w:ascii="宋体" w:hAnsi="宋体" w:eastAsia="宋体" w:cs="宋体"/>
                <w:sz w:val="21"/>
                <w:szCs w:val="21"/>
                <w:highlight w:val="none"/>
              </w:rPr>
            </w:pPr>
            <w:r>
              <w:rPr>
                <w:rFonts w:hint="eastAsia" w:ascii="宋体" w:hAnsi="宋体" w:eastAsia="宋体" w:cs="宋体"/>
                <w:spacing w:val="-7"/>
                <w:sz w:val="21"/>
                <w:szCs w:val="21"/>
                <w:highlight w:val="none"/>
                <w:lang w:eastAsia="zh-CN"/>
              </w:rPr>
              <w:t>①</w:t>
            </w:r>
            <w:r>
              <w:rPr>
                <w:rFonts w:hint="eastAsia" w:ascii="宋体" w:hAnsi="宋体" w:eastAsia="宋体" w:cs="宋体"/>
                <w:spacing w:val="-7"/>
                <w:sz w:val="21"/>
                <w:szCs w:val="21"/>
                <w:highlight w:val="none"/>
              </w:rPr>
              <w:t>加强对施工汽车、挖掘机、拖拉机等燃油设备的维护，保持其完好运行，使燃料充分燃烧，节约能源， 减少大气污染物排放。</w:t>
            </w:r>
          </w:p>
          <w:p>
            <w:pPr>
              <w:pStyle w:val="21"/>
              <w:keepNext w:val="0"/>
              <w:keepLines w:val="0"/>
              <w:pageBreakBefore w:val="0"/>
              <w:widowControl w:val="0"/>
              <w:numPr>
                <w:ilvl w:val="0"/>
                <w:numId w:val="8"/>
              </w:numPr>
              <w:tabs>
                <w:tab w:val="left" w:pos="615"/>
              </w:tabs>
              <w:kinsoku/>
              <w:wordWrap/>
              <w:overflowPunct/>
              <w:topLinePunct w:val="0"/>
              <w:autoSpaceDE w:val="0"/>
              <w:autoSpaceDN w:val="0"/>
              <w:bidi w:val="0"/>
              <w:adjustRightInd/>
              <w:snapToGrid/>
              <w:spacing w:before="0" w:after="0" w:line="240" w:lineRule="auto"/>
              <w:ind w:left="0" w:right="0" w:hanging="602"/>
              <w:jc w:val="left"/>
              <w:textAlignment w:val="auto"/>
              <w:rPr>
                <w:rFonts w:hint="eastAsia" w:ascii="宋体" w:hAnsi="宋体" w:eastAsia="宋体" w:cs="宋体"/>
                <w:sz w:val="21"/>
                <w:szCs w:val="21"/>
                <w:highlight w:val="none"/>
              </w:rPr>
            </w:pPr>
            <w:r>
              <w:rPr>
                <w:rFonts w:hint="eastAsia" w:ascii="宋体" w:hAnsi="宋体" w:eastAsia="宋体" w:cs="宋体"/>
                <w:spacing w:val="-8"/>
                <w:sz w:val="21"/>
                <w:szCs w:val="21"/>
                <w:highlight w:val="none"/>
                <w:lang w:eastAsia="zh-CN"/>
              </w:rPr>
              <w:t>②</w:t>
            </w:r>
            <w:r>
              <w:rPr>
                <w:rFonts w:hint="eastAsia" w:ascii="宋体" w:hAnsi="宋体" w:eastAsia="宋体" w:cs="宋体"/>
                <w:spacing w:val="-8"/>
                <w:sz w:val="21"/>
                <w:szCs w:val="21"/>
                <w:highlight w:val="none"/>
              </w:rPr>
              <w:t>在运输、装卸建材时，尽量控制少洒落，必要时对</w:t>
            </w:r>
          </w:p>
          <w:p>
            <w:pPr>
              <w:pStyle w:val="21"/>
              <w:keepNext w:val="0"/>
              <w:keepLines w:val="0"/>
              <w:pageBreakBefore w:val="0"/>
              <w:widowControl w:val="0"/>
              <w:kinsoku/>
              <w:wordWrap/>
              <w:overflowPunct/>
              <w:topLinePunct w:val="0"/>
              <w:autoSpaceDE w:val="0"/>
              <w:autoSpaceDN w:val="0"/>
              <w:bidi w:val="0"/>
              <w:adjustRightInd/>
              <w:snapToGrid/>
              <w:spacing w:before="0" w:line="310" w:lineRule="atLeast"/>
              <w:ind w:left="0" w:right="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临时道路采用洒水等措施以降低扬尘。对粉尘浓度高的施工点，工人配备防尘护具。</w:t>
            </w:r>
          </w:p>
        </w:tc>
        <w:tc>
          <w:tcPr>
            <w:tcW w:w="4605"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施工期间，大气污染物必须达到《大气污染物综合排放标准》(</w:t>
            </w:r>
            <w:r>
              <w:rPr>
                <w:rFonts w:hint="eastAsia" w:ascii="Times New Roman" w:hAnsi="Times New Roman" w:eastAsia="宋体" w:cs="Times New Roman"/>
                <w:sz w:val="21"/>
                <w:szCs w:val="21"/>
                <w:highlight w:val="none"/>
              </w:rPr>
              <w:t>GB16297-1996</w:t>
            </w:r>
            <w:r>
              <w:rPr>
                <w:rFonts w:hint="eastAsia" w:ascii="宋体" w:hAnsi="宋体" w:eastAsia="宋体" w:cs="宋体"/>
                <w:sz w:val="21"/>
                <w:szCs w:val="21"/>
                <w:highlight w:val="none"/>
              </w:rPr>
              <w:t>)</w:t>
            </w:r>
            <w:r>
              <w:rPr>
                <w:rFonts w:hint="eastAsia" w:ascii="宋体" w:hAnsi="宋体" w:eastAsia="宋体" w:cs="宋体"/>
                <w:spacing w:val="-3"/>
                <w:sz w:val="21"/>
                <w:szCs w:val="21"/>
                <w:highlight w:val="none"/>
              </w:rPr>
              <w:t xml:space="preserve"> 无组织排放监</w:t>
            </w:r>
            <w:r>
              <w:rPr>
                <w:rFonts w:hint="eastAsia" w:ascii="宋体" w:hAnsi="宋体" w:eastAsia="宋体" w:cs="宋体"/>
                <w:sz w:val="21"/>
                <w:szCs w:val="21"/>
                <w:highlight w:val="none"/>
              </w:rPr>
              <w:t>控浓度限值；</w:t>
            </w:r>
          </w:p>
        </w:tc>
        <w:tc>
          <w:tcPr>
            <w:tcW w:w="1810" w:type="dxa"/>
            <w:tcBorders>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687" w:type="dxa"/>
            <w:vMerge w:val="restart"/>
            <w:tcBorders>
              <w:top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噪声</w:t>
            </w:r>
          </w:p>
        </w:tc>
        <w:tc>
          <w:tcPr>
            <w:tcW w:w="889"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施工期</w:t>
            </w:r>
          </w:p>
        </w:tc>
        <w:tc>
          <w:tcPr>
            <w:tcW w:w="5277"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numPr>
                <w:ilvl w:val="0"/>
                <w:numId w:val="0"/>
              </w:numPr>
              <w:tabs>
                <w:tab w:val="left" w:pos="615"/>
              </w:tabs>
              <w:kinsoku/>
              <w:wordWrap/>
              <w:overflowPunct/>
              <w:topLinePunct w:val="0"/>
              <w:autoSpaceDE w:val="0"/>
              <w:autoSpaceDN w:val="0"/>
              <w:bidi w:val="0"/>
              <w:adjustRightInd/>
              <w:snapToGrid/>
              <w:spacing w:before="0" w:after="0" w:line="242" w:lineRule="auto"/>
              <w:ind w:leftChars="0" w:right="0" w:rightChars="0"/>
              <w:jc w:val="left"/>
              <w:textAlignment w:val="auto"/>
              <w:rPr>
                <w:rFonts w:hint="eastAsia" w:ascii="宋体" w:hAnsi="宋体" w:eastAsia="宋体" w:cs="宋体"/>
                <w:sz w:val="21"/>
                <w:szCs w:val="21"/>
              </w:rPr>
            </w:pPr>
            <w:r>
              <w:rPr>
                <w:rFonts w:hint="eastAsia" w:ascii="宋体" w:hAnsi="宋体" w:eastAsia="宋体" w:cs="宋体"/>
                <w:spacing w:val="-3"/>
                <w:sz w:val="21"/>
                <w:szCs w:val="21"/>
                <w:lang w:eastAsia="zh-CN"/>
              </w:rPr>
              <w:t>①</w:t>
            </w:r>
            <w:r>
              <w:rPr>
                <w:rFonts w:hint="eastAsia" w:ascii="宋体" w:hAnsi="宋体" w:eastAsia="宋体" w:cs="宋体"/>
                <w:spacing w:val="-3"/>
                <w:sz w:val="21"/>
                <w:szCs w:val="21"/>
              </w:rPr>
              <w:t>尽量选择低噪声施工机械设备，对高噪声施工设备实行科学合理调配，应尽量将高噪声声设备安排在白天施工。</w:t>
            </w:r>
          </w:p>
          <w:p>
            <w:pPr>
              <w:pStyle w:val="21"/>
              <w:keepNext w:val="0"/>
              <w:keepLines w:val="0"/>
              <w:pageBreakBefore w:val="0"/>
              <w:widowControl w:val="0"/>
              <w:numPr>
                <w:ilvl w:val="0"/>
                <w:numId w:val="0"/>
              </w:numPr>
              <w:tabs>
                <w:tab w:val="left" w:pos="615"/>
              </w:tabs>
              <w:kinsoku/>
              <w:wordWrap/>
              <w:overflowPunct/>
              <w:topLinePunct w:val="0"/>
              <w:autoSpaceDE w:val="0"/>
              <w:autoSpaceDN w:val="0"/>
              <w:bidi w:val="0"/>
              <w:adjustRightInd/>
              <w:snapToGrid/>
              <w:spacing w:before="0" w:after="0" w:line="242" w:lineRule="auto"/>
              <w:ind w:leftChars="0" w:right="0" w:rightChars="0"/>
              <w:jc w:val="left"/>
              <w:textAlignment w:val="auto"/>
              <w:rPr>
                <w:rFonts w:hint="eastAsia" w:ascii="宋体" w:hAnsi="宋体" w:eastAsia="宋体" w:cs="宋体"/>
                <w:sz w:val="21"/>
                <w:szCs w:val="21"/>
              </w:rPr>
            </w:pPr>
            <w:r>
              <w:rPr>
                <w:rFonts w:hint="eastAsia" w:ascii="宋体" w:hAnsi="宋体" w:eastAsia="宋体" w:cs="宋体"/>
                <w:spacing w:val="-3"/>
                <w:sz w:val="21"/>
                <w:szCs w:val="21"/>
                <w:lang w:eastAsia="zh-CN"/>
              </w:rPr>
              <w:t>②</w:t>
            </w:r>
            <w:r>
              <w:rPr>
                <w:rFonts w:hint="eastAsia" w:ascii="宋体" w:hAnsi="宋体" w:eastAsia="宋体" w:cs="宋体"/>
                <w:spacing w:val="-3"/>
                <w:sz w:val="21"/>
                <w:szCs w:val="21"/>
              </w:rPr>
              <w:t>在离民居点较近的施工点，应尽可能采用低噪声的施工设备，必须采用高噪声设备施工</w:t>
            </w:r>
            <w:r>
              <w:rPr>
                <w:rFonts w:hint="eastAsia" w:ascii="宋体" w:hAnsi="宋体" w:eastAsia="宋体" w:cs="宋体"/>
                <w:sz w:val="21"/>
                <w:szCs w:val="21"/>
              </w:rPr>
              <w:t>的工艺，应尽可能紧凑，以缩短噪声影响时间，并在施工前通告当地居民。</w:t>
            </w:r>
          </w:p>
        </w:tc>
        <w:tc>
          <w:tcPr>
            <w:tcW w:w="4605" w:type="dxa"/>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2" w:lineRule="auto"/>
              <w:ind w:right="0"/>
              <w:jc w:val="left"/>
              <w:textAlignment w:val="auto"/>
              <w:rPr>
                <w:rFonts w:hint="eastAsia" w:ascii="宋体" w:hAnsi="宋体" w:eastAsia="宋体" w:cs="宋体"/>
                <w:sz w:val="21"/>
                <w:szCs w:val="21"/>
              </w:rPr>
            </w:pPr>
            <w:r>
              <w:rPr>
                <w:rFonts w:hint="eastAsia" w:ascii="宋体" w:hAnsi="宋体" w:eastAsia="宋体" w:cs="宋体"/>
                <w:spacing w:val="-8"/>
                <w:sz w:val="21"/>
                <w:szCs w:val="21"/>
              </w:rPr>
              <w:t>施工噪声必须达到《建筑施工</w:t>
            </w:r>
            <w:r>
              <w:rPr>
                <w:rFonts w:hint="eastAsia" w:ascii="宋体" w:hAnsi="宋体" w:eastAsia="宋体" w:cs="宋体"/>
                <w:spacing w:val="-17"/>
                <w:sz w:val="21"/>
                <w:szCs w:val="21"/>
              </w:rPr>
              <w:t>场界噪声限值》</w:t>
            </w:r>
            <w:r>
              <w:rPr>
                <w:rFonts w:hint="eastAsia" w:ascii="宋体" w:hAnsi="宋体" w:eastAsia="宋体" w:cs="宋体"/>
                <w:sz w:val="21"/>
                <w:szCs w:val="21"/>
              </w:rPr>
              <w:t>(</w:t>
            </w:r>
            <w:r>
              <w:rPr>
                <w:rFonts w:hint="eastAsia" w:ascii="Times New Roman" w:hAnsi="Times New Roman" w:eastAsia="宋体" w:cs="Times New Roman"/>
                <w:sz w:val="21"/>
                <w:szCs w:val="21"/>
              </w:rPr>
              <w:t>GB12523-90</w:t>
            </w:r>
            <w:r>
              <w:rPr>
                <w:rFonts w:hint="eastAsia" w:ascii="宋体" w:hAnsi="宋体" w:eastAsia="宋体" w:cs="宋体"/>
                <w:sz w:val="21"/>
                <w:szCs w:val="21"/>
              </w:rPr>
              <w:t>)标准要求。</w:t>
            </w:r>
          </w:p>
        </w:tc>
        <w:tc>
          <w:tcPr>
            <w:tcW w:w="1810" w:type="dxa"/>
            <w:tcBorders>
              <w:top w:val="single" w:color="000000" w:sz="6" w:space="0"/>
              <w:left w:val="single" w:color="000000" w:sz="6" w:space="0"/>
              <w:bottom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b/>
                <w:sz w:val="21"/>
                <w:szCs w:val="21"/>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1" w:hRule="atLeast"/>
        </w:trPr>
        <w:tc>
          <w:tcPr>
            <w:tcW w:w="687" w:type="dxa"/>
            <w:vMerge w:val="continue"/>
            <w:tcBorders>
              <w:top w:val="nil"/>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p>
        </w:tc>
        <w:tc>
          <w:tcPr>
            <w:tcW w:w="88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营运期</w:t>
            </w:r>
          </w:p>
        </w:tc>
        <w:tc>
          <w:tcPr>
            <w:tcW w:w="5277"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加强对发电机组的管理，保证机器完好运行，降低设备噪声源强，并加强厂房周围的绿化，既达到美化环境的效果，又起到消音减震作用，保证边界噪声达标排放。</w:t>
            </w:r>
          </w:p>
        </w:tc>
        <w:tc>
          <w:tcPr>
            <w:tcW w:w="4605"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发电厂房厂界噪声执行</w:t>
            </w:r>
            <w:r>
              <w:rPr>
                <w:rFonts w:hint="eastAsia" w:ascii="Times New Roman" w:hAnsi="Times New Roman" w:eastAsia="宋体" w:cs="Times New Roman"/>
                <w:spacing w:val="-9"/>
                <w:sz w:val="21"/>
                <w:szCs w:val="21"/>
                <w:lang w:val="en-US" w:eastAsia="zh-CN"/>
              </w:rPr>
              <w:t>GB3096-93</w:t>
            </w:r>
            <w:r>
              <w:rPr>
                <w:rFonts w:hint="eastAsia" w:ascii="宋体" w:hAnsi="宋体" w:eastAsia="宋体" w:cs="宋体"/>
                <w:sz w:val="21"/>
                <w:szCs w:val="21"/>
              </w:rPr>
              <w:t>《城市区域环境噪声标</w:t>
            </w:r>
            <w:r>
              <w:rPr>
                <w:rFonts w:hint="eastAsia" w:ascii="宋体" w:hAnsi="宋体" w:eastAsia="宋体" w:cs="宋体"/>
                <w:spacing w:val="-19"/>
                <w:sz w:val="21"/>
                <w:szCs w:val="21"/>
              </w:rPr>
              <w:t>准》中</w:t>
            </w:r>
            <w:r>
              <w:rPr>
                <w:rFonts w:hint="eastAsia" w:ascii="宋体" w:hAnsi="宋体" w:eastAsia="宋体" w:cs="宋体"/>
                <w:spacing w:val="-19"/>
                <w:sz w:val="21"/>
                <w:szCs w:val="21"/>
                <w:lang w:val="en-US" w:eastAsia="zh-CN"/>
              </w:rPr>
              <w:t xml:space="preserve">2 </w:t>
            </w:r>
            <w:r>
              <w:rPr>
                <w:rFonts w:hint="eastAsia" w:ascii="宋体" w:hAnsi="宋体" w:eastAsia="宋体" w:cs="宋体"/>
                <w:spacing w:val="-9"/>
                <w:sz w:val="21"/>
                <w:szCs w:val="21"/>
              </w:rPr>
              <w:t>类区标准，及昼间</w:t>
            </w:r>
            <w:r>
              <w:rPr>
                <w:rFonts w:hint="default" w:ascii="Times New Roman" w:hAnsi="Times New Roman" w:eastAsia="宋体" w:cs="Times New Roman"/>
                <w:spacing w:val="-9"/>
                <w:sz w:val="21"/>
                <w:szCs w:val="21"/>
                <w:lang w:val="en-US" w:eastAsia="zh-CN"/>
              </w:rPr>
              <w:t>60</w:t>
            </w:r>
            <w:r>
              <w:rPr>
                <w:rFonts w:hint="default" w:ascii="Times New Roman" w:hAnsi="Times New Roman" w:eastAsia="宋体" w:cs="Times New Roman"/>
                <w:sz w:val="21"/>
                <w:szCs w:val="21"/>
              </w:rPr>
              <w:t>dB（A）</w:t>
            </w:r>
            <w:r>
              <w:rPr>
                <w:rFonts w:hint="eastAsia" w:ascii="宋体" w:hAnsi="宋体" w:eastAsia="宋体" w:cs="宋体"/>
                <w:sz w:val="21"/>
                <w:szCs w:val="21"/>
              </w:rPr>
              <w:t>、夜间</w:t>
            </w:r>
            <w:r>
              <w:rPr>
                <w:rFonts w:hint="eastAsia" w:ascii="Times New Roman" w:hAnsi="Times New Roman" w:eastAsia="宋体" w:cs="Times New Roman"/>
                <w:spacing w:val="-9"/>
                <w:sz w:val="21"/>
                <w:szCs w:val="21"/>
                <w:lang w:val="en-US" w:eastAsia="zh-CN"/>
              </w:rPr>
              <w:t>50dB（A）</w:t>
            </w:r>
            <w:r>
              <w:rPr>
                <w:rFonts w:hint="eastAsia" w:ascii="宋体" w:hAnsi="宋体" w:eastAsia="宋体" w:cs="宋体"/>
                <w:sz w:val="21"/>
                <w:szCs w:val="21"/>
              </w:rPr>
              <w:t>。</w:t>
            </w:r>
          </w:p>
        </w:tc>
        <w:tc>
          <w:tcPr>
            <w:tcW w:w="1810" w:type="dxa"/>
            <w:tcBorders>
              <w:top w:val="single" w:color="000000" w:sz="6" w:space="0"/>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bl>
    <w:p>
      <w:pPr>
        <w:pStyle w:val="7"/>
        <w:spacing w:before="4"/>
        <w:rPr>
          <w:b/>
        </w:rPr>
      </w:pPr>
      <w:r>
        <mc:AlternateContent>
          <mc:Choice Requires="wps">
            <w:drawing>
              <wp:anchor distT="0" distB="0" distL="0" distR="0" simplePos="0" relativeHeight="251663360" behindDoc="1" locked="0" layoutInCell="1" allowOverlap="1">
                <wp:simplePos x="0" y="0"/>
                <wp:positionH relativeFrom="page">
                  <wp:posOffset>1143000</wp:posOffset>
                </wp:positionH>
                <wp:positionV relativeFrom="paragraph">
                  <wp:posOffset>225425</wp:posOffset>
                </wp:positionV>
                <wp:extent cx="8406130" cy="0"/>
                <wp:effectExtent l="0" t="0" r="0" b="0"/>
                <wp:wrapTopAndBottom/>
                <wp:docPr id="90" name="直线 12"/>
                <wp:cNvGraphicFramePr/>
                <a:graphic xmlns:a="http://schemas.openxmlformats.org/drawingml/2006/main">
                  <a:graphicData uri="http://schemas.microsoft.com/office/word/2010/wordprocessingShape">
                    <wps:wsp>
                      <wps:cNvCnPr/>
                      <wps:spPr>
                        <a:xfrm>
                          <a:off x="0" y="0"/>
                          <a:ext cx="84061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90pt;margin-top:17.75pt;height:0pt;width:661.9pt;mso-position-horizontal-relative:page;mso-wrap-distance-bottom:0pt;mso-wrap-distance-top:0pt;z-index:-251653120;mso-width-relative:page;mso-height-relative:page;" filled="f" stroked="t" coordsize="21600,21600" o:gfxdata="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epkyV1wAAAAoBAAAPAAAAAAAAAAEAIAAAACIAAABk&#10;cnMvZG93bnJldi54bWxQSwECFAAUAAAACACHTuJAZ20ed84BAACPAwAADgAAAAAAAAABACAAAAAm&#10;AQAAZHJzL2Uyb0RvYy54bWxQSwUGAAAAAAYABgBZAQAAZgUAAAAA&#10;">
                <v:fill on="f" focussize="0,0"/>
                <v:stroke weight="0.48pt" color="#000000" joinstyle="round"/>
                <v:imagedata o:title=""/>
                <o:lock v:ext="edit" aspectratio="f"/>
                <w10:wrap type="topAndBottom"/>
              </v:line>
            </w:pict>
          </mc:Fallback>
        </mc:AlternateContent>
      </w:r>
    </w:p>
    <w:p>
      <w:pPr>
        <w:pStyle w:val="7"/>
        <w:rPr>
          <w:rFonts w:ascii="Times New Roman"/>
          <w:sz w:val="29"/>
        </w:rPr>
      </w:pPr>
    </w:p>
    <w:tbl>
      <w:tblPr>
        <w:tblStyle w:val="16"/>
        <w:tblW w:w="0" w:type="auto"/>
        <w:tblInd w:w="14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7"/>
        <w:gridCol w:w="889"/>
        <w:gridCol w:w="5809"/>
        <w:gridCol w:w="4133"/>
        <w:gridCol w:w="175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576" w:type="dxa"/>
            <w:gridSpan w:val="2"/>
            <w:tcBorders>
              <w:righ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验收对象</w:t>
            </w:r>
          </w:p>
        </w:tc>
        <w:tc>
          <w:tcPr>
            <w:tcW w:w="5809" w:type="dxa"/>
            <w:tcBorders>
              <w:left w:val="single" w:color="000000" w:sz="6" w:space="0"/>
              <w:righ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环评及设计要求</w:t>
            </w:r>
          </w:p>
        </w:tc>
        <w:tc>
          <w:tcPr>
            <w:tcW w:w="4133" w:type="dxa"/>
            <w:tcBorders>
              <w:left w:val="single" w:color="000000" w:sz="6" w:space="0"/>
              <w:righ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批复要求</w:t>
            </w:r>
          </w:p>
        </w:tc>
        <w:tc>
          <w:tcPr>
            <w:tcW w:w="1750" w:type="dxa"/>
            <w:tcBorders>
              <w:left w:val="single" w:color="000000" w:sz="6" w:space="0"/>
            </w:tcBorders>
            <w:shd w:val="clear" w:color="auto" w:fill="FFFFFF" w:themeFill="background1"/>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落实情况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687" w:type="dxa"/>
            <w:vMerge w:val="restart"/>
            <w:tcBorders>
              <w:top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固废</w:t>
            </w:r>
          </w:p>
        </w:tc>
        <w:tc>
          <w:tcPr>
            <w:tcW w:w="889" w:type="dxa"/>
            <w:tcBorders>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施工期</w:t>
            </w:r>
          </w:p>
        </w:tc>
        <w:tc>
          <w:tcPr>
            <w:tcW w:w="5809"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应建垃圾箱，集中收集及时清运并妥善填埋处理。</w:t>
            </w:r>
          </w:p>
        </w:tc>
        <w:tc>
          <w:tcPr>
            <w:tcW w:w="4133" w:type="dxa"/>
            <w:vMerge w:val="restart"/>
            <w:tcBorders>
              <w:top w:val="single" w:color="000000" w:sz="6" w:space="0"/>
              <w:left w:val="single" w:color="000000" w:sz="6" w:space="0"/>
              <w:bottom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hanging="3"/>
              <w:jc w:val="left"/>
              <w:textAlignment w:val="auto"/>
              <w:rPr>
                <w:rFonts w:hint="eastAsia" w:ascii="宋体" w:hAnsi="宋体" w:eastAsia="宋体" w:cs="宋体"/>
                <w:sz w:val="21"/>
                <w:szCs w:val="21"/>
              </w:rPr>
            </w:pPr>
            <w:r>
              <w:rPr>
                <w:rFonts w:hint="eastAsia" w:ascii="宋体" w:hAnsi="宋体" w:eastAsia="宋体" w:cs="宋体"/>
                <w:sz w:val="21"/>
                <w:szCs w:val="21"/>
              </w:rPr>
              <w:t>工程固体废物应在有挡墙且避水</w:t>
            </w:r>
            <w:r>
              <w:rPr>
                <w:rFonts w:hint="eastAsia" w:ascii="宋体" w:hAnsi="宋体" w:eastAsia="宋体" w:cs="宋体"/>
                <w:spacing w:val="-9"/>
                <w:sz w:val="21"/>
                <w:szCs w:val="21"/>
              </w:rPr>
              <w:t>的堆场堆放，并做好堆场表面植被</w:t>
            </w:r>
            <w:r>
              <w:rPr>
                <w:rFonts w:hint="eastAsia" w:ascii="宋体" w:hAnsi="宋体" w:eastAsia="宋体" w:cs="宋体"/>
                <w:spacing w:val="-11"/>
                <w:sz w:val="21"/>
                <w:szCs w:val="21"/>
              </w:rPr>
              <w:t>覆盖工作，避免弃渣不当而对环境</w:t>
            </w:r>
            <w:r>
              <w:rPr>
                <w:rFonts w:hint="eastAsia" w:ascii="宋体" w:hAnsi="宋体" w:eastAsia="宋体" w:cs="宋体"/>
                <w:sz w:val="21"/>
                <w:szCs w:val="21"/>
              </w:rPr>
              <w:t>造成污染。</w:t>
            </w:r>
          </w:p>
        </w:tc>
        <w:tc>
          <w:tcPr>
            <w:tcW w:w="1750" w:type="dxa"/>
            <w:vMerge w:val="restart"/>
            <w:tcBorders>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1" w:hRule="atLeast"/>
        </w:trPr>
        <w:tc>
          <w:tcPr>
            <w:tcW w:w="687"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p>
        </w:tc>
        <w:tc>
          <w:tcPr>
            <w:tcW w:w="88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营运期</w:t>
            </w:r>
          </w:p>
        </w:tc>
        <w:tc>
          <w:tcPr>
            <w:tcW w:w="5809"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p>
        </w:tc>
        <w:tc>
          <w:tcPr>
            <w:tcW w:w="4133" w:type="dxa"/>
            <w:vMerge w:val="continue"/>
            <w:tcBorders>
              <w:top w:val="nil"/>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p>
        </w:tc>
        <w:tc>
          <w:tcPr>
            <w:tcW w:w="1750" w:type="dxa"/>
            <w:vMerge w:val="continue"/>
            <w:tcBorders>
              <w:top w:val="nil"/>
              <w:lef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98" w:hRule="atLeast"/>
        </w:trPr>
        <w:tc>
          <w:tcPr>
            <w:tcW w:w="1576" w:type="dxa"/>
            <w:gridSpan w:val="2"/>
            <w:tcBorders>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水土保持</w:t>
            </w:r>
          </w:p>
        </w:tc>
        <w:tc>
          <w:tcPr>
            <w:tcW w:w="5809"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① 水土保持工程必须与主体工程同时设计、同时施工同时投入使用。</w:t>
            </w:r>
          </w:p>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② 做好预防工作，尽量减少施工过程中造成的水土流失，防止对征地范围以外水土资源的破坏。施工临时用地在施工结束后，要清除地表杂物并绿化。</w:t>
            </w:r>
          </w:p>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③由工程建设引起的水土流失均要求采取相应的治理措施，如挡土墙、护面墙、浆砌护坡、草皮等。</w:t>
            </w:r>
          </w:p>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④工程开挖的土石方，在工程中尽量加以利用，不能利用的弃方堆置在指定的弃渣场内。弃渣要防护，边坡要稳定，岩石、黄土不裸露。</w:t>
            </w:r>
          </w:p>
        </w:tc>
        <w:tc>
          <w:tcPr>
            <w:tcW w:w="4133" w:type="dxa"/>
            <w:tcBorders>
              <w:top w:val="single" w:color="000000" w:sz="6" w:space="0"/>
              <w:left w:val="single" w:color="000000" w:sz="6" w:space="0"/>
              <w:righ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l、加强水污染物的处置工作。对</w:t>
            </w:r>
            <w:r>
              <w:rPr>
                <w:rFonts w:hint="eastAsia" w:ascii="宋体" w:hAnsi="宋体" w:eastAsia="宋体" w:cs="宋体"/>
                <w:spacing w:val="11"/>
                <w:sz w:val="21"/>
                <w:szCs w:val="21"/>
              </w:rPr>
              <w:t>施工过程中的砂石骨料加工系统</w:t>
            </w:r>
            <w:r>
              <w:rPr>
                <w:rFonts w:hint="eastAsia" w:ascii="宋体" w:hAnsi="宋体" w:eastAsia="宋体" w:cs="宋体"/>
                <w:spacing w:val="-7"/>
                <w:sz w:val="21"/>
                <w:szCs w:val="21"/>
              </w:rPr>
              <w:t>废水、混凝土拌和系统废水、基坑</w:t>
            </w:r>
            <w:r>
              <w:rPr>
                <w:rFonts w:hint="eastAsia" w:ascii="宋体" w:hAnsi="宋体" w:eastAsia="宋体" w:cs="宋体"/>
                <w:spacing w:val="-5"/>
                <w:sz w:val="21"/>
                <w:szCs w:val="21"/>
              </w:rPr>
              <w:t>排水和生活污水进行认真处理，达</w:t>
            </w:r>
            <w:r>
              <w:rPr>
                <w:rFonts w:hint="eastAsia" w:ascii="宋体" w:hAnsi="宋体" w:eastAsia="宋体" w:cs="宋体"/>
                <w:sz w:val="21"/>
                <w:szCs w:val="21"/>
              </w:rPr>
              <w:t>标排放。</w:t>
            </w:r>
          </w:p>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2、对施工期开挖、爆破、砂石骨料加工和混凝土搅拌过程中产生的粉尘妥善处理，防止对周边环境空气造成污染。</w:t>
            </w:r>
          </w:p>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3、由于建筑施工的开挖与填筑、</w:t>
            </w:r>
            <w:r>
              <w:rPr>
                <w:rFonts w:hint="eastAsia" w:ascii="宋体" w:hAnsi="宋体" w:eastAsia="宋体" w:cs="宋体"/>
                <w:spacing w:val="-17"/>
                <w:sz w:val="21"/>
                <w:szCs w:val="21"/>
              </w:rPr>
              <w:t>弃渣</w:t>
            </w:r>
            <w:r>
              <w:rPr>
                <w:rFonts w:hint="eastAsia" w:ascii="宋体" w:hAnsi="宋体" w:eastAsia="宋体" w:cs="宋体"/>
                <w:spacing w:val="-3"/>
                <w:sz w:val="21"/>
                <w:szCs w:val="21"/>
              </w:rPr>
              <w:t>（</w:t>
            </w:r>
            <w:r>
              <w:rPr>
                <w:rFonts w:hint="eastAsia" w:ascii="宋体" w:hAnsi="宋体" w:eastAsia="宋体" w:cs="宋体"/>
                <w:sz w:val="21"/>
                <w:szCs w:val="21"/>
              </w:rPr>
              <w:t>土</w:t>
            </w:r>
            <w:r>
              <w:rPr>
                <w:rFonts w:hint="eastAsia" w:ascii="宋体" w:hAnsi="宋体" w:eastAsia="宋体" w:cs="宋体"/>
                <w:spacing w:val="-34"/>
                <w:sz w:val="21"/>
                <w:szCs w:val="21"/>
              </w:rPr>
              <w:t>）</w:t>
            </w:r>
            <w:r>
              <w:rPr>
                <w:rFonts w:hint="eastAsia" w:ascii="宋体" w:hAnsi="宋体" w:eastAsia="宋体" w:cs="宋体"/>
                <w:sz w:val="21"/>
                <w:szCs w:val="21"/>
              </w:rPr>
              <w:t>的堆置等均易造成水土</w:t>
            </w:r>
            <w:r>
              <w:rPr>
                <w:rFonts w:hint="eastAsia" w:ascii="宋体" w:hAnsi="宋体" w:eastAsia="宋体" w:cs="宋体"/>
                <w:spacing w:val="-9"/>
                <w:sz w:val="21"/>
                <w:szCs w:val="21"/>
              </w:rPr>
              <w:t>流失，必须做好工程的生态环境保</w:t>
            </w:r>
            <w:r>
              <w:rPr>
                <w:rFonts w:hint="eastAsia" w:ascii="宋体" w:hAnsi="宋体" w:eastAsia="宋体" w:cs="宋体"/>
                <w:spacing w:val="-10"/>
                <w:sz w:val="21"/>
                <w:szCs w:val="21"/>
              </w:rPr>
              <w:t>护工作。施工完成后，应按照要求</w:t>
            </w:r>
            <w:r>
              <w:rPr>
                <w:rFonts w:hint="eastAsia" w:ascii="宋体" w:hAnsi="宋体" w:eastAsia="宋体" w:cs="宋体"/>
                <w:spacing w:val="-12"/>
                <w:sz w:val="21"/>
                <w:szCs w:val="21"/>
              </w:rPr>
              <w:t>及时对施工场地、弃渣场、施工递路和施工营地等采取工程、植树</w:t>
            </w:r>
            <w:r>
              <w:rPr>
                <w:rFonts w:hint="eastAsia" w:ascii="宋体" w:hAnsi="宋体" w:eastAsia="宋体" w:cs="宋体"/>
                <w:sz w:val="21"/>
                <w:szCs w:val="21"/>
              </w:rPr>
              <w:t>种草等措施予以防护和恢复， 防止水土流失。</w:t>
            </w:r>
          </w:p>
        </w:tc>
        <w:tc>
          <w:tcPr>
            <w:tcW w:w="1750" w:type="dxa"/>
            <w:tcBorders>
              <w:left w:val="single" w:color="000000" w:sz="6" w:space="0"/>
            </w:tcBorders>
            <w:vAlign w:val="center"/>
          </w:tcPr>
          <w:p>
            <w:pPr>
              <w:pStyle w:val="21"/>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已落实</w:t>
            </w:r>
          </w:p>
        </w:tc>
      </w:tr>
    </w:tbl>
    <w:p>
      <w:pPr>
        <w:spacing w:after="0"/>
        <w:rPr>
          <w:sz w:val="24"/>
        </w:rPr>
        <w:sectPr>
          <w:footerReference r:id="rId8" w:type="default"/>
          <w:pgSz w:w="16840" w:h="11910" w:orient="landscape"/>
          <w:pgMar w:top="1100" w:right="1640" w:bottom="1060" w:left="1660" w:header="0" w:footer="875" w:gutter="0"/>
          <w:pgBorders>
            <w:top w:val="none" w:sz="0" w:space="0"/>
            <w:left w:val="none" w:sz="0" w:space="0"/>
            <w:bottom w:val="none" w:sz="0" w:space="0"/>
            <w:right w:val="none" w:sz="0" w:space="0"/>
          </w:pgBorders>
          <w:pgNumType w:fmt="decimal"/>
        </w:sectPr>
      </w:pPr>
    </w:p>
    <w:p>
      <w:pPr>
        <w:pStyle w:val="3"/>
        <w:numPr>
          <w:ilvl w:val="0"/>
          <w:numId w:val="4"/>
        </w:numPr>
        <w:tabs>
          <w:tab w:val="left" w:pos="498"/>
        </w:tabs>
        <w:spacing w:before="83" w:after="0" w:line="240" w:lineRule="auto"/>
        <w:ind w:left="497" w:right="0" w:hanging="361"/>
        <w:jc w:val="left"/>
        <w:rPr>
          <w:rFonts w:hint="eastAsia" w:ascii="宋体" w:hAnsi="宋体" w:eastAsia="宋体" w:cs="宋体"/>
        </w:rPr>
      </w:pPr>
      <w:bookmarkStart w:id="125" w:name="_bookmark19"/>
      <w:bookmarkEnd w:id="125"/>
      <w:bookmarkStart w:id="126" w:name="5环境影响调查"/>
      <w:bookmarkEnd w:id="126"/>
      <w:bookmarkStart w:id="127" w:name="_bookmark19"/>
      <w:bookmarkEnd w:id="127"/>
      <w:r>
        <w:rPr>
          <w:rFonts w:hint="eastAsia" w:ascii="宋体" w:hAnsi="宋体" w:eastAsia="宋体" w:cs="宋体"/>
        </w:rPr>
        <w:t>环境影响调查</w:t>
      </w:r>
    </w:p>
    <w:p>
      <w:pPr>
        <w:pStyle w:val="4"/>
        <w:numPr>
          <w:ilvl w:val="1"/>
          <w:numId w:val="4"/>
        </w:numPr>
        <w:tabs>
          <w:tab w:val="left" w:pos="740"/>
        </w:tabs>
        <w:spacing w:before="0" w:after="0" w:line="240" w:lineRule="auto"/>
        <w:ind w:left="740" w:right="0" w:hanging="603"/>
        <w:jc w:val="left"/>
        <w:rPr>
          <w:rFonts w:hint="eastAsia" w:ascii="宋体" w:hAnsi="宋体" w:eastAsia="宋体" w:cs="宋体"/>
        </w:rPr>
      </w:pPr>
      <w:bookmarkStart w:id="128" w:name="5.1生态环境影响调查"/>
      <w:bookmarkEnd w:id="128"/>
      <w:bookmarkStart w:id="129" w:name="_bookmark20"/>
      <w:bookmarkEnd w:id="129"/>
      <w:bookmarkStart w:id="130" w:name="_bookmark20"/>
      <w:bookmarkEnd w:id="130"/>
      <w:r>
        <w:rPr>
          <w:rFonts w:hint="eastAsia" w:ascii="宋体" w:hAnsi="宋体" w:eastAsia="宋体" w:cs="宋体"/>
        </w:rPr>
        <w:t>生态环境影响调查</w:t>
      </w:r>
    </w:p>
    <w:p>
      <w:pPr>
        <w:pStyle w:val="20"/>
        <w:numPr>
          <w:ilvl w:val="2"/>
          <w:numId w:val="4"/>
        </w:numPr>
        <w:tabs>
          <w:tab w:val="left" w:pos="836"/>
        </w:tabs>
        <w:spacing w:before="244" w:after="0" w:line="240" w:lineRule="auto"/>
        <w:ind w:left="836" w:right="0" w:hanging="699"/>
        <w:jc w:val="left"/>
        <w:rPr>
          <w:rFonts w:hint="eastAsia" w:ascii="宋体" w:hAnsi="宋体" w:eastAsia="宋体" w:cs="宋体"/>
          <w:b/>
          <w:sz w:val="28"/>
        </w:rPr>
      </w:pPr>
      <w:bookmarkStart w:id="131" w:name="5.1.1地形、地貌调查"/>
      <w:bookmarkEnd w:id="131"/>
      <w:bookmarkStart w:id="132" w:name="5.1.1地形、地貌调查"/>
      <w:bookmarkEnd w:id="132"/>
      <w:r>
        <w:rPr>
          <w:rFonts w:hint="eastAsia" w:ascii="宋体" w:hAnsi="宋体" w:eastAsia="宋体" w:cs="宋体"/>
          <w:b/>
          <w:sz w:val="28"/>
        </w:rPr>
        <w:t>地形、地貌调查</w:t>
      </w:r>
    </w:p>
    <w:p>
      <w:pPr>
        <w:kinsoku/>
        <w:wordWrap/>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上堡河流域位于崇义河下游支流，流域内大部地区为低山，丘陵绵亘，及流域上游河两岸有狭谷地形，山顶海拔在</w:t>
      </w:r>
      <w:r>
        <w:rPr>
          <w:rFonts w:hint="default" w:ascii="Times New Roman" w:hAnsi="Times New Roman" w:eastAsia="宋体" w:cs="Times New Roman"/>
          <w:color w:val="auto"/>
          <w:sz w:val="24"/>
          <w:szCs w:val="24"/>
        </w:rPr>
        <w:t>300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600</w:t>
      </w:r>
      <w:r>
        <w:rPr>
          <w:rFonts w:hint="eastAsia" w:ascii="宋体" w:hAnsi="宋体" w:eastAsia="宋体" w:cs="宋体"/>
          <w:color w:val="auto"/>
          <w:sz w:val="24"/>
          <w:szCs w:val="24"/>
        </w:rPr>
        <w:t>之间。整个地形呈北高南低趋势，流域地貌：平原占</w:t>
      </w:r>
      <w:r>
        <w:rPr>
          <w:rFonts w:hint="eastAsia" w:ascii="Times New Roman" w:hAnsi="Times New Roman" w:eastAsia="宋体" w:cs="Times New Roman"/>
          <w:color w:val="auto"/>
          <w:sz w:val="24"/>
          <w:szCs w:val="24"/>
        </w:rPr>
        <w:t>6.48%</w:t>
      </w:r>
      <w:r>
        <w:rPr>
          <w:rFonts w:hint="eastAsia" w:ascii="宋体" w:hAnsi="宋体" w:eastAsia="宋体" w:cs="宋体"/>
          <w:color w:val="auto"/>
          <w:sz w:val="24"/>
          <w:szCs w:val="24"/>
        </w:rPr>
        <w:t>，岗地占</w:t>
      </w:r>
      <w:r>
        <w:rPr>
          <w:rFonts w:hint="eastAsia" w:ascii="Times New Roman" w:hAnsi="Times New Roman" w:eastAsia="宋体" w:cs="Times New Roman"/>
          <w:color w:val="auto"/>
          <w:sz w:val="24"/>
          <w:szCs w:val="24"/>
        </w:rPr>
        <w:t>10.68%</w:t>
      </w:r>
      <w:r>
        <w:rPr>
          <w:rFonts w:hint="eastAsia" w:ascii="宋体" w:hAnsi="宋体" w:eastAsia="宋体" w:cs="宋体"/>
          <w:color w:val="auto"/>
          <w:sz w:val="24"/>
          <w:szCs w:val="24"/>
        </w:rPr>
        <w:t>，丘陵占</w:t>
      </w:r>
      <w:r>
        <w:rPr>
          <w:rFonts w:hint="eastAsia" w:ascii="Times New Roman" w:hAnsi="Times New Roman" w:eastAsia="宋体" w:cs="Times New Roman"/>
          <w:color w:val="auto"/>
          <w:sz w:val="24"/>
          <w:szCs w:val="24"/>
        </w:rPr>
        <w:t>20.32%</w:t>
      </w:r>
      <w:r>
        <w:rPr>
          <w:rFonts w:hint="eastAsia" w:ascii="宋体" w:hAnsi="宋体" w:eastAsia="宋体" w:cs="宋体"/>
          <w:color w:val="auto"/>
          <w:sz w:val="24"/>
          <w:szCs w:val="24"/>
        </w:rPr>
        <w:t>，土地占</w:t>
      </w:r>
      <w:r>
        <w:rPr>
          <w:rFonts w:hint="eastAsia" w:ascii="Times New Roman" w:hAnsi="Times New Roman" w:eastAsia="宋体" w:cs="Times New Roman"/>
          <w:color w:val="auto"/>
          <w:sz w:val="24"/>
          <w:szCs w:val="24"/>
        </w:rPr>
        <w:t>37.48%</w:t>
      </w:r>
      <w:r>
        <w:rPr>
          <w:rFonts w:hint="eastAsia" w:ascii="宋体" w:hAnsi="宋体" w:eastAsia="宋体" w:cs="宋体"/>
          <w:color w:val="auto"/>
          <w:sz w:val="24"/>
          <w:szCs w:val="24"/>
        </w:rPr>
        <w:t>。</w:t>
      </w:r>
    </w:p>
    <w:p>
      <w:pPr>
        <w:kinsoku/>
        <w:wordWrap/>
        <w:overflowPunct/>
        <w:topLinePunct w:val="0"/>
        <w:autoSpaceDE/>
        <w:autoSpaceDN/>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color w:val="auto"/>
          <w:sz w:val="24"/>
          <w:szCs w:val="24"/>
        </w:rPr>
        <w:t>流域上游多为山丘地貌，峰嶂发育、植被较好，中下游丘岗地区，人为活动因素水土流失一般，田庄散落流域两岸，沿河两岸分布有城镇、村落是人群集居区。构造剥蚀丘陵地貌，由震旦～寒武系变质岩，罗系火山碎屑岸。第四系冲积和松散堆积物组成Ⅰ、Ⅱ、Ⅲ级基座阶地。Ⅰ级阶地由全新统冲积层组成，多呈带状沿河分布，距离水面</w:t>
      </w:r>
      <w:r>
        <w:rPr>
          <w:rFonts w:hint="eastAsia" w:ascii="Times New Roman" w:hAnsi="Times New Roman" w:eastAsia="宋体" w:cs="Times New Roman"/>
          <w:color w:val="auto"/>
          <w:sz w:val="24"/>
          <w:szCs w:val="24"/>
        </w:rPr>
        <w:t>1</w:t>
      </w:r>
      <w:r>
        <w:rPr>
          <w:rFonts w:hint="eastAsia" w:ascii="宋体" w:hAnsi="宋体" w:eastAsia="宋体" w:cs="宋体"/>
          <w:color w:val="auto"/>
          <w:sz w:val="24"/>
          <w:szCs w:val="24"/>
        </w:rPr>
        <w:t>至</w:t>
      </w:r>
      <w:r>
        <w:rPr>
          <w:rFonts w:hint="eastAsia" w:ascii="Times New Roman" w:hAnsi="Times New Roman" w:eastAsia="宋体" w:cs="Times New Roman"/>
          <w:color w:val="auto"/>
          <w:sz w:val="24"/>
          <w:szCs w:val="24"/>
        </w:rPr>
        <w:t>3</w:t>
      </w:r>
      <w:r>
        <w:rPr>
          <w:rFonts w:hint="eastAsia" w:ascii="宋体" w:hAnsi="宋体" w:eastAsia="宋体" w:cs="宋体"/>
          <w:color w:val="auto"/>
          <w:sz w:val="24"/>
          <w:szCs w:val="24"/>
        </w:rPr>
        <w:t>米，阶面平坦向河床方向倾斜，出露宽度一般</w:t>
      </w:r>
      <w:r>
        <w:rPr>
          <w:rFonts w:hint="eastAsia" w:ascii="Times New Roman" w:hAnsi="Times New Roman" w:eastAsia="宋体" w:cs="Times New Roman"/>
          <w:color w:val="auto"/>
          <w:sz w:val="24"/>
          <w:szCs w:val="24"/>
        </w:rPr>
        <w:t>100</w:t>
      </w:r>
      <w:r>
        <w:rPr>
          <w:rFonts w:hint="eastAsia" w:ascii="宋体" w:hAnsi="宋体" w:eastAsia="宋体" w:cs="宋体"/>
          <w:color w:val="auto"/>
          <w:sz w:val="24"/>
          <w:szCs w:val="24"/>
        </w:rPr>
        <w:t>米左右，为主要的农作物分布区。Ⅱ级阶地主要由中更新统冲积层组成，阶地前缘有基岩出露，高出Ⅰ级阶地</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4</w:t>
      </w:r>
      <w:r>
        <w:rPr>
          <w:rFonts w:hint="eastAsia" w:ascii="宋体" w:hAnsi="宋体" w:eastAsia="宋体" w:cs="宋体"/>
          <w:color w:val="auto"/>
          <w:sz w:val="24"/>
          <w:szCs w:val="24"/>
        </w:rPr>
        <w:t>米，向河床方向倾斜。Ⅲ级阶地，主要由下更新统冲积层组成，阶地前缘有基岩出露，高出Ⅱ级阶地</w:t>
      </w:r>
      <w:r>
        <w:rPr>
          <w:rFonts w:hint="eastAsia" w:ascii="Times New Roman" w:hAnsi="Times New Roman" w:eastAsia="宋体" w:cs="Times New Roman"/>
          <w:color w:val="auto"/>
          <w:sz w:val="24"/>
          <w:szCs w:val="24"/>
        </w:rPr>
        <w:t>6</w:t>
      </w:r>
      <w:r>
        <w:rPr>
          <w:rFonts w:hint="eastAsia" w:ascii="宋体" w:hAnsi="宋体" w:eastAsia="宋体" w:cs="宋体"/>
          <w:color w:val="auto"/>
          <w:sz w:val="24"/>
          <w:szCs w:val="24"/>
        </w:rPr>
        <w:t>米。</w:t>
      </w:r>
    </w:p>
    <w:p>
      <w:pPr>
        <w:pStyle w:val="20"/>
        <w:numPr>
          <w:ilvl w:val="2"/>
          <w:numId w:val="4"/>
        </w:numPr>
        <w:tabs>
          <w:tab w:val="left" w:pos="836"/>
        </w:tabs>
        <w:spacing w:before="123" w:after="0" w:line="240" w:lineRule="auto"/>
        <w:ind w:left="836" w:right="0" w:hanging="699"/>
        <w:jc w:val="left"/>
        <w:rPr>
          <w:rFonts w:hint="eastAsia" w:ascii="宋体" w:hAnsi="宋体" w:eastAsia="宋体" w:cs="宋体"/>
          <w:b/>
          <w:sz w:val="28"/>
        </w:rPr>
      </w:pPr>
      <w:bookmarkStart w:id="133" w:name="5.1.2植被与动物影响调查"/>
      <w:bookmarkEnd w:id="133"/>
      <w:bookmarkStart w:id="134" w:name="5.1.2植被与动物影响调查"/>
      <w:bookmarkEnd w:id="134"/>
      <w:r>
        <w:rPr>
          <w:rFonts w:hint="eastAsia" w:ascii="宋体" w:hAnsi="宋体" w:eastAsia="宋体" w:cs="宋体"/>
          <w:b/>
          <w:sz w:val="28"/>
        </w:rPr>
        <w:t>植被与动物影响调查</w:t>
      </w:r>
    </w:p>
    <w:p>
      <w:pPr>
        <w:pStyle w:val="8"/>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firstLine="480" w:firstLineChars="200"/>
        <w:textAlignment w:val="auto"/>
        <w:outlineLvl w:val="9"/>
        <w:rPr>
          <w:rFonts w:hint="eastAsia" w:ascii="Times New Roman" w:hAns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hAnsi="Times New Roman" w:eastAsia="宋体" w:cs="Times New Roman"/>
          <w:caps w:val="0"/>
          <w:smallCaps w:val="0"/>
          <w:snapToGrid/>
          <w:color w:val="auto"/>
          <w:spacing w:val="0"/>
          <w:w w:val="100"/>
          <w:kern w:val="2"/>
          <w:position w:val="0"/>
          <w:sz w:val="24"/>
          <w:szCs w:val="24"/>
          <w:lang w:val="en-US" w:bidi="ar-SA"/>
        </w:rPr>
        <w:t>本项目水电站水库蓄水运行后，库周及附近地区水文和气候条件的变化有利于陆生植被的恢复，对鸟类的栖息生境形成正面影响，对库周附近地区鸟类的种类、数量和分布有利。水电站水库蓄水运行，一部分农田、沟渠、草滩、灌草丛被淹没，同时，水库形成后，气候和生态环境的变化有利于库岸植被的生长，在人为干扰因素减少的情况下有利于库植被的恢复，适应草滩、水沟、森林和灌草丛等栖息环境以及以上述环境为主要栖息生境和食物来源的动物类群将得到恢复</w:t>
      </w:r>
      <w:r>
        <w:rPr>
          <w:rFonts w:hint="eastAsia" w:ascii="Times New Roman" w:hAnsi="Times New Roman" w:cs="Times New Roman"/>
          <w:caps w:val="0"/>
          <w:smallCaps w:val="0"/>
          <w:snapToGrid/>
          <w:color w:val="auto"/>
          <w:spacing w:val="0"/>
          <w:w w:val="100"/>
          <w:kern w:val="2"/>
          <w:position w:val="0"/>
          <w:sz w:val="24"/>
          <w:szCs w:val="24"/>
          <w:lang w:val="en-US" w:eastAsia="zh-CN" w:bidi="ar-SA"/>
        </w:rPr>
        <w:t>。</w:t>
      </w:r>
    </w:p>
    <w:p>
      <w:pPr>
        <w:pStyle w:val="8"/>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firstLine="480" w:firstLineChars="200"/>
        <w:textAlignment w:val="auto"/>
        <w:outlineLvl w:val="9"/>
        <w:rPr>
          <w:rFonts w:hint="eastAsia" w:ascii="宋体" w:hAnsi="宋体" w:eastAsia="宋体" w:cs="宋体"/>
          <w:b w:val="0"/>
          <w:bCs w:val="0"/>
          <w:color w:val="auto"/>
          <w:sz w:val="24"/>
          <w:szCs w:val="24"/>
        </w:rPr>
      </w:pPr>
      <w:r>
        <w:rPr>
          <w:rFonts w:hint="default" w:ascii="Times New Roman" w:hAnsi="Times New Roman" w:eastAsia="宋体" w:cs="Times New Roman"/>
          <w:caps w:val="0"/>
          <w:smallCaps w:val="0"/>
          <w:snapToGrid/>
          <w:color w:val="auto"/>
          <w:spacing w:val="0"/>
          <w:w w:val="100"/>
          <w:kern w:val="2"/>
          <w:position w:val="0"/>
          <w:sz w:val="24"/>
          <w:szCs w:val="24"/>
          <w:lang w:val="en-US" w:bidi="ar-SA"/>
        </w:rPr>
        <w:t>由于库区来水为天然径流，营养物质、浮游植物外源性输入有限，水体营养水平较低，浮游植物现存量总体仍会较低。水库形成后，由于浮游植物的优势品种将由流水种类逐渐向喜静水种类变化，浮游动物的种类组成也将随之发生变化，原河流中种类和数量较少的枝角类和桡足类在水库中出现了增加，轮虫的种类和数量也呈不断增长趋势。本项目形成的水库调节性能差，对河道水位抬升较小，底层溶解氧变化较小，底栖动物演替变化将不会很明显</w:t>
      </w:r>
      <w:r>
        <w:rPr>
          <w:rFonts w:hint="eastAsia" w:ascii="宋体" w:hAnsi="宋体" w:eastAsia="宋体" w:cs="宋体"/>
          <w:b w:val="0"/>
          <w:bCs w:val="0"/>
          <w:color w:val="auto"/>
          <w:sz w:val="24"/>
          <w:szCs w:val="24"/>
        </w:rPr>
        <w:t>。</w:t>
      </w:r>
    </w:p>
    <w:p>
      <w:pPr>
        <w:pStyle w:val="20"/>
        <w:numPr>
          <w:ilvl w:val="2"/>
          <w:numId w:val="4"/>
        </w:numPr>
        <w:tabs>
          <w:tab w:val="left" w:pos="836"/>
        </w:tabs>
        <w:spacing w:before="115" w:after="0" w:line="240" w:lineRule="auto"/>
        <w:ind w:left="836" w:right="0" w:hanging="699"/>
        <w:jc w:val="left"/>
        <w:rPr>
          <w:rFonts w:hint="eastAsia" w:ascii="宋体" w:hAnsi="宋体" w:eastAsia="宋体" w:cs="宋体"/>
          <w:b/>
          <w:sz w:val="28"/>
        </w:rPr>
      </w:pPr>
      <w:bookmarkStart w:id="135" w:name="5.1.3水土流失影响调查"/>
      <w:bookmarkEnd w:id="135"/>
      <w:bookmarkStart w:id="136" w:name="5.1.3水土流失影响调查"/>
      <w:bookmarkEnd w:id="136"/>
      <w:r>
        <w:rPr>
          <w:rFonts w:hint="eastAsia" w:ascii="宋体" w:hAnsi="宋体" w:eastAsia="宋体" w:cs="宋体"/>
          <w:b/>
          <w:sz w:val="28"/>
        </w:rPr>
        <w:t>水土流失影响调查</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工程实际发生的水土流失防治责任范围主要为项目建设区和直接影响区，项目建设区包括：拦河坝区、工程永久占地、施工临时占地等，直接影响区包括： 各弃渣场及有弃渣冲入的河道范围。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rPr>
      </w:pPr>
      <w:r>
        <w:rPr>
          <w:rFonts w:hint="default" w:ascii="Times New Roman" w:hAnsi="Times New Roman" w:eastAsia="宋体" w:cs="Times New Roman"/>
          <w:caps w:val="0"/>
          <w:smallCaps w:val="0"/>
          <w:snapToGrid/>
          <w:color w:val="auto"/>
          <w:spacing w:val="0"/>
          <w:w w:val="100"/>
          <w:kern w:val="2"/>
          <w:position w:val="0"/>
          <w:sz w:val="24"/>
        </w:rPr>
        <w:t>本工程不占基本农田，用于永久性建筑物，占地面积小</w:t>
      </w:r>
      <w:r>
        <w:rPr>
          <w:rFonts w:hint="eastAsia" w:ascii="宋体" w:hAnsi="宋体" w:eastAsia="宋体" w:cs="宋体"/>
          <w:sz w:val="24"/>
          <w:szCs w:val="24"/>
        </w:rPr>
        <w:t>。随着工程</w:t>
      </w:r>
      <w:r>
        <w:rPr>
          <w:rFonts w:hint="eastAsia" w:ascii="宋体" w:hAnsi="宋体" w:eastAsia="宋体" w:cs="宋体"/>
          <w:spacing w:val="-9"/>
          <w:sz w:val="24"/>
          <w:szCs w:val="24"/>
        </w:rPr>
        <w:t>的建设完成，工程区域逐步由建筑物、道路等工程所覆盖，造成水土流失范围逐</w:t>
      </w:r>
      <w:r>
        <w:rPr>
          <w:rFonts w:hint="eastAsia" w:ascii="宋体" w:hAnsi="宋体" w:eastAsia="宋体" w:cs="宋体"/>
          <w:spacing w:val="-10"/>
          <w:sz w:val="24"/>
          <w:szCs w:val="24"/>
        </w:rPr>
        <w:t>渐减小。结合主体工程中具有水土保持功能工程，采取有效的工程措施、植物措</w:t>
      </w:r>
      <w:r>
        <w:rPr>
          <w:rFonts w:hint="eastAsia" w:ascii="宋体" w:hAnsi="宋体" w:eastAsia="宋体" w:cs="宋体"/>
          <w:spacing w:val="-11"/>
          <w:sz w:val="24"/>
          <w:szCs w:val="24"/>
        </w:rPr>
        <w:t>施、临时防护措施，进行全面防护，以形成完整、科学的水土流失防治体系，可</w:t>
      </w:r>
      <w:r>
        <w:rPr>
          <w:rFonts w:hint="eastAsia" w:ascii="宋体" w:hAnsi="宋体" w:eastAsia="宋体" w:cs="宋体"/>
          <w:sz w:val="24"/>
          <w:szCs w:val="24"/>
        </w:rPr>
        <w:t>达到良好的防治效果。</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left"/>
        <w:textAlignment w:val="auto"/>
        <w:rPr>
          <w:rFonts w:hint="eastAsia" w:ascii="宋体" w:hAnsi="宋体" w:eastAsia="宋体" w:cs="宋体"/>
          <w:sz w:val="24"/>
          <w:szCs w:val="24"/>
        </w:rPr>
      </w:pPr>
      <w:r>
        <w:rPr>
          <w:rFonts w:hint="eastAsia" w:ascii="宋体" w:hAnsi="宋体" w:eastAsia="宋体" w:cs="宋体"/>
          <w:spacing w:val="-6"/>
          <w:sz w:val="24"/>
          <w:szCs w:val="24"/>
        </w:rPr>
        <w:t>根据现场踏勘可知，电站原有工程施工时的弃渣场、取土场、施工场及施工</w:t>
      </w:r>
      <w:r>
        <w:rPr>
          <w:rFonts w:hint="eastAsia" w:ascii="宋体" w:hAnsi="宋体" w:eastAsia="宋体" w:cs="宋体"/>
          <w:spacing w:val="-7"/>
          <w:sz w:val="24"/>
          <w:szCs w:val="24"/>
        </w:rPr>
        <w:t>道路植被均已自然恢复，工程区植被及防护情况良好。在工程建设过程中，在历</w:t>
      </w:r>
      <w:r>
        <w:rPr>
          <w:rFonts w:hint="eastAsia" w:ascii="宋体" w:hAnsi="宋体" w:eastAsia="宋体" w:cs="宋体"/>
          <w:spacing w:val="-6"/>
          <w:sz w:val="24"/>
          <w:szCs w:val="24"/>
        </w:rPr>
        <w:t>次监督检查中未发现重大水土保持问题。基本上控制了因工程建设而造成的水土</w:t>
      </w:r>
      <w:r>
        <w:rPr>
          <w:rFonts w:hint="eastAsia" w:ascii="宋体" w:hAnsi="宋体" w:eastAsia="宋体" w:cs="宋体"/>
          <w:sz w:val="24"/>
          <w:szCs w:val="24"/>
        </w:rPr>
        <w:t>流失，工程对生态环境造成的破坏和影响基本得到了恢复。</w:t>
      </w:r>
    </w:p>
    <w:p>
      <w:pPr>
        <w:pStyle w:val="20"/>
        <w:numPr>
          <w:ilvl w:val="2"/>
          <w:numId w:val="4"/>
        </w:numPr>
        <w:tabs>
          <w:tab w:val="left" w:pos="836"/>
        </w:tabs>
        <w:spacing w:before="113" w:after="0" w:line="240" w:lineRule="auto"/>
        <w:ind w:left="836" w:right="0" w:hanging="699"/>
        <w:jc w:val="left"/>
        <w:rPr>
          <w:rFonts w:hint="eastAsia" w:ascii="宋体" w:hAnsi="宋体" w:eastAsia="宋体" w:cs="宋体"/>
          <w:b/>
          <w:sz w:val="28"/>
        </w:rPr>
      </w:pPr>
      <w:bookmarkStart w:id="137" w:name="5.1.4施工占地对环境影响"/>
      <w:bookmarkEnd w:id="137"/>
      <w:bookmarkStart w:id="138" w:name="5.1.4施工占地对环境影响"/>
      <w:bookmarkEnd w:id="138"/>
      <w:r>
        <w:rPr>
          <w:rFonts w:hint="eastAsia" w:ascii="宋体" w:hAnsi="宋体" w:eastAsia="宋体" w:cs="宋体"/>
          <w:b/>
          <w:sz w:val="28"/>
        </w:rPr>
        <w:t>施工占地对环境影响</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工程占地主要包括拦河坝上游两岸河床滩涂荒地、林地，不涉及农牧民的生产资料及搬迁问题</w:t>
      </w:r>
      <w:r>
        <w:rPr>
          <w:rFonts w:hint="eastAsia" w:ascii="宋体" w:hAnsi="宋体" w:eastAsia="宋体" w:cs="宋体"/>
          <w:lang w:eastAsia="zh-CN"/>
        </w:rPr>
        <w:t>。</w:t>
      </w:r>
      <w:r>
        <w:rPr>
          <w:rFonts w:hint="eastAsia" w:ascii="宋体" w:hAnsi="宋体" w:eastAsia="宋体" w:cs="宋体"/>
        </w:rPr>
        <w:t>经现场调查，本项目临时施工占地区的植物和植被现已恢复。</w:t>
      </w:r>
    </w:p>
    <w:p>
      <w:pPr>
        <w:pStyle w:val="4"/>
        <w:numPr>
          <w:ilvl w:val="1"/>
          <w:numId w:val="4"/>
        </w:numPr>
        <w:tabs>
          <w:tab w:val="left" w:pos="740"/>
        </w:tabs>
        <w:spacing w:before="1" w:after="0" w:line="240" w:lineRule="auto"/>
        <w:ind w:left="740" w:right="0" w:hanging="603"/>
        <w:jc w:val="left"/>
        <w:rPr>
          <w:rFonts w:hint="eastAsia" w:ascii="宋体" w:hAnsi="宋体" w:eastAsia="宋体" w:cs="宋体"/>
        </w:rPr>
      </w:pPr>
      <w:bookmarkStart w:id="139" w:name="_bookmark21"/>
      <w:bookmarkEnd w:id="139"/>
      <w:bookmarkStart w:id="140" w:name="5.2水文情势影响调查"/>
      <w:bookmarkEnd w:id="140"/>
      <w:bookmarkStart w:id="141" w:name="_bookmark21"/>
      <w:bookmarkEnd w:id="141"/>
      <w:r>
        <w:rPr>
          <w:rFonts w:hint="eastAsia" w:ascii="宋体" w:hAnsi="宋体" w:eastAsia="宋体" w:cs="宋体"/>
        </w:rPr>
        <w:t>水文情势影响调查</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92" w:firstLineChars="200"/>
        <w:jc w:val="left"/>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电站位于崇义县上堡乡正井村上堡河上游均源河，控制流域面积</w:t>
      </w:r>
      <w:r>
        <w:rPr>
          <w:rFonts w:hint="default" w:ascii="Times New Roman" w:hAnsi="Times New Roman" w:eastAsia="宋体" w:cs="Times New Roman"/>
          <w:spacing w:val="3"/>
          <w:sz w:val="24"/>
          <w:szCs w:val="24"/>
        </w:rPr>
        <w:t>9.8km</w:t>
      </w:r>
      <w:r>
        <w:rPr>
          <w:rFonts w:hint="default" w:ascii="Times New Roman" w:hAnsi="Times New Roman" w:eastAsia="宋体" w:cs="Times New Roman"/>
          <w:spacing w:val="3"/>
          <w:sz w:val="24"/>
          <w:szCs w:val="24"/>
          <w:vertAlign w:val="superscript"/>
        </w:rPr>
        <w:t>2</w:t>
      </w:r>
      <w:r>
        <w:rPr>
          <w:rFonts w:hint="eastAsia" w:ascii="宋体" w:hAnsi="宋体" w:eastAsia="宋体" w:cs="宋体"/>
          <w:spacing w:val="3"/>
          <w:sz w:val="24"/>
          <w:szCs w:val="24"/>
        </w:rPr>
        <w:t>，其中坝址以上控制集水面积</w:t>
      </w:r>
      <w:r>
        <w:rPr>
          <w:rFonts w:hint="default" w:ascii="Times New Roman" w:hAnsi="Times New Roman" w:eastAsia="宋体" w:cs="Times New Roman"/>
          <w:spacing w:val="3"/>
          <w:sz w:val="24"/>
          <w:szCs w:val="24"/>
        </w:rPr>
        <w:t>7.1km</w:t>
      </w:r>
      <w:r>
        <w:rPr>
          <w:rFonts w:hint="default" w:ascii="Times New Roman" w:hAnsi="Times New Roman" w:eastAsia="宋体" w:cs="Times New Roman"/>
          <w:spacing w:val="3"/>
          <w:sz w:val="24"/>
          <w:szCs w:val="24"/>
          <w:vertAlign w:val="superscript"/>
        </w:rPr>
        <w:t>2</w:t>
      </w:r>
      <w:r>
        <w:rPr>
          <w:rFonts w:hint="eastAsia" w:ascii="宋体" w:hAnsi="宋体" w:eastAsia="宋体" w:cs="宋体"/>
          <w:spacing w:val="3"/>
          <w:sz w:val="24"/>
          <w:szCs w:val="24"/>
        </w:rPr>
        <w:t>，渠道区间控制集水面积</w:t>
      </w:r>
      <w:r>
        <w:rPr>
          <w:rFonts w:hint="default" w:ascii="Times New Roman" w:hAnsi="Times New Roman" w:eastAsia="宋体" w:cs="Times New Roman"/>
          <w:spacing w:val="3"/>
          <w:sz w:val="24"/>
          <w:szCs w:val="24"/>
        </w:rPr>
        <w:t>2.7km</w:t>
      </w:r>
      <w:r>
        <w:rPr>
          <w:rFonts w:hint="default" w:ascii="Times New Roman" w:hAnsi="Times New Roman" w:eastAsia="宋体" w:cs="Times New Roman"/>
          <w:spacing w:val="3"/>
          <w:sz w:val="24"/>
          <w:szCs w:val="24"/>
          <w:vertAlign w:val="superscript"/>
        </w:rPr>
        <w:t>2</w:t>
      </w:r>
      <w:r>
        <w:rPr>
          <w:rFonts w:hint="eastAsia" w:ascii="宋体" w:hAnsi="宋体" w:eastAsia="宋体" w:cs="宋体"/>
          <w:spacing w:val="3"/>
          <w:sz w:val="24"/>
          <w:szCs w:val="24"/>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sz w:val="24"/>
          <w:szCs w:val="24"/>
        </w:rPr>
      </w:pPr>
      <w:r>
        <w:rPr>
          <w:rFonts w:hint="eastAsia" w:ascii="宋体" w:hAnsi="宋体" w:eastAsia="宋体" w:cs="宋体"/>
          <w:spacing w:val="-5"/>
          <w:sz w:val="24"/>
          <w:szCs w:val="24"/>
        </w:rPr>
        <w:t xml:space="preserve"> </w:t>
      </w:r>
      <w:r>
        <w:rPr>
          <w:rFonts w:hint="eastAsia" w:ascii="宋体" w:hAnsi="宋体" w:eastAsia="宋体" w:cs="宋体"/>
          <w:sz w:val="24"/>
          <w:szCs w:val="24"/>
        </w:rPr>
        <w:t>项目电站的建设有一定的蓄水能力，在枯水期间对下游下泄量调节能力有所提高，对径流均匀分配有一定的好处。考虑到枯水期坝下游脱水河段的用水需要，在堰坝的设</w:t>
      </w:r>
      <w:r>
        <w:rPr>
          <w:rFonts w:hint="eastAsia" w:ascii="宋体" w:hAnsi="宋体" w:eastAsia="宋体" w:cs="宋体"/>
          <w:spacing w:val="-8"/>
          <w:sz w:val="24"/>
          <w:szCs w:val="24"/>
        </w:rPr>
        <w:t>计中，拦河坝设立了</w:t>
      </w:r>
      <w:r>
        <w:rPr>
          <w:rFonts w:hint="eastAsia" w:ascii="宋体" w:hAnsi="宋体" w:eastAsia="宋体" w:cs="宋体"/>
          <w:spacing w:val="-4"/>
          <w:sz w:val="24"/>
          <w:szCs w:val="24"/>
        </w:rPr>
        <w:t>生态泄流口，不间断的向下游供水，保证了</w:t>
      </w:r>
      <w:r>
        <w:rPr>
          <w:rFonts w:hint="eastAsia" w:ascii="宋体" w:hAnsi="宋体" w:eastAsia="宋体" w:cs="宋体"/>
          <w:sz w:val="24"/>
          <w:szCs w:val="24"/>
        </w:rPr>
        <w:t>下泄流量</w:t>
      </w:r>
      <w:r>
        <w:rPr>
          <w:rFonts w:hint="eastAsia" w:ascii="Times New Roman" w:hAnsi="Times New Roman" w:eastAsia="宋体" w:cs="Times New Roman"/>
          <w:spacing w:val="3"/>
          <w:sz w:val="24"/>
          <w:szCs w:val="24"/>
        </w:rPr>
        <w:t>≥0.</w:t>
      </w:r>
      <w:r>
        <w:rPr>
          <w:rFonts w:hint="eastAsia" w:ascii="Times New Roman" w:hAnsi="Times New Roman" w:eastAsia="宋体" w:cs="Times New Roman"/>
          <w:spacing w:val="3"/>
          <w:sz w:val="24"/>
          <w:szCs w:val="24"/>
          <w:lang w:val="en-US" w:eastAsia="zh-CN"/>
        </w:rPr>
        <w:t>025</w:t>
      </w:r>
      <w:r>
        <w:rPr>
          <w:rFonts w:hint="eastAsia" w:ascii="Times New Roman" w:hAnsi="Times New Roman" w:eastAsia="宋体" w:cs="Times New Roman"/>
          <w:spacing w:val="3"/>
          <w:sz w:val="24"/>
          <w:szCs w:val="24"/>
        </w:rPr>
        <w:t>m</w:t>
      </w:r>
      <w:r>
        <w:rPr>
          <w:rFonts w:hint="eastAsia" w:ascii="Times New Roman" w:hAnsi="Times New Roman" w:eastAsia="宋体" w:cs="Times New Roman"/>
          <w:spacing w:val="3"/>
          <w:sz w:val="24"/>
          <w:szCs w:val="24"/>
          <w:vertAlign w:val="superscript"/>
        </w:rPr>
        <w:t>3</w:t>
      </w:r>
      <w:r>
        <w:rPr>
          <w:rFonts w:hint="eastAsia" w:ascii="Times New Roman" w:hAnsi="Times New Roman" w:eastAsia="宋体" w:cs="Times New Roman"/>
          <w:spacing w:val="3"/>
          <w:sz w:val="24"/>
          <w:szCs w:val="24"/>
        </w:rPr>
        <w:t xml:space="preserve">/s </w:t>
      </w:r>
      <w:r>
        <w:rPr>
          <w:rFonts w:hint="eastAsia" w:ascii="宋体" w:hAnsi="宋体" w:eastAsia="宋体" w:cs="宋体"/>
          <w:sz w:val="24"/>
          <w:szCs w:val="24"/>
        </w:rPr>
        <w:t>的要求。</w:t>
      </w:r>
    </w:p>
    <w:p>
      <w:pPr>
        <w:pStyle w:val="20"/>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电站建成后，由于隧道的分流作用，对坝址至厂址河段有一定的防洪功能，具有较大的防洪效益。</w:t>
      </w:r>
    </w:p>
    <w:p>
      <w:pPr>
        <w:pStyle w:val="20"/>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电站建成后，改变了原来的流向，坝址至厂址河段的流量产生比较大</w:t>
      </w:r>
      <w:r>
        <w:rPr>
          <w:rFonts w:hint="eastAsia" w:ascii="宋体" w:hAnsi="宋体" w:eastAsia="宋体" w:cs="宋体"/>
          <w:spacing w:val="-1"/>
          <w:sz w:val="24"/>
          <w:szCs w:val="24"/>
        </w:rPr>
        <w:t>的影响，从而影响该河段的生产用水，在坝址下游脱水段无农田分</w:t>
      </w:r>
      <w:r>
        <w:rPr>
          <w:rFonts w:hint="eastAsia" w:ascii="宋体" w:hAnsi="宋体" w:eastAsia="宋体" w:cs="宋体"/>
          <w:spacing w:val="-1"/>
          <w:sz w:val="24"/>
          <w:szCs w:val="24"/>
          <w:lang w:eastAsia="zh-CN"/>
        </w:rPr>
        <w:t>部</w:t>
      </w:r>
      <w:r>
        <w:rPr>
          <w:rFonts w:hint="eastAsia" w:ascii="宋体" w:hAnsi="宋体" w:eastAsia="宋体" w:cs="宋体"/>
          <w:spacing w:val="-1"/>
          <w:sz w:val="24"/>
          <w:szCs w:val="24"/>
        </w:rPr>
        <w:t xml:space="preserve">，截流后， </w:t>
      </w:r>
      <w:r>
        <w:rPr>
          <w:rFonts w:hint="eastAsia" w:ascii="宋体" w:hAnsi="宋体" w:eastAsia="宋体" w:cs="宋体"/>
          <w:spacing w:val="-4"/>
          <w:sz w:val="24"/>
          <w:szCs w:val="24"/>
        </w:rPr>
        <w:t>在一般季节山溪水提供植物生长等生态用水，但在极枯季节，须水库放水，以保</w:t>
      </w:r>
      <w:r>
        <w:rPr>
          <w:rFonts w:hint="eastAsia" w:ascii="宋体" w:hAnsi="宋体" w:eastAsia="宋体" w:cs="宋体"/>
          <w:spacing w:val="-10"/>
          <w:sz w:val="24"/>
          <w:szCs w:val="24"/>
        </w:rPr>
        <w:t>证生态需求。厂区下游河段由于发电尾水均匀稳定下泄，厂址下游河段生活和农业用水水量保持建设前原有现状。</w:t>
      </w:r>
    </w:p>
    <w:p>
      <w:pPr>
        <w:pStyle w:val="20"/>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拦河坝的建成，相当于建成了一个沉淀池，有利于泥沙的沉淀，正常</w:t>
      </w:r>
      <w:r>
        <w:rPr>
          <w:rFonts w:hint="eastAsia" w:ascii="宋体" w:hAnsi="宋体" w:eastAsia="宋体" w:cs="宋体"/>
          <w:spacing w:val="-10"/>
          <w:sz w:val="24"/>
          <w:szCs w:val="24"/>
        </w:rPr>
        <w:t>生产时，有利于固沙，使河流水质悬浮物降低，但在冲沙时，泥沙又随河水流入</w:t>
      </w:r>
      <w:r>
        <w:rPr>
          <w:rFonts w:hint="eastAsia" w:ascii="宋体" w:hAnsi="宋体" w:eastAsia="宋体" w:cs="宋体"/>
          <w:sz w:val="24"/>
          <w:szCs w:val="24"/>
        </w:rPr>
        <w:t>下游河道，使河水中的悬浮物升高。</w:t>
      </w:r>
    </w:p>
    <w:p>
      <w:pPr>
        <w:pStyle w:val="20"/>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rFonts w:hint="eastAsia" w:ascii="宋体" w:hAnsi="宋体" w:eastAsia="宋体" w:cs="宋体"/>
          <w:sz w:val="24"/>
          <w:szCs w:val="24"/>
        </w:rPr>
      </w:pPr>
    </w:p>
    <w:p>
      <w:pPr>
        <w:pStyle w:val="4"/>
        <w:numPr>
          <w:ilvl w:val="1"/>
          <w:numId w:val="4"/>
        </w:numPr>
        <w:tabs>
          <w:tab w:val="left" w:pos="740"/>
        </w:tabs>
        <w:spacing w:before="1" w:after="0" w:line="240" w:lineRule="auto"/>
        <w:ind w:left="740" w:right="0" w:hanging="603"/>
        <w:jc w:val="left"/>
        <w:rPr>
          <w:rFonts w:hint="eastAsia" w:ascii="宋体" w:hAnsi="宋体" w:eastAsia="宋体" w:cs="宋体"/>
        </w:rPr>
      </w:pPr>
      <w:bookmarkStart w:id="142" w:name="_bookmark22"/>
      <w:bookmarkEnd w:id="142"/>
      <w:bookmarkStart w:id="143" w:name="5.3环境污染影响调查"/>
      <w:bookmarkEnd w:id="143"/>
      <w:bookmarkStart w:id="144" w:name="_bookmark22"/>
      <w:bookmarkEnd w:id="144"/>
      <w:r>
        <w:rPr>
          <w:rFonts w:hint="eastAsia" w:ascii="宋体" w:hAnsi="宋体" w:eastAsia="宋体" w:cs="宋体"/>
        </w:rPr>
        <w:t>环境污染影响调查</w:t>
      </w:r>
    </w:p>
    <w:p>
      <w:pPr>
        <w:pStyle w:val="20"/>
        <w:numPr>
          <w:ilvl w:val="2"/>
          <w:numId w:val="4"/>
        </w:numPr>
        <w:tabs>
          <w:tab w:val="left" w:pos="836"/>
        </w:tabs>
        <w:spacing w:before="244" w:after="0" w:line="240" w:lineRule="auto"/>
        <w:ind w:left="836" w:right="0" w:hanging="699"/>
        <w:jc w:val="left"/>
        <w:rPr>
          <w:rFonts w:hint="eastAsia" w:ascii="宋体" w:hAnsi="宋体" w:eastAsia="宋体" w:cs="宋体"/>
          <w:b/>
          <w:sz w:val="28"/>
        </w:rPr>
      </w:pPr>
      <w:bookmarkStart w:id="145" w:name="5.3.1水环境影响调查"/>
      <w:bookmarkEnd w:id="145"/>
      <w:bookmarkStart w:id="146" w:name="5.3.1水环境影响调查"/>
      <w:bookmarkEnd w:id="146"/>
      <w:r>
        <w:rPr>
          <w:rFonts w:hint="eastAsia" w:ascii="宋体" w:hAnsi="宋体" w:eastAsia="宋体" w:cs="宋体"/>
          <w:b/>
          <w:sz w:val="28"/>
        </w:rPr>
        <w:t>水环境影响调查</w:t>
      </w:r>
    </w:p>
    <w:p>
      <w:pPr>
        <w:pStyle w:val="7"/>
        <w:spacing w:before="10"/>
        <w:rPr>
          <w:b/>
          <w:sz w:val="23"/>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textAlignment w:val="auto"/>
        <w:rPr>
          <w:rFonts w:hint="eastAsia" w:ascii="宋体" w:hAnsi="宋体" w:eastAsia="宋体" w:cs="宋体"/>
        </w:rPr>
      </w:pPr>
      <w:r>
        <w:rPr>
          <w:rFonts w:hint="eastAsia" w:ascii="宋体" w:hAnsi="宋体" w:eastAsia="宋体" w:cs="宋体"/>
          <w:spacing w:val="-6"/>
        </w:rPr>
        <w:t>项目主要废水主要为员工生活污水，少量生活污水经化粪池处理后，清掏用</w:t>
      </w:r>
      <w:r>
        <w:rPr>
          <w:rFonts w:hint="eastAsia" w:ascii="宋体" w:hAnsi="宋体" w:eastAsia="宋体" w:cs="宋体"/>
        </w:rPr>
        <w:t>于周边农田灌溉，不外排。对地表水的影响不大。</w:t>
      </w:r>
    </w:p>
    <w:p>
      <w:pPr>
        <w:pStyle w:val="20"/>
        <w:numPr>
          <w:ilvl w:val="2"/>
          <w:numId w:val="4"/>
        </w:numPr>
        <w:tabs>
          <w:tab w:val="left" w:pos="836"/>
        </w:tabs>
        <w:spacing w:before="119" w:after="0" w:line="240" w:lineRule="auto"/>
        <w:ind w:left="836" w:right="0" w:hanging="699"/>
        <w:jc w:val="left"/>
        <w:rPr>
          <w:rFonts w:hint="eastAsia" w:ascii="宋体" w:hAnsi="宋体" w:eastAsia="宋体" w:cs="宋体"/>
          <w:b/>
          <w:sz w:val="28"/>
        </w:rPr>
      </w:pPr>
      <w:bookmarkStart w:id="147" w:name="5.3.2大气环境影响调查"/>
      <w:bookmarkEnd w:id="147"/>
      <w:bookmarkStart w:id="148" w:name="5.3.2大气环境影响调查"/>
      <w:bookmarkEnd w:id="148"/>
      <w:r>
        <w:rPr>
          <w:rFonts w:hint="eastAsia" w:ascii="宋体" w:hAnsi="宋体" w:eastAsia="宋体" w:cs="宋体"/>
          <w:b/>
          <w:sz w:val="28"/>
        </w:rPr>
        <w:t>大气环境影响调查</w:t>
      </w:r>
    </w:p>
    <w:p>
      <w:pPr>
        <w:pStyle w:val="7"/>
        <w:spacing w:before="11"/>
        <w:rPr>
          <w:b/>
          <w:sz w:val="23"/>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64" w:firstLineChars="200"/>
        <w:jc w:val="left"/>
        <w:textAlignment w:val="auto"/>
        <w:rPr>
          <w:rFonts w:hint="eastAsia" w:ascii="宋体" w:hAnsi="宋体" w:eastAsia="宋体" w:cs="宋体"/>
        </w:rPr>
      </w:pPr>
      <w:r>
        <w:rPr>
          <w:rFonts w:hint="eastAsia" w:ascii="宋体" w:hAnsi="宋体" w:eastAsia="宋体" w:cs="宋体"/>
          <w:spacing w:val="-4"/>
        </w:rPr>
        <w:t>该项目施工期扬尘对施工期临时生活区有一定的影响，但根据对附近居民的</w:t>
      </w:r>
      <w:r>
        <w:rPr>
          <w:rFonts w:hint="eastAsia" w:ascii="宋体" w:hAnsi="宋体" w:eastAsia="宋体" w:cs="宋体"/>
          <w:spacing w:val="-10"/>
        </w:rPr>
        <w:t>采访和现场调查，因施工区远离居民区，工程施工没有造成对居住区大气环境的污染，大气环境影响仅限于施工区域，且随着施工活动的结束已经消失；运行期</w:t>
      </w:r>
      <w:r>
        <w:rPr>
          <w:rFonts w:hint="eastAsia" w:ascii="宋体" w:hAnsi="宋体" w:eastAsia="宋体" w:cs="宋体"/>
        </w:rPr>
        <w:t>没有大气污染源。</w:t>
      </w:r>
    </w:p>
    <w:p>
      <w:pPr>
        <w:pStyle w:val="20"/>
        <w:numPr>
          <w:ilvl w:val="2"/>
          <w:numId w:val="4"/>
        </w:numPr>
        <w:tabs>
          <w:tab w:val="left" w:pos="836"/>
        </w:tabs>
        <w:spacing w:before="44" w:after="0" w:line="240" w:lineRule="auto"/>
        <w:ind w:left="836" w:right="0" w:hanging="699"/>
        <w:jc w:val="left"/>
        <w:rPr>
          <w:rFonts w:hint="eastAsia" w:ascii="宋体" w:hAnsi="宋体" w:eastAsia="宋体" w:cs="宋体"/>
          <w:b/>
          <w:sz w:val="28"/>
        </w:rPr>
      </w:pPr>
      <w:bookmarkStart w:id="149" w:name="5.3.3声环境影响调查"/>
      <w:bookmarkEnd w:id="149"/>
      <w:bookmarkStart w:id="150" w:name="5.3.3声环境影响调查"/>
      <w:bookmarkEnd w:id="150"/>
      <w:r>
        <w:rPr>
          <w:rFonts w:hint="eastAsia" w:ascii="宋体" w:hAnsi="宋体" w:eastAsia="宋体" w:cs="宋体"/>
          <w:b/>
          <w:sz w:val="28"/>
        </w:rPr>
        <w:t>声环境影响调查</w:t>
      </w:r>
    </w:p>
    <w:p>
      <w:pPr>
        <w:pStyle w:val="7"/>
        <w:spacing w:before="10"/>
        <w:rPr>
          <w:rFonts w:hint="eastAsia" w:ascii="宋体" w:hAnsi="宋体" w:eastAsia="宋体" w:cs="宋体"/>
          <w:b/>
          <w:sz w:val="23"/>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根据环保设施竣工验收技术规定，对项目厂界噪声进行了监测，本次监测于</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highlight w:val="none"/>
        </w:rPr>
      </w:pPr>
      <w:r>
        <w:rPr>
          <w:rFonts w:hint="eastAsia" w:ascii="Times New Roman" w:hAnsi="Times New Roman" w:eastAsia="宋体" w:cs="Times New Roman"/>
          <w:highlight w:val="none"/>
        </w:rPr>
        <w:t xml:space="preserve">2020 </w:t>
      </w:r>
      <w:r>
        <w:rPr>
          <w:rFonts w:hint="eastAsia" w:ascii="宋体" w:hAnsi="宋体" w:eastAsia="宋体" w:cs="宋体"/>
          <w:highlight w:val="none"/>
        </w:rPr>
        <w:t>年</w:t>
      </w:r>
      <w:r>
        <w:rPr>
          <w:rFonts w:hint="eastAsia" w:ascii="Times New Roman" w:hAnsi="Times New Roman" w:eastAsia="宋体" w:cs="Times New Roman"/>
          <w:highlight w:val="none"/>
          <w:lang w:val="en-US" w:eastAsia="zh-CN"/>
        </w:rPr>
        <w:t>09</w:t>
      </w:r>
      <w:r>
        <w:rPr>
          <w:rFonts w:hint="eastAsia" w:ascii="宋体" w:hAnsi="宋体" w:eastAsia="宋体" w:cs="宋体"/>
          <w:highlight w:val="none"/>
        </w:rPr>
        <w:t>月</w:t>
      </w:r>
      <w:r>
        <w:rPr>
          <w:rFonts w:hint="eastAsia" w:ascii="Times New Roman" w:hAnsi="Times New Roman" w:eastAsia="宋体" w:cs="Times New Roman"/>
          <w:highlight w:val="none"/>
          <w:lang w:val="en-US" w:eastAsia="zh-CN"/>
        </w:rPr>
        <w:t>09</w:t>
      </w:r>
      <w:r>
        <w:rPr>
          <w:rFonts w:hint="eastAsia" w:ascii="宋体" w:hAnsi="宋体" w:eastAsia="宋体" w:cs="宋体"/>
          <w:highlight w:val="none"/>
        </w:rPr>
        <w:t>日</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09</w:t>
      </w:r>
      <w:r>
        <w:rPr>
          <w:rFonts w:hint="eastAsia" w:ascii="宋体" w:hAnsi="宋体" w:eastAsia="宋体" w:cs="宋体"/>
          <w:highlight w:val="none"/>
        </w:rPr>
        <w:t>月</w:t>
      </w:r>
      <w:r>
        <w:rPr>
          <w:rFonts w:hint="eastAsia" w:ascii="Times New Roman" w:hAnsi="Times New Roman" w:eastAsia="宋体" w:cs="Times New Roman"/>
          <w:highlight w:val="none"/>
          <w:lang w:val="en-US" w:eastAsia="zh-CN"/>
        </w:rPr>
        <w:t>10</w:t>
      </w:r>
      <w:r>
        <w:rPr>
          <w:rFonts w:hint="eastAsia" w:ascii="宋体" w:hAnsi="宋体" w:eastAsia="宋体" w:cs="宋体"/>
          <w:highlight w:val="none"/>
        </w:rPr>
        <w:t>日进行。</w:t>
      </w:r>
    </w:p>
    <w:p>
      <w:pPr>
        <w:pStyle w:val="20"/>
        <w:keepNext w:val="0"/>
        <w:keepLines w:val="0"/>
        <w:pageBreakBefore w:val="0"/>
        <w:widowControl w:val="0"/>
        <w:numPr>
          <w:ilvl w:val="0"/>
          <w:numId w:val="9"/>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测量方法</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按照</w:t>
      </w:r>
      <w:r>
        <w:rPr>
          <w:rFonts w:hint="default" w:ascii="Times New Roman" w:hAnsi="Times New Roman" w:eastAsia="宋体" w:cs="Times New Roman"/>
        </w:rPr>
        <w:t xml:space="preserve"> GB12348-2008</w:t>
      </w:r>
      <w:r>
        <w:rPr>
          <w:rFonts w:hint="eastAsia" w:ascii="宋体" w:hAnsi="宋体" w:eastAsia="宋体" w:cs="宋体"/>
        </w:rPr>
        <w:t>《工业企业厂界环境噪声排放标准》的规定进行。</w:t>
      </w:r>
    </w:p>
    <w:p>
      <w:pPr>
        <w:pStyle w:val="20"/>
        <w:keepNext w:val="0"/>
        <w:keepLines w:val="0"/>
        <w:pageBreakBefore w:val="0"/>
        <w:widowControl w:val="0"/>
        <w:numPr>
          <w:ilvl w:val="0"/>
          <w:numId w:val="9"/>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测点位置及频次</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在电站发电厂房边界设</w:t>
      </w:r>
      <w:r>
        <w:rPr>
          <w:rFonts w:hint="eastAsia" w:ascii="Times New Roman" w:hAnsi="Times New Roman" w:eastAsia="宋体" w:cs="Times New Roman"/>
        </w:rPr>
        <w:t>4</w:t>
      </w:r>
      <w:r>
        <w:rPr>
          <w:rFonts w:hint="eastAsia" w:ascii="宋体" w:hAnsi="宋体" w:eastAsia="宋体" w:cs="宋体"/>
        </w:rPr>
        <w:t>个监测点，测点设在厂界外</w:t>
      </w:r>
      <w:r>
        <w:rPr>
          <w:rFonts w:hint="eastAsia" w:ascii="Times New Roman" w:hAnsi="Times New Roman" w:eastAsia="宋体" w:cs="Times New Roman"/>
        </w:rPr>
        <w:t>1m</w:t>
      </w:r>
      <w:r>
        <w:rPr>
          <w:rFonts w:hint="eastAsia" w:ascii="宋体" w:hAnsi="宋体" w:eastAsia="宋体" w:cs="宋体"/>
        </w:rPr>
        <w:t>处，</w:t>
      </w:r>
      <w:r>
        <w:rPr>
          <w:rFonts w:hint="eastAsia" w:ascii="宋体" w:hAnsi="宋体" w:eastAsia="宋体" w:cs="宋体"/>
          <w:highlight w:val="none"/>
        </w:rPr>
        <w:t>监测点位见图</w:t>
      </w:r>
      <w:r>
        <w:rPr>
          <w:rFonts w:hint="eastAsia" w:ascii="Times New Roman" w:hAnsi="Times New Roman" w:eastAsia="宋体" w:cs="Times New Roman"/>
          <w:highlight w:val="none"/>
        </w:rPr>
        <w:t>5- 1</w:t>
      </w:r>
      <w:r>
        <w:rPr>
          <w:rFonts w:hint="eastAsia" w:ascii="宋体" w:hAnsi="宋体" w:eastAsia="宋体" w:cs="宋体"/>
        </w:rPr>
        <w:t>。</w:t>
      </w:r>
    </w:p>
    <w:p>
      <w:pPr>
        <w:pStyle w:val="20"/>
        <w:keepNext w:val="0"/>
        <w:keepLines w:val="0"/>
        <w:pageBreakBefore w:val="0"/>
        <w:widowControl w:val="0"/>
        <w:numPr>
          <w:ilvl w:val="0"/>
          <w:numId w:val="9"/>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评价标准</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厂界噪声执行</w:t>
      </w:r>
      <w:r>
        <w:rPr>
          <w:rFonts w:hint="eastAsia" w:ascii="Times New Roman" w:hAnsi="Times New Roman" w:eastAsia="宋体" w:cs="Times New Roman"/>
        </w:rPr>
        <w:t xml:space="preserve"> GB12348-2008</w:t>
      </w:r>
      <w:r>
        <w:rPr>
          <w:rFonts w:hint="eastAsia" w:ascii="宋体" w:hAnsi="宋体" w:eastAsia="宋体" w:cs="宋体"/>
        </w:rPr>
        <w:t>《工业企业厂界环境噪声排放标准》</w:t>
      </w:r>
      <w:r>
        <w:rPr>
          <w:rFonts w:hint="eastAsia" w:ascii="Times New Roman" w:hAnsi="Times New Roman" w:eastAsia="宋体" w:cs="Times New Roman"/>
          <w:lang w:val="en-US" w:eastAsia="zh-CN"/>
        </w:rPr>
        <w:t>2</w:t>
      </w:r>
      <w:r>
        <w:rPr>
          <w:rFonts w:hint="eastAsia" w:ascii="Times New Roman" w:hAnsi="Times New Roman" w:eastAsia="宋体" w:cs="Times New Roman"/>
        </w:rPr>
        <w:t xml:space="preserve"> </w:t>
      </w:r>
      <w:r>
        <w:rPr>
          <w:rFonts w:hint="eastAsia" w:ascii="宋体" w:hAnsi="宋体" w:eastAsia="宋体" w:cs="宋体"/>
        </w:rPr>
        <w:t>类标准， 见表</w:t>
      </w:r>
      <w:r>
        <w:rPr>
          <w:rFonts w:hint="eastAsia" w:ascii="Times New Roman" w:hAnsi="Times New Roman" w:eastAsia="宋体" w:cs="Times New Roman"/>
        </w:rPr>
        <w:t>1- 6</w:t>
      </w:r>
      <w:r>
        <w:rPr>
          <w:rFonts w:hint="eastAsia" w:ascii="宋体" w:hAnsi="宋体" w:eastAsia="宋体" w:cs="宋体"/>
        </w:rPr>
        <w:t>。</w:t>
      </w:r>
    </w:p>
    <w:p>
      <w:pPr>
        <w:pStyle w:val="20"/>
        <w:keepNext w:val="0"/>
        <w:keepLines w:val="0"/>
        <w:pageBreakBefore w:val="0"/>
        <w:widowControl w:val="0"/>
        <w:numPr>
          <w:ilvl w:val="0"/>
          <w:numId w:val="9"/>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测量结果与评价</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厂界噪声测量结果分别见</w:t>
      </w:r>
      <w:r>
        <w:rPr>
          <w:rFonts w:hint="eastAsia" w:ascii="宋体" w:hAnsi="宋体" w:eastAsia="宋体" w:cs="宋体"/>
          <w:lang w:eastAsia="zh-CN"/>
        </w:rPr>
        <w:t>附件检测结果</w:t>
      </w:r>
      <w:r>
        <w:rPr>
          <w:rFonts w:hint="eastAsia" w:ascii="宋体" w:hAnsi="宋体" w:eastAsia="宋体" w:cs="宋体"/>
        </w:rPr>
        <w:t>。</w:t>
      </w:r>
    </w:p>
    <w:p>
      <w:pPr>
        <w:pStyle w:val="7"/>
        <w:keepNext w:val="0"/>
        <w:keepLines w:val="0"/>
        <w:pageBreakBefore w:val="0"/>
        <w:widowControl w:val="0"/>
        <w:kinsoku/>
        <w:wordWrap/>
        <w:overflowPunct/>
        <w:topLinePunct w:val="0"/>
        <w:autoSpaceDE w:val="0"/>
        <w:autoSpaceDN w:val="0"/>
        <w:bidi w:val="0"/>
        <w:adjustRightInd w:val="0"/>
        <w:snapToGrid/>
        <w:spacing w:before="0" w:line="360" w:lineRule="auto"/>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从监测结果看，发电厂房和拦河坝点位的昼间、夜间噪声均能满足《工业企业厂界环境噪声排放标准》（GB12348-2008）中的 1 类标准要求。</w:t>
      </w:r>
    </w:p>
    <w:p>
      <w:pPr>
        <w:pStyle w:val="7"/>
        <w:keepNext w:val="0"/>
        <w:keepLines w:val="0"/>
        <w:pageBreakBefore w:val="0"/>
        <w:widowControl w:val="0"/>
        <w:kinsoku/>
        <w:wordWrap/>
        <w:overflowPunct/>
        <w:topLinePunct w:val="0"/>
        <w:autoSpaceDE w:val="0"/>
        <w:autoSpaceDN w:val="0"/>
        <w:bidi w:val="0"/>
        <w:adjustRightInd w:val="0"/>
        <w:snapToGrid/>
        <w:spacing w:before="0" w:line="360" w:lineRule="auto"/>
        <w:ind w:right="0" w:firstLine="480" w:firstLineChars="200"/>
        <w:jc w:val="left"/>
        <w:textAlignment w:val="auto"/>
        <w:rPr>
          <w:rFonts w:hint="eastAsia" w:ascii="宋体" w:hAnsi="宋体" w:eastAsia="宋体" w:cs="宋体"/>
          <w:sz w:val="24"/>
          <w:szCs w:val="24"/>
          <w:highlight w:val="none"/>
        </w:rPr>
      </w:pPr>
    </w:p>
    <w:p>
      <w:pPr>
        <w:pStyle w:val="7"/>
        <w:keepNext w:val="0"/>
        <w:keepLines w:val="0"/>
        <w:pageBreakBefore w:val="0"/>
        <w:widowControl w:val="0"/>
        <w:kinsoku/>
        <w:wordWrap/>
        <w:overflowPunct/>
        <w:topLinePunct w:val="0"/>
        <w:autoSpaceDE w:val="0"/>
        <w:autoSpaceDN w:val="0"/>
        <w:bidi w:val="0"/>
        <w:adjustRightInd w:val="0"/>
        <w:snapToGrid/>
        <w:spacing w:before="0" w:line="360" w:lineRule="auto"/>
        <w:ind w:right="0" w:firstLine="480" w:firstLineChars="200"/>
        <w:jc w:val="left"/>
        <w:textAlignment w:val="auto"/>
        <w:rPr>
          <w:rFonts w:hint="eastAsia" w:ascii="宋体" w:hAnsi="宋体" w:eastAsia="宋体" w:cs="宋体"/>
          <w:sz w:val="24"/>
          <w:szCs w:val="24"/>
          <w:highlight w:val="none"/>
        </w:rPr>
      </w:pPr>
    </w:p>
    <w:p>
      <w:pPr>
        <w:pStyle w:val="7"/>
        <w:keepNext w:val="0"/>
        <w:keepLines w:val="0"/>
        <w:pageBreakBefore w:val="0"/>
        <w:widowControl w:val="0"/>
        <w:kinsoku/>
        <w:wordWrap/>
        <w:overflowPunct/>
        <w:topLinePunct w:val="0"/>
        <w:autoSpaceDE w:val="0"/>
        <w:autoSpaceDN w:val="0"/>
        <w:bidi w:val="0"/>
        <w:adjustRightInd w:val="0"/>
        <w:snapToGrid/>
        <w:spacing w:before="0" w:line="360" w:lineRule="auto"/>
        <w:ind w:right="0" w:firstLine="480" w:firstLineChars="200"/>
        <w:jc w:val="left"/>
        <w:textAlignment w:val="auto"/>
        <w:rPr>
          <w:rFonts w:hint="eastAsia" w:ascii="宋体" w:hAnsi="宋体" w:eastAsia="宋体" w:cs="宋体"/>
          <w:sz w:val="24"/>
          <w:szCs w:val="24"/>
          <w:highlight w:val="none"/>
        </w:rPr>
      </w:pPr>
    </w:p>
    <w:p>
      <w:pPr>
        <w:pStyle w:val="7"/>
        <w:keepNext w:val="0"/>
        <w:keepLines w:val="0"/>
        <w:pageBreakBefore w:val="0"/>
        <w:widowControl w:val="0"/>
        <w:kinsoku/>
        <w:wordWrap/>
        <w:overflowPunct/>
        <w:topLinePunct w:val="0"/>
        <w:autoSpaceDE w:val="0"/>
        <w:autoSpaceDN w:val="0"/>
        <w:bidi w:val="0"/>
        <w:adjustRightInd w:val="0"/>
        <w:snapToGrid/>
        <w:spacing w:before="0" w:line="360" w:lineRule="auto"/>
        <w:ind w:right="0" w:firstLine="480" w:firstLineChars="200"/>
        <w:jc w:val="left"/>
        <w:textAlignment w:val="auto"/>
        <w:rPr>
          <w:rFonts w:hint="eastAsia" w:ascii="宋体" w:hAnsi="宋体" w:eastAsia="宋体" w:cs="宋体"/>
          <w:sz w:val="24"/>
          <w:szCs w:val="24"/>
          <w:highlight w:val="none"/>
        </w:rPr>
      </w:pPr>
    </w:p>
    <w:p>
      <w:pPr>
        <w:pStyle w:val="7"/>
        <w:keepNext w:val="0"/>
        <w:keepLines w:val="0"/>
        <w:pageBreakBefore w:val="0"/>
        <w:widowControl w:val="0"/>
        <w:kinsoku/>
        <w:wordWrap/>
        <w:overflowPunct/>
        <w:topLinePunct w:val="0"/>
        <w:autoSpaceDE w:val="0"/>
        <w:autoSpaceDN w:val="0"/>
        <w:bidi w:val="0"/>
        <w:adjustRightInd w:val="0"/>
        <w:snapToGrid/>
        <w:spacing w:before="0" w:line="360" w:lineRule="auto"/>
        <w:ind w:right="0" w:firstLine="480" w:firstLineChars="200"/>
        <w:jc w:val="left"/>
        <w:textAlignment w:val="auto"/>
        <w:rPr>
          <w:rFonts w:hint="default"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0" w:line="360" w:lineRule="auto"/>
        <w:ind w:left="0" w:right="0" w:firstLine="482" w:firstLineChars="20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图 5- 1监测点位示意图</w:t>
      </w:r>
    </w:p>
    <w:p>
      <w:pPr>
        <w:keepNext w:val="0"/>
        <w:keepLines w:val="0"/>
        <w:pageBreakBefore w:val="0"/>
        <w:widowControl w:val="0"/>
        <w:kinsoku/>
        <w:wordWrap/>
        <w:overflowPunct/>
        <w:topLinePunct w:val="0"/>
        <w:autoSpaceDE w:val="0"/>
        <w:autoSpaceDN w:val="0"/>
        <w:bidi w:val="0"/>
        <w:adjustRightInd w:val="0"/>
        <w:snapToGrid/>
        <w:spacing w:before="0" w:line="360" w:lineRule="auto"/>
        <w:ind w:right="0"/>
        <w:jc w:val="left"/>
        <w:textAlignment w:val="auto"/>
        <w:rPr>
          <w:b/>
          <w:sz w:val="20"/>
        </w:rPr>
      </w:pPr>
      <w:r>
        <w:drawing>
          <wp:inline distT="0" distB="0" distL="114300" distR="114300">
            <wp:extent cx="5513705" cy="3895725"/>
            <wp:effectExtent l="0" t="0" r="1079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513705" cy="3895725"/>
                    </a:xfrm>
                    <a:prstGeom prst="rect">
                      <a:avLst/>
                    </a:prstGeom>
                    <a:noFill/>
                    <a:ln>
                      <a:noFill/>
                    </a:ln>
                  </pic:spPr>
                </pic:pic>
              </a:graphicData>
            </a:graphic>
          </wp:inline>
        </w:drawing>
      </w:r>
    </w:p>
    <w:p>
      <w:pPr>
        <w:pStyle w:val="20"/>
        <w:numPr>
          <w:ilvl w:val="2"/>
          <w:numId w:val="4"/>
        </w:numPr>
        <w:tabs>
          <w:tab w:val="left" w:pos="836"/>
        </w:tabs>
        <w:spacing w:before="0" w:after="0" w:line="240" w:lineRule="auto"/>
        <w:ind w:left="836" w:right="0" w:hanging="699"/>
        <w:jc w:val="left"/>
        <w:rPr>
          <w:rFonts w:hint="eastAsia" w:ascii="宋体" w:hAnsi="宋体" w:eastAsia="宋体" w:cs="宋体"/>
          <w:b/>
          <w:sz w:val="28"/>
        </w:rPr>
      </w:pPr>
      <w:bookmarkStart w:id="151" w:name="5.3.4固体废弃物影响调查"/>
      <w:bookmarkEnd w:id="151"/>
      <w:bookmarkStart w:id="152" w:name="5.3.4固体废弃物影响调查"/>
      <w:bookmarkEnd w:id="152"/>
      <w:r>
        <w:rPr>
          <w:rFonts w:hint="eastAsia" w:ascii="宋体" w:hAnsi="宋体" w:eastAsia="宋体" w:cs="宋体"/>
          <w:b/>
          <w:sz w:val="28"/>
        </w:rPr>
        <w:t>固体废弃物影响调查</w:t>
      </w:r>
    </w:p>
    <w:p>
      <w:pPr>
        <w:pStyle w:val="20"/>
        <w:keepNext w:val="0"/>
        <w:keepLines w:val="0"/>
        <w:pageBreakBefore w:val="0"/>
        <w:widowControl w:val="0"/>
        <w:numPr>
          <w:ilvl w:val="0"/>
          <w:numId w:val="10"/>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工程弃渣</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施工期产生土石方主要来源于场地平整、引水隧洞开挖、大坝等建筑开挖、</w:t>
      </w:r>
      <w:r>
        <w:rPr>
          <w:rFonts w:hint="eastAsia" w:ascii="宋体" w:hAnsi="宋体" w:eastAsia="宋体" w:cs="宋体"/>
          <w:spacing w:val="-2"/>
        </w:rPr>
        <w:t>围堰拆除、场内永久道路开挖及施工临时道路开挖等。企业设置了</w:t>
      </w:r>
      <w:r>
        <w:rPr>
          <w:rFonts w:hint="default" w:ascii="Times New Roman" w:hAnsi="Times New Roman" w:eastAsia="宋体" w:cs="Times New Roman"/>
          <w:spacing w:val="-2"/>
          <w:lang w:val="en-US" w:eastAsia="zh-CN"/>
        </w:rPr>
        <w:t>1</w:t>
      </w:r>
      <w:r>
        <w:rPr>
          <w:rFonts w:hint="eastAsia" w:ascii="宋体" w:hAnsi="宋体" w:eastAsia="宋体" w:cs="宋体"/>
          <w:spacing w:val="-4"/>
        </w:rPr>
        <w:t xml:space="preserve">个弃渣场， </w:t>
      </w:r>
      <w:r>
        <w:rPr>
          <w:rFonts w:hint="eastAsia" w:ascii="宋体" w:hAnsi="宋体" w:eastAsia="宋体" w:cs="宋体"/>
          <w:spacing w:val="-7"/>
        </w:rPr>
        <w:t>工程弃渣结束后，弃渣场土地平整、覆盖，边坡撒播草籽等植被恢复措施，由于建站时间久远，目前弃渣场周边植被已恢复。</w:t>
      </w:r>
    </w:p>
    <w:p>
      <w:pPr>
        <w:pStyle w:val="20"/>
        <w:keepNext w:val="0"/>
        <w:keepLines w:val="0"/>
        <w:pageBreakBefore w:val="0"/>
        <w:widowControl w:val="0"/>
        <w:numPr>
          <w:ilvl w:val="0"/>
          <w:numId w:val="10"/>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生活垃圾</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jc w:val="left"/>
        <w:textAlignment w:val="auto"/>
        <w:rPr>
          <w:rFonts w:hint="eastAsia" w:ascii="宋体" w:hAnsi="宋体" w:eastAsia="宋体" w:cs="宋体"/>
        </w:rPr>
      </w:pPr>
      <w:r>
        <w:rPr>
          <w:rFonts w:hint="eastAsia" w:ascii="宋体" w:hAnsi="宋体" w:eastAsia="宋体" w:cs="宋体"/>
          <w:spacing w:val="-7"/>
        </w:rPr>
        <w:t>根据现场调查，弃渣场没有施工期的生活垃圾裸露和引起二次环境污染；运</w:t>
      </w:r>
      <w:r>
        <w:rPr>
          <w:rFonts w:hint="eastAsia" w:ascii="宋体" w:hAnsi="宋体" w:eastAsia="宋体" w:cs="宋体"/>
          <w:spacing w:val="-6"/>
        </w:rPr>
        <w:t>行期电站厂房及生活办公区设置有垃圾收集桶，经垃圾桶收集后暂存于业主营地</w:t>
      </w:r>
      <w:r>
        <w:rPr>
          <w:rFonts w:hint="eastAsia" w:ascii="宋体" w:hAnsi="宋体" w:eastAsia="宋体" w:cs="宋体"/>
        </w:rPr>
        <w:t>外的生活垃圾收集池，垃圾由建设单位自行定期清运处置。</w:t>
      </w:r>
    </w:p>
    <w:p>
      <w:pPr>
        <w:pStyle w:val="20"/>
        <w:keepNext w:val="0"/>
        <w:keepLines w:val="0"/>
        <w:pageBreakBefore w:val="0"/>
        <w:widowControl w:val="0"/>
        <w:numPr>
          <w:ilvl w:val="0"/>
          <w:numId w:val="10"/>
        </w:numPr>
        <w:tabs>
          <w:tab w:val="left" w:pos="1219"/>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变压器废油、机修废机油及含油抹布</w:t>
      </w:r>
    </w:p>
    <w:p>
      <w:pPr>
        <w:widowControl/>
        <w:adjustRightInd w:val="0"/>
        <w:snapToGrid w:val="0"/>
        <w:spacing w:line="360" w:lineRule="auto"/>
        <w:ind w:firstLine="480" w:firstLineChars="200"/>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pP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本项目水电站在运行过程中，会对机电设备进行维护，平常维护不需要更换机油，但每5年会全部更换一次机油。根据建设单位提供资料，水电站运行期间，发电机组5年更换机油约0.5t，则废机油产生量为0.5t/5年（0.1t/a）。根据《国家危险废物名录》，企业对机电设备维护产生的废机油属于危险废物，废物类别为HW08废矿物油与含矿物油废物，代码900-214-08，需交有资质单位处理。</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default" w:ascii="Times New Roman" w:hAnsi="Times New Roman" w:eastAsia="宋体" w:cs="Times New Roman"/>
          <w:caps w:val="0"/>
          <w:smallCaps w:val="0"/>
          <w:snapToGrid/>
          <w:color w:val="auto"/>
          <w:spacing w:val="0"/>
          <w:w w:val="100"/>
          <w:kern w:val="2"/>
          <w:position w:val="0"/>
          <w:sz w:val="24"/>
          <w:szCs w:val="24"/>
          <w:lang w:val="en-US" w:eastAsia="zh-CN" w:bidi="ar-SA"/>
        </w:rPr>
        <w:t>此外还会产生少量的含油废抹布，产生量约2kg/a，属于危险废物豁免管理清单900-041-49废弃的含油抹布，可混入生活垃圾，由环卫定期清运</w:t>
      </w:r>
      <w:r>
        <w:rPr>
          <w:rFonts w:hint="eastAsia" w:ascii="宋体" w:hAnsi="宋体" w:eastAsia="宋体" w:cs="宋体"/>
        </w:rPr>
        <w:t>。</w:t>
      </w:r>
    </w:p>
    <w:p>
      <w:pPr>
        <w:pStyle w:val="7"/>
        <w:spacing w:before="8"/>
        <w:rPr>
          <w:sz w:val="18"/>
        </w:rPr>
      </w:pPr>
    </w:p>
    <w:p>
      <w:pPr>
        <w:pStyle w:val="4"/>
        <w:numPr>
          <w:ilvl w:val="1"/>
          <w:numId w:val="4"/>
        </w:numPr>
        <w:tabs>
          <w:tab w:val="left" w:pos="740"/>
        </w:tabs>
        <w:spacing w:before="0" w:after="0" w:line="240" w:lineRule="auto"/>
        <w:ind w:left="740" w:right="0" w:hanging="603"/>
        <w:jc w:val="left"/>
        <w:rPr>
          <w:rFonts w:hint="eastAsia" w:ascii="宋体" w:hAnsi="宋体" w:eastAsia="宋体" w:cs="宋体"/>
        </w:rPr>
      </w:pPr>
      <w:bookmarkStart w:id="153" w:name="_bookmark23"/>
      <w:bookmarkEnd w:id="153"/>
      <w:bookmarkStart w:id="154" w:name="_bookmark23"/>
      <w:bookmarkEnd w:id="154"/>
      <w:bookmarkStart w:id="155" w:name="5.4社会环境影响调查"/>
      <w:bookmarkEnd w:id="155"/>
      <w:r>
        <w:rPr>
          <w:rFonts w:hint="eastAsia" w:ascii="宋体" w:hAnsi="宋体" w:eastAsia="宋体" w:cs="宋体"/>
        </w:rPr>
        <w:t>社会环境影响调查</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auto"/>
          <w:spacing w:val="0"/>
          <w:w w:val="100"/>
          <w:kern w:val="0"/>
          <w:position w:val="0"/>
          <w:sz w:val="24"/>
          <w:szCs w:val="24"/>
        </w:rPr>
        <w:t>根据规划内容，本次规划实施对社会环境的影响总体表现为良性影响，水资源利用程度明显提高</w:t>
      </w:r>
      <w:r>
        <w:rPr>
          <w:rFonts w:hint="eastAsia" w:ascii="宋体" w:hAnsi="宋体" w:eastAsia="宋体" w:cs="宋体"/>
          <w:color w:val="auto"/>
          <w:spacing w:val="0"/>
          <w:w w:val="100"/>
          <w:kern w:val="0"/>
          <w:position w:val="0"/>
          <w:sz w:val="24"/>
          <w:szCs w:val="24"/>
          <w:lang w:eastAsia="zh-CN"/>
        </w:rPr>
        <w:t>。</w:t>
      </w:r>
      <w:r>
        <w:rPr>
          <w:rFonts w:hint="eastAsia" w:ascii="宋体" w:hAnsi="宋体" w:eastAsia="宋体" w:cs="宋体"/>
          <w:color w:val="auto"/>
          <w:spacing w:val="0"/>
          <w:w w:val="100"/>
          <w:kern w:val="0"/>
          <w:position w:val="0"/>
          <w:sz w:val="24"/>
          <w:szCs w:val="24"/>
        </w:rPr>
        <w:t>本工程淹没区范围内不涉及淹没道路等基础设施。项目所在的区域目前工业开发程度较低，生态环境质量较好</w:t>
      </w:r>
      <w:r>
        <w:rPr>
          <w:rFonts w:hint="eastAsia" w:ascii="宋体" w:hAnsi="宋体" w:eastAsia="宋体" w:cs="宋体"/>
          <w:color w:val="auto"/>
          <w:spacing w:val="0"/>
          <w:w w:val="100"/>
          <w:kern w:val="0"/>
          <w:position w:val="0"/>
          <w:sz w:val="24"/>
          <w:szCs w:val="24"/>
          <w:lang w:eastAsia="zh-CN"/>
        </w:rPr>
        <w:t>，</w:t>
      </w:r>
      <w:r>
        <w:rPr>
          <w:rFonts w:hint="eastAsia" w:ascii="宋体" w:hAnsi="宋体" w:eastAsia="宋体" w:cs="宋体"/>
          <w:color w:val="auto"/>
          <w:spacing w:val="0"/>
          <w:w w:val="100"/>
          <w:kern w:val="0"/>
          <w:position w:val="0"/>
          <w:sz w:val="24"/>
          <w:szCs w:val="24"/>
        </w:rPr>
        <w:t>本项目工程的建设对当地的社会经济具有重要作用</w:t>
      </w:r>
      <w:r>
        <w:rPr>
          <w:rFonts w:hint="eastAsia" w:ascii="宋体" w:hAnsi="宋体" w:eastAsia="宋体" w:cs="宋体"/>
          <w:color w:val="auto"/>
          <w:spacing w:val="0"/>
          <w:w w:val="100"/>
          <w:kern w:val="0"/>
          <w:position w:val="0"/>
          <w:sz w:val="24"/>
          <w:szCs w:val="24"/>
          <w:lang w:eastAsia="zh-CN"/>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rPr>
        <w:sectPr>
          <w:footerReference r:id="rId9" w:type="default"/>
          <w:pgSz w:w="11910" w:h="16840"/>
          <w:pgMar w:top="1360" w:right="1560" w:bottom="1180" w:left="1660" w:header="0" w:footer="991" w:gutter="0"/>
          <w:pgBorders>
            <w:top w:val="none" w:sz="0" w:space="0"/>
            <w:left w:val="none" w:sz="0" w:space="0"/>
            <w:bottom w:val="none" w:sz="0" w:space="0"/>
            <w:right w:val="none" w:sz="0" w:space="0"/>
          </w:pgBorders>
          <w:pgNumType w:fmt="decimal"/>
        </w:sectPr>
      </w:pPr>
      <w:r>
        <w:rPr>
          <w:rFonts w:hint="eastAsia" w:ascii="宋体" w:hAnsi="宋体" w:eastAsia="宋体" w:cs="宋体"/>
          <w:sz w:val="24"/>
          <w:szCs w:val="24"/>
        </w:rPr>
        <w:t>根据现场调查，本工程所在河段无居民饮用水取水口，也没有工业取水口，工程所在区域均饮用山泉水。河段河流与项目修建之前变化不大，基本不会对厂房下游的居民生活、农田灌溉造成影响</w:t>
      </w:r>
      <w:r>
        <w:rPr>
          <w:rFonts w:hint="eastAsia" w:ascii="宋体" w:hAnsi="宋体" w:eastAsia="宋体" w:cs="宋体"/>
          <w:sz w:val="24"/>
          <w:szCs w:val="24"/>
          <w:lang w:eastAsia="zh-CN"/>
        </w:rPr>
        <w:t>。</w:t>
      </w:r>
    </w:p>
    <w:p>
      <w:pPr>
        <w:pStyle w:val="3"/>
        <w:numPr>
          <w:ilvl w:val="0"/>
          <w:numId w:val="11"/>
        </w:numPr>
        <w:tabs>
          <w:tab w:val="left" w:pos="498"/>
        </w:tabs>
        <w:spacing w:before="83" w:after="0" w:line="240" w:lineRule="auto"/>
        <w:ind w:left="497" w:right="0" w:hanging="361"/>
        <w:jc w:val="left"/>
        <w:rPr>
          <w:rFonts w:hint="eastAsia" w:ascii="宋体" w:hAnsi="宋体" w:eastAsia="宋体" w:cs="宋体"/>
        </w:rPr>
      </w:pPr>
      <w:bookmarkStart w:id="156" w:name="_bookmark24"/>
      <w:bookmarkEnd w:id="156"/>
      <w:bookmarkStart w:id="157" w:name="_bookmark24"/>
      <w:bookmarkEnd w:id="157"/>
      <w:bookmarkStart w:id="158" w:name="6环境风险事故防范及应急措施调查"/>
      <w:bookmarkEnd w:id="158"/>
      <w:r>
        <w:rPr>
          <w:rFonts w:hint="eastAsia" w:ascii="宋体" w:hAnsi="宋体" w:eastAsia="宋体" w:cs="宋体"/>
        </w:rPr>
        <w:t>环境风险事故防范及应急措施调查</w:t>
      </w:r>
    </w:p>
    <w:p>
      <w:pPr>
        <w:pStyle w:val="4"/>
        <w:numPr>
          <w:ilvl w:val="1"/>
          <w:numId w:val="11"/>
        </w:numPr>
        <w:tabs>
          <w:tab w:val="left" w:pos="740"/>
        </w:tabs>
        <w:spacing w:before="0" w:after="0" w:line="240" w:lineRule="auto"/>
        <w:ind w:left="740" w:right="0" w:hanging="603"/>
        <w:jc w:val="left"/>
        <w:rPr>
          <w:rFonts w:hint="eastAsia" w:ascii="宋体" w:hAnsi="宋体" w:eastAsia="宋体" w:cs="宋体"/>
        </w:rPr>
      </w:pPr>
      <w:bookmarkStart w:id="159" w:name="_bookmark25"/>
      <w:bookmarkEnd w:id="159"/>
      <w:bookmarkStart w:id="160" w:name="_bookmark25"/>
      <w:bookmarkEnd w:id="160"/>
      <w:bookmarkStart w:id="161" w:name="6.1电站存在的环境风险"/>
      <w:bookmarkEnd w:id="161"/>
      <w:r>
        <w:rPr>
          <w:rFonts w:hint="eastAsia" w:ascii="宋体" w:hAnsi="宋体" w:eastAsia="宋体" w:cs="宋体"/>
        </w:rPr>
        <w:t>电站存在的环境风险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电站建设主要任务是发电，根据工程特性及工程对环境的影响特点分析，存</w:t>
      </w:r>
      <w:r>
        <w:rPr>
          <w:rFonts w:hint="eastAsia" w:ascii="宋体" w:hAnsi="宋体" w:eastAsia="宋体" w:cs="宋体"/>
          <w:spacing w:val="-6"/>
        </w:rPr>
        <w:t>在的危险主要为施工期河流水质污染，运行期溃坝风险、拦河坝水质污染、拦河</w:t>
      </w:r>
      <w:r>
        <w:rPr>
          <w:rFonts w:hint="eastAsia" w:ascii="宋体" w:hAnsi="宋体" w:eastAsia="宋体" w:cs="宋体"/>
        </w:rPr>
        <w:t>坝下生态用水被挤占风险、漏油污染河道水质危险的隐患。</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jc w:val="left"/>
        <w:textAlignment w:val="auto"/>
        <w:rPr>
          <w:rFonts w:hint="eastAsia" w:ascii="宋体" w:hAnsi="宋体" w:eastAsia="宋体" w:cs="宋体"/>
        </w:rPr>
      </w:pPr>
      <w:r>
        <w:rPr>
          <w:rFonts w:hint="eastAsia" w:ascii="宋体" w:hAnsi="宋体" w:eastAsia="宋体" w:cs="宋体"/>
          <w:spacing w:val="-6"/>
        </w:rPr>
        <w:t>针对上述风险源，企业编制了相应的重点风险源排查制度、环境风险预防措</w:t>
      </w:r>
      <w:r>
        <w:rPr>
          <w:rFonts w:hint="eastAsia" w:ascii="宋体" w:hAnsi="宋体" w:eastAsia="宋体" w:cs="宋体"/>
          <w:spacing w:val="-10"/>
        </w:rPr>
        <w:t>施、事故应急处理措施等，并成立了应急领导小组，负责电站突发环境事件的应</w:t>
      </w:r>
      <w:r>
        <w:rPr>
          <w:rFonts w:hint="eastAsia" w:ascii="宋体" w:hAnsi="宋体" w:eastAsia="宋体" w:cs="宋体"/>
          <w:spacing w:val="-11"/>
        </w:rPr>
        <w:t>急处置。应急领导小组下设办公室，具体负责环境应急日常工作，专门购买应急</w:t>
      </w:r>
      <w:r>
        <w:rPr>
          <w:rFonts w:hint="eastAsia" w:ascii="宋体" w:hAnsi="宋体" w:eastAsia="宋体" w:cs="宋体"/>
          <w:spacing w:val="-12"/>
        </w:rPr>
        <w:t>物资，建立急物资装备间。同时组建了现场指挥组、应急救援组、综合协调组、</w:t>
      </w:r>
      <w:r>
        <w:rPr>
          <w:rFonts w:hint="eastAsia" w:ascii="宋体" w:hAnsi="宋体" w:eastAsia="宋体" w:cs="宋体"/>
        </w:rPr>
        <w:t>后勤保障组等应急功能分支机构。</w:t>
      </w:r>
    </w:p>
    <w:p>
      <w:pPr>
        <w:pStyle w:val="4"/>
        <w:numPr>
          <w:ilvl w:val="1"/>
          <w:numId w:val="11"/>
        </w:numPr>
        <w:tabs>
          <w:tab w:val="left" w:pos="740"/>
        </w:tabs>
        <w:spacing w:before="1" w:after="0" w:line="240" w:lineRule="auto"/>
        <w:ind w:left="740" w:right="0" w:hanging="603"/>
        <w:jc w:val="left"/>
        <w:rPr>
          <w:rFonts w:hint="eastAsia" w:ascii="宋体" w:hAnsi="宋体" w:eastAsia="宋体" w:cs="宋体"/>
        </w:rPr>
      </w:pPr>
      <w:bookmarkStart w:id="162" w:name="_bookmark26"/>
      <w:bookmarkEnd w:id="162"/>
      <w:bookmarkStart w:id="163" w:name="_bookmark26"/>
      <w:bookmarkEnd w:id="163"/>
      <w:bookmarkStart w:id="164" w:name="6.2电站开工建设以来发生的环境风险事故调查"/>
      <w:bookmarkEnd w:id="164"/>
      <w:r>
        <w:rPr>
          <w:rFonts w:hint="eastAsia" w:ascii="宋体" w:hAnsi="宋体" w:eastAsia="宋体" w:cs="宋体"/>
        </w:rPr>
        <w:t>电站开工建设以来发生的环境风险事故调查</w:t>
      </w:r>
    </w:p>
    <w:p>
      <w:pPr>
        <w:pStyle w:val="20"/>
        <w:keepNext w:val="0"/>
        <w:keepLines w:val="0"/>
        <w:pageBreakBefore w:val="0"/>
        <w:widowControl w:val="0"/>
        <w:numPr>
          <w:ilvl w:val="2"/>
          <w:numId w:val="11"/>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施工期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业主切实落实施工期生产废水、生活污水处理的各项环境保护措施；加强对</w:t>
      </w:r>
      <w:r>
        <w:rPr>
          <w:rFonts w:hint="eastAsia" w:ascii="宋体" w:hAnsi="宋体" w:eastAsia="宋体" w:cs="宋体"/>
          <w:spacing w:val="-6"/>
        </w:rPr>
        <w:t>施工人员的环境保护宣传教育工作，增强环境保护意识；不定期检查施工现场等</w:t>
      </w:r>
      <w:r>
        <w:rPr>
          <w:rFonts w:hint="eastAsia" w:ascii="宋体" w:hAnsi="宋体" w:eastAsia="宋体" w:cs="宋体"/>
        </w:rPr>
        <w:t>措施进行环境风险预防，项目建设过程中没有发生过环境风险事故。</w:t>
      </w:r>
    </w:p>
    <w:p>
      <w:pPr>
        <w:pStyle w:val="20"/>
        <w:keepNext w:val="0"/>
        <w:keepLines w:val="0"/>
        <w:pageBreakBefore w:val="0"/>
        <w:widowControl w:val="0"/>
        <w:numPr>
          <w:ilvl w:val="2"/>
          <w:numId w:val="11"/>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营运期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jc w:val="left"/>
        <w:textAlignment w:val="auto"/>
        <w:rPr>
          <w:rFonts w:hint="eastAsia" w:ascii="宋体" w:hAnsi="宋体" w:eastAsia="宋体" w:cs="宋体"/>
        </w:rPr>
      </w:pPr>
      <w:r>
        <w:rPr>
          <w:rFonts w:hint="eastAsia" w:ascii="宋体" w:hAnsi="宋体" w:eastAsia="宋体" w:cs="宋体"/>
          <w:spacing w:val="-1"/>
        </w:rPr>
        <w:t>电站投入营运后，业主在平时加强对运行安全、消防管理、拦水坝巡检外</w:t>
      </w:r>
      <w:r>
        <w:rPr>
          <w:rFonts w:hint="eastAsia" w:ascii="宋体" w:hAnsi="宋体" w:eastAsia="宋体" w:cs="宋体"/>
          <w:spacing w:val="-1"/>
          <w:lang w:eastAsia="zh-CN"/>
        </w:rPr>
        <w:t>，</w:t>
      </w:r>
      <w:r>
        <w:rPr>
          <w:rFonts w:hint="eastAsia" w:ascii="宋体" w:hAnsi="宋体" w:eastAsia="宋体" w:cs="宋体"/>
          <w:spacing w:val="-4"/>
        </w:rPr>
        <w:t>建立了事故应急措施以及加强对电站管理人员环境保护宣传教育，增强环境保护</w:t>
      </w:r>
      <w:r>
        <w:rPr>
          <w:rFonts w:hint="eastAsia" w:ascii="宋体" w:hAnsi="宋体" w:eastAsia="宋体" w:cs="宋体"/>
          <w:spacing w:val="-10"/>
        </w:rPr>
        <w:t>意识；加强监管，严禁电站引水挤占下泄的生态用水量等措施，电站试运行期没有发生过环境风险事故。</w:t>
      </w:r>
    </w:p>
    <w:p>
      <w:pPr>
        <w:pStyle w:val="4"/>
        <w:numPr>
          <w:ilvl w:val="1"/>
          <w:numId w:val="11"/>
        </w:numPr>
        <w:tabs>
          <w:tab w:val="left" w:pos="740"/>
        </w:tabs>
        <w:spacing w:before="0" w:after="0" w:line="240" w:lineRule="auto"/>
        <w:ind w:left="740" w:right="0" w:hanging="603"/>
        <w:jc w:val="left"/>
        <w:rPr>
          <w:rFonts w:hint="eastAsia" w:ascii="宋体" w:hAnsi="宋体" w:eastAsia="宋体" w:cs="宋体"/>
        </w:rPr>
      </w:pPr>
      <w:bookmarkStart w:id="165" w:name="_bookmark27"/>
      <w:bookmarkEnd w:id="165"/>
      <w:bookmarkStart w:id="166" w:name="_bookmark27"/>
      <w:bookmarkEnd w:id="166"/>
      <w:bookmarkStart w:id="167" w:name="6.3电站环境风险事故应急预案的机构设置"/>
      <w:bookmarkEnd w:id="167"/>
      <w:r>
        <w:rPr>
          <w:rFonts w:hint="eastAsia" w:ascii="宋体" w:hAnsi="宋体" w:eastAsia="宋体" w:cs="宋体"/>
        </w:rPr>
        <w:t>电站环境风险事故应急预案的机构设置</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电站需要成立突发环境事件应急领导小组，负责电站突发环境事件的应急处</w:t>
      </w:r>
      <w:r>
        <w:rPr>
          <w:rFonts w:hint="eastAsia" w:ascii="宋体" w:hAnsi="宋体" w:eastAsia="宋体" w:cs="宋体"/>
          <w:spacing w:val="-10"/>
        </w:rPr>
        <w:t>置。其中：总指挥长由公司总经理担任，副组长由公司副总经理担任：成员由公</w:t>
      </w:r>
      <w:r>
        <w:rPr>
          <w:rFonts w:hint="eastAsia" w:ascii="宋体" w:hAnsi="宋体" w:eastAsia="宋体" w:cs="宋体"/>
          <w:spacing w:val="-9"/>
        </w:rPr>
        <w:t>司办公室主任、电站站站长、副站长、运营班长等人员组成。应急领导小组下设</w:t>
      </w:r>
      <w:r>
        <w:rPr>
          <w:rFonts w:hint="eastAsia" w:ascii="宋体" w:hAnsi="宋体" w:eastAsia="宋体" w:cs="宋体"/>
          <w:spacing w:val="-10"/>
        </w:rPr>
        <w:t>办公室，具体负责环境应急日常工作。同时组建现场指挥组、应急救援组、综合</w:t>
      </w:r>
      <w:r>
        <w:rPr>
          <w:rFonts w:hint="eastAsia" w:ascii="宋体" w:hAnsi="宋体" w:eastAsia="宋体" w:cs="宋体"/>
        </w:rPr>
        <w:t>协调组、后勤保障组等应急功能分支机构。</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8" w:firstLineChars="200"/>
        <w:jc w:val="left"/>
        <w:textAlignment w:val="auto"/>
        <w:rPr>
          <w:rFonts w:hint="eastAsia" w:ascii="宋体" w:hAnsi="宋体" w:eastAsia="宋体" w:cs="宋体"/>
        </w:rPr>
      </w:pPr>
      <w:r>
        <w:rPr>
          <w:rFonts w:hint="eastAsia" w:ascii="宋体" w:hAnsi="宋体" w:eastAsia="宋体" w:cs="宋体"/>
          <w:spacing w:val="-3"/>
        </w:rPr>
        <w:t>针对</w:t>
      </w: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3"/>
        </w:rPr>
        <w:t>在营运过程中存在的环境风险隐患，企业切实按照项</w:t>
      </w:r>
      <w:r>
        <w:rPr>
          <w:rFonts w:hint="eastAsia" w:ascii="宋体" w:hAnsi="宋体" w:eastAsia="宋体" w:cs="宋体"/>
          <w:spacing w:val="-9"/>
        </w:rPr>
        <w:t>目《</w:t>
      </w: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9"/>
        </w:rPr>
        <w:t>工程环境影响报告书》提出的环保措施的相关内容进行防</w:t>
      </w:r>
      <w:r>
        <w:rPr>
          <w:rFonts w:hint="eastAsia" w:ascii="宋体" w:hAnsi="宋体" w:eastAsia="宋体" w:cs="宋体"/>
          <w:spacing w:val="-10"/>
        </w:rPr>
        <w:t>护。另外，企业成立了突发环境事件应急组织机构，保障突发事故应急救援物资</w:t>
      </w:r>
      <w:r>
        <w:rPr>
          <w:rFonts w:hint="eastAsia" w:ascii="宋体" w:hAnsi="宋体" w:eastAsia="宋体" w:cs="宋体"/>
          <w:spacing w:val="-11"/>
        </w:rPr>
        <w:t>的供应。企业落实完成了相关的环保措施，建立了相关的突发环境事件应急预案</w:t>
      </w:r>
      <w:r>
        <w:rPr>
          <w:rFonts w:hint="eastAsia" w:ascii="宋体" w:hAnsi="宋体" w:eastAsia="宋体" w:cs="宋体"/>
          <w:spacing w:val="-12"/>
        </w:rPr>
        <w:t>机构、保障设施的基础，</w:t>
      </w: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12"/>
        </w:rPr>
        <w:t>存在的环境风险得到了有效的控制。</w:t>
      </w:r>
    </w:p>
    <w:p>
      <w:pPr>
        <w:spacing w:after="0" w:line="364" w:lineRule="auto"/>
        <w:jc w:val="both"/>
        <w:sectPr>
          <w:pgSz w:w="11910" w:h="16840"/>
          <w:pgMar w:top="1380" w:right="1560" w:bottom="1180" w:left="1660" w:header="0" w:footer="991" w:gutter="0"/>
          <w:pgBorders>
            <w:top w:val="none" w:sz="0" w:space="0"/>
            <w:left w:val="none" w:sz="0" w:space="0"/>
            <w:bottom w:val="none" w:sz="0" w:space="0"/>
            <w:right w:val="none" w:sz="0" w:space="0"/>
          </w:pgBorders>
          <w:pgNumType w:fmt="decimal"/>
        </w:sectPr>
      </w:pPr>
    </w:p>
    <w:p>
      <w:pPr>
        <w:pStyle w:val="3"/>
        <w:numPr>
          <w:ilvl w:val="0"/>
          <w:numId w:val="11"/>
        </w:numPr>
        <w:tabs>
          <w:tab w:val="left" w:pos="498"/>
        </w:tabs>
        <w:spacing w:before="83" w:after="0" w:line="240" w:lineRule="auto"/>
        <w:ind w:left="497" w:right="0" w:hanging="361"/>
        <w:jc w:val="left"/>
        <w:rPr>
          <w:rFonts w:hint="eastAsia" w:ascii="宋体" w:hAnsi="宋体" w:eastAsia="宋体" w:cs="宋体"/>
        </w:rPr>
      </w:pPr>
      <w:bookmarkStart w:id="168" w:name="_bookmark28"/>
      <w:bookmarkEnd w:id="168"/>
      <w:bookmarkStart w:id="169" w:name="7环境管理检查调查"/>
      <w:bookmarkEnd w:id="169"/>
      <w:bookmarkStart w:id="170" w:name="_bookmark28"/>
      <w:bookmarkEnd w:id="170"/>
      <w:r>
        <w:rPr>
          <w:rFonts w:hint="eastAsia" w:ascii="宋体" w:hAnsi="宋体" w:eastAsia="宋体" w:cs="宋体"/>
        </w:rPr>
        <w:t>环境管理检查调查</w:t>
      </w:r>
    </w:p>
    <w:p>
      <w:pPr>
        <w:pStyle w:val="7"/>
        <w:spacing w:before="7"/>
        <w:rPr>
          <w:rFonts w:hint="eastAsia" w:ascii="宋体" w:hAnsi="宋体" w:eastAsia="宋体" w:cs="宋体"/>
          <w:b/>
          <w:sz w:val="37"/>
        </w:rPr>
      </w:pPr>
    </w:p>
    <w:p>
      <w:pPr>
        <w:pStyle w:val="4"/>
        <w:numPr>
          <w:ilvl w:val="1"/>
          <w:numId w:val="11"/>
        </w:numPr>
        <w:tabs>
          <w:tab w:val="left" w:pos="740"/>
        </w:tabs>
        <w:spacing w:before="0" w:after="0" w:line="240" w:lineRule="auto"/>
        <w:ind w:left="740" w:right="0" w:hanging="603"/>
        <w:jc w:val="left"/>
        <w:rPr>
          <w:rFonts w:hint="eastAsia" w:ascii="宋体" w:hAnsi="宋体" w:eastAsia="宋体" w:cs="宋体"/>
        </w:rPr>
      </w:pPr>
      <w:bookmarkStart w:id="171" w:name="_bookmark29"/>
      <w:bookmarkEnd w:id="171"/>
      <w:bookmarkStart w:id="172" w:name="7.1环境管理"/>
      <w:bookmarkEnd w:id="172"/>
      <w:bookmarkStart w:id="173" w:name="_bookmark29"/>
      <w:bookmarkEnd w:id="173"/>
      <w:r>
        <w:rPr>
          <w:rFonts w:hint="eastAsia" w:ascii="宋体" w:hAnsi="宋体" w:eastAsia="宋体" w:cs="宋体"/>
        </w:rPr>
        <w:t>环境管理</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（1）工程执行国家环保法律政策情况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3"/>
        </w:rPr>
        <w:t>工程建设项目在前期能够根据国家环境保护相关政策法</w:t>
      </w:r>
      <w:r>
        <w:rPr>
          <w:rFonts w:hint="eastAsia" w:ascii="宋体" w:hAnsi="宋体" w:eastAsia="宋体" w:cs="宋体"/>
          <w:spacing w:val="-10"/>
        </w:rPr>
        <w:t>规，编制《</w:t>
      </w: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10"/>
        </w:rPr>
        <w:t>工程环境影响报告书》，在建设过程中基本落实了</w:t>
      </w:r>
      <w:r>
        <w:rPr>
          <w:rFonts w:hint="eastAsia" w:ascii="宋体" w:hAnsi="宋体" w:eastAsia="宋体" w:cs="宋体"/>
          <w:spacing w:val="-1"/>
        </w:rPr>
        <w:t>《</w:t>
      </w: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1"/>
        </w:rPr>
        <w:t>工程环境影响报告书》及其批复意见提出的“三废一噪”、</w:t>
      </w:r>
      <w:r>
        <w:rPr>
          <w:rFonts w:hint="eastAsia" w:ascii="宋体" w:hAnsi="宋体" w:eastAsia="宋体" w:cs="宋体"/>
          <w:spacing w:val="-9"/>
        </w:rPr>
        <w:t>生态保护、水土保持等措施，做到了与工程同步设计、同时建设、同时投产，目</w:t>
      </w:r>
      <w:r>
        <w:rPr>
          <w:rFonts w:hint="eastAsia" w:ascii="宋体" w:hAnsi="宋体" w:eastAsia="宋体" w:cs="宋体"/>
          <w:spacing w:val="-14"/>
        </w:rPr>
        <w:t>前各项环保措施和投资己基本得到落实，环保设施运行状况良好，执行了建设项</w:t>
      </w:r>
      <w:r>
        <w:rPr>
          <w:rFonts w:hint="eastAsia" w:ascii="宋体" w:hAnsi="宋体" w:eastAsia="宋体" w:cs="宋体"/>
          <w:spacing w:val="-13"/>
        </w:rPr>
        <w:t>目环保措施“三同时”制度。从上述情况看，该项目建设过程中较好地执行了国家环境保护的法律法规。</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(2）环保机构、制度及人员情况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3"/>
        </w:rPr>
        <w:t>机构置情况：没有单独的环保机构和专职人</w:t>
      </w:r>
      <w:r>
        <w:rPr>
          <w:rFonts w:hint="eastAsia" w:ascii="宋体" w:hAnsi="宋体" w:eastAsia="宋体" w:cs="宋体"/>
          <w:spacing w:val="-10"/>
        </w:rPr>
        <w:t>员。环保机构由公司员工兼职，环保工作由电站站长兼管，看守员的工作主要是</w:t>
      </w:r>
      <w:r>
        <w:rPr>
          <w:rFonts w:hint="eastAsia" w:ascii="宋体" w:hAnsi="宋体" w:eastAsia="宋体" w:cs="宋体"/>
        </w:rPr>
        <w:t>负责安全方面，电站安全工作与环保有一定的关系。</w:t>
      </w:r>
    </w:p>
    <w:p>
      <w:pPr>
        <w:pStyle w:val="20"/>
        <w:keepNext w:val="0"/>
        <w:keepLines w:val="0"/>
        <w:pageBreakBefore w:val="0"/>
        <w:widowControl w:val="0"/>
        <w:numPr>
          <w:ilvl w:val="0"/>
          <w:numId w:val="12"/>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施工期环境管理机构及规章制度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rFonts w:hint="eastAsia" w:ascii="宋体" w:hAnsi="宋体" w:eastAsia="宋体" w:cs="宋体"/>
        </w:rPr>
      </w:pPr>
      <w:r>
        <w:rPr>
          <w:rFonts w:hint="eastAsia" w:ascii="宋体" w:hAnsi="宋体" w:eastAsia="宋体" w:cs="宋体"/>
          <w:spacing w:val="-5"/>
        </w:rPr>
        <w:t>为保证建设期工程环保管理工作的落实，建设部门成立了专门的环保管理领</w:t>
      </w:r>
      <w:r>
        <w:rPr>
          <w:rFonts w:hint="eastAsia" w:ascii="宋体" w:hAnsi="宋体" w:eastAsia="宋体" w:cs="宋体"/>
          <w:spacing w:val="-9"/>
        </w:rPr>
        <w:t>导小组，直接负责日常的工程环保管理工作，下设库区水质保护、工程环保、工</w:t>
      </w:r>
      <w:r>
        <w:rPr>
          <w:rFonts w:hint="eastAsia" w:ascii="宋体" w:hAnsi="宋体" w:eastAsia="宋体" w:cs="宋体"/>
          <w:spacing w:val="-10"/>
        </w:rPr>
        <w:t>程绿化等小组。环保管理组织机构的建立及各岗位职责的明确，为工程指挥部环</w:t>
      </w:r>
      <w:r>
        <w:rPr>
          <w:rFonts w:hint="eastAsia" w:ascii="宋体" w:hAnsi="宋体" w:eastAsia="宋体" w:cs="宋体"/>
        </w:rPr>
        <w:t>保工作的落实提供了机构上的有力保证。</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为确保环评批复意见的落实，建设部门制订了相关环保管理制度，具体的制度如下：</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全面实施环保（及水土保持工程）工程招投标制度。在公开、公平、公正、合理的原则下，选择资质高、信誉好、实力强的施工队伍进行环保工程的建设。将主体工程施工要求的环保措施作为合同的重要内容，承包商在施工计划、施工作业和施工管理上都要求采取了相应的措施，有效地防止了施工中的水土流失、水质污染事故。</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建立完整的工程施工环保管理制度，为施工环保措施的落实提供有力的保证。工程施工环保管理制度规定了各施工单位施工废水的处置措施、生活污水、</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0" w:firstLineChars="200"/>
        <w:jc w:val="left"/>
        <w:textAlignment w:val="auto"/>
        <w:sectPr>
          <w:pgSz w:w="11910" w:h="16840"/>
          <w:pgMar w:top="1580" w:right="1560" w:bottom="1180" w:left="1660" w:header="0" w:footer="991" w:gutter="0"/>
          <w:pgBorders>
            <w:top w:val="none" w:sz="0" w:space="0"/>
            <w:left w:val="none" w:sz="0" w:space="0"/>
            <w:bottom w:val="none" w:sz="0" w:space="0"/>
            <w:right w:val="none" w:sz="0" w:space="0"/>
          </w:pgBorders>
          <w:pgNumType w:fmt="decimal"/>
        </w:sect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垃圾的处置要求、施工现场环保要求、施工噪声控制要求等内容。</w:t>
      </w:r>
    </w:p>
    <w:p>
      <w:pPr>
        <w:pStyle w:val="20"/>
        <w:keepNext w:val="0"/>
        <w:keepLines w:val="0"/>
        <w:pageBreakBefore w:val="0"/>
        <w:widowControl w:val="0"/>
        <w:numPr>
          <w:ilvl w:val="0"/>
          <w:numId w:val="12"/>
        </w:numPr>
        <w:tabs>
          <w:tab w:val="left" w:pos="119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rPr>
      </w:pPr>
      <w:r>
        <w:rPr>
          <w:rFonts w:hint="eastAsia" w:ascii="宋体" w:hAnsi="宋体" w:eastAsia="宋体" w:cs="宋体"/>
          <w:sz w:val="24"/>
        </w:rPr>
        <w:t>营运期环境规章制度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5"/>
        </w:rPr>
        <w:t>投入运行后，企业针对水电站运营的环保管理特点，结合</w:t>
      </w:r>
      <w:r>
        <w:rPr>
          <w:rFonts w:hint="eastAsia" w:ascii="宋体" w:hAnsi="宋体" w:eastAsia="宋体" w:cs="宋体"/>
          <w:spacing w:val="-11"/>
        </w:rPr>
        <w:t>水电站管理经验，制定了水利枢纽工程管理制度岗位等一系列的水电站运营环保</w:t>
      </w:r>
      <w:r>
        <w:rPr>
          <w:rFonts w:hint="eastAsia" w:ascii="宋体" w:hAnsi="宋体" w:eastAsia="宋体" w:cs="宋体"/>
        </w:rPr>
        <w:t>管理制度。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3"/>
        </w:rPr>
        <w:t>运行期间主要产生的污染物仅为管理人员产生的生活污</w:t>
      </w:r>
      <w:r>
        <w:rPr>
          <w:rFonts w:hint="eastAsia" w:ascii="宋体" w:hAnsi="宋体" w:eastAsia="宋体" w:cs="宋体"/>
          <w:spacing w:val="-3"/>
        </w:rPr>
        <w:t>水和生活垃圾以及设备运行产生的噪声，废机油产生量极少，且无大气污染源排</w:t>
      </w:r>
      <w:r>
        <w:rPr>
          <w:rFonts w:hint="eastAsia" w:ascii="宋体" w:hAnsi="宋体" w:eastAsia="宋体" w:cs="宋体"/>
          <w:spacing w:val="-11"/>
        </w:rPr>
        <w:t>放。基于企业的性质，</w:t>
      </w:r>
      <w:r>
        <w:rPr>
          <w:rFonts w:hint="eastAsia" w:ascii="Times New Roman" w:hAnsi="Times New Roman" w:eastAsia="宋体" w:cs="Times New Roman"/>
          <w:caps w:val="0"/>
          <w:smallCaps w:val="0"/>
          <w:snapToGrid/>
          <w:spacing w:val="0"/>
          <w:w w:val="100"/>
          <w:kern w:val="2"/>
          <w:position w:val="0"/>
          <w:sz w:val="24"/>
          <w:szCs w:val="22"/>
          <w:lang w:val="en-US" w:eastAsia="zh-CN"/>
        </w:rPr>
        <w:t>崇义县上堡人形水电站</w:t>
      </w:r>
      <w:r>
        <w:rPr>
          <w:rFonts w:hint="eastAsia" w:ascii="宋体" w:hAnsi="宋体" w:eastAsia="宋体" w:cs="宋体"/>
          <w:spacing w:val="-11"/>
        </w:rPr>
        <w:t>没有专门的环境保护管理制</w:t>
      </w:r>
      <w:r>
        <w:rPr>
          <w:rFonts w:hint="eastAsia" w:ascii="宋体" w:hAnsi="宋体" w:eastAsia="宋体" w:cs="宋体"/>
          <w:spacing w:val="-10"/>
        </w:rPr>
        <w:t>度，只是在电站规章制度中，专门制定了“运行人员岗位职责、首要人员岗位职责、设备巡检人员规章制度、中控室工作人员规章制度对相关工作做了要求，使</w:t>
      </w:r>
      <w:r>
        <w:rPr>
          <w:rFonts w:hint="eastAsia" w:ascii="宋体" w:hAnsi="宋体" w:eastAsia="宋体" w:cs="宋体"/>
        </w:rPr>
        <w:t>电站人员的工作纳入管理。</w:t>
      </w:r>
    </w:p>
    <w:p>
      <w:pPr>
        <w:pStyle w:val="7"/>
        <w:spacing w:before="7"/>
        <w:rPr>
          <w:sz w:val="18"/>
        </w:rPr>
      </w:pPr>
    </w:p>
    <w:p>
      <w:pPr>
        <w:pStyle w:val="4"/>
        <w:numPr>
          <w:ilvl w:val="1"/>
          <w:numId w:val="11"/>
        </w:numPr>
        <w:tabs>
          <w:tab w:val="left" w:pos="740"/>
        </w:tabs>
        <w:spacing w:before="0" w:after="0" w:line="240" w:lineRule="auto"/>
        <w:ind w:left="740" w:right="0" w:hanging="603"/>
        <w:jc w:val="left"/>
        <w:rPr>
          <w:rFonts w:hint="eastAsia" w:ascii="宋体" w:hAnsi="宋体" w:eastAsia="宋体" w:cs="宋体"/>
        </w:rPr>
      </w:pPr>
      <w:bookmarkStart w:id="174" w:name="7.2环境监理、监察"/>
      <w:bookmarkEnd w:id="174"/>
      <w:bookmarkStart w:id="175" w:name="_bookmark30"/>
      <w:bookmarkEnd w:id="175"/>
      <w:bookmarkStart w:id="176" w:name="_bookmark30"/>
      <w:bookmarkEnd w:id="176"/>
      <w:r>
        <w:rPr>
          <w:rFonts w:hint="eastAsia" w:ascii="宋体" w:hAnsi="宋体" w:eastAsia="宋体" w:cs="宋体"/>
        </w:rPr>
        <w:t>环境监理、监察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宋体" w:hAnsi="宋体" w:eastAsia="宋体" w:cs="宋体"/>
        </w:rPr>
      </w:pPr>
      <w:r>
        <w:rPr>
          <w:rFonts w:hint="eastAsia" w:ascii="宋体" w:hAnsi="宋体" w:eastAsia="宋体" w:cs="宋体"/>
        </w:rPr>
        <w:t>因该电站工程没有专门的环保工程监理，施工过程中对水保工程的监理，电站委托专业机构与主体工程监理一并进行。施工期没有进施工期环境监测。</w:t>
      </w:r>
    </w:p>
    <w:p>
      <w:pPr>
        <w:spacing w:after="0" w:line="362" w:lineRule="auto"/>
        <w:sectPr>
          <w:pgSz w:w="11910" w:h="16840"/>
          <w:pgMar w:top="1380" w:right="1560" w:bottom="1180" w:left="1660" w:header="0" w:footer="991" w:gutter="0"/>
          <w:pgBorders>
            <w:top w:val="none" w:sz="0" w:space="0"/>
            <w:left w:val="none" w:sz="0" w:space="0"/>
            <w:bottom w:val="none" w:sz="0" w:space="0"/>
            <w:right w:val="none" w:sz="0" w:space="0"/>
          </w:pgBorders>
          <w:pgNumType w:fmt="decimal"/>
        </w:sectPr>
      </w:pPr>
    </w:p>
    <w:p>
      <w:pPr>
        <w:pStyle w:val="3"/>
        <w:numPr>
          <w:ilvl w:val="0"/>
          <w:numId w:val="11"/>
        </w:numPr>
        <w:tabs>
          <w:tab w:val="left" w:pos="498"/>
        </w:tabs>
        <w:spacing w:before="83" w:after="0" w:line="240" w:lineRule="auto"/>
        <w:ind w:left="497" w:right="0" w:hanging="361"/>
        <w:jc w:val="both"/>
        <w:rPr>
          <w:rFonts w:hint="eastAsia" w:ascii="宋体" w:hAnsi="宋体" w:eastAsia="宋体" w:cs="宋体"/>
        </w:rPr>
      </w:pPr>
      <w:bookmarkStart w:id="177" w:name="_bookmark31"/>
      <w:bookmarkEnd w:id="177"/>
      <w:bookmarkStart w:id="178" w:name="8公众意见调查"/>
      <w:bookmarkEnd w:id="178"/>
      <w:bookmarkStart w:id="179" w:name="_bookmark31"/>
      <w:bookmarkEnd w:id="179"/>
      <w:r>
        <w:rPr>
          <w:rFonts w:hint="eastAsia" w:ascii="宋体" w:hAnsi="宋体" w:eastAsia="宋体" w:cs="宋体"/>
        </w:rPr>
        <w:t>公众意见调查</w:t>
      </w:r>
    </w:p>
    <w:p>
      <w:pPr>
        <w:pStyle w:val="7"/>
        <w:spacing w:before="3" w:line="364" w:lineRule="auto"/>
        <w:ind w:left="137" w:right="235" w:firstLine="453"/>
        <w:jc w:val="both"/>
        <w:rPr>
          <w:rFonts w:hint="eastAsia" w:ascii="宋体" w:hAnsi="宋体" w:eastAsia="宋体" w:cs="宋体"/>
          <w:highlight w:val="none"/>
        </w:rPr>
      </w:pPr>
      <w:r>
        <w:rPr>
          <w:rFonts w:hint="eastAsia" w:ascii="宋体" w:hAnsi="宋体" w:eastAsia="宋体" w:cs="宋体"/>
          <w:spacing w:val="-7"/>
          <w:highlight w:val="none"/>
        </w:rPr>
        <w:t>对公众参与调查结果统计表明，本项目的建设得到了大多数影响区城公众的</w:t>
      </w:r>
      <w:r>
        <w:rPr>
          <w:rFonts w:hint="eastAsia" w:ascii="宋体" w:hAnsi="宋体" w:eastAsia="宋体" w:cs="宋体"/>
          <w:spacing w:val="-10"/>
          <w:highlight w:val="none"/>
        </w:rPr>
        <w:t>支持，评价区内群众对水库的建设带来的环境问题有一定认识，认为应采取各种</w:t>
      </w:r>
      <w:r>
        <w:rPr>
          <w:rFonts w:hint="eastAsia" w:ascii="宋体" w:hAnsi="宋体" w:eastAsia="宋体" w:cs="宋体"/>
          <w:spacing w:val="-11"/>
          <w:highlight w:val="none"/>
        </w:rPr>
        <w:t>措施，不减少占用耕地、毁坏森林，减轻噪声、废气、固体废物、废水等污染</w:t>
      </w:r>
      <w:r>
        <w:rPr>
          <w:rFonts w:hint="eastAsia" w:ascii="宋体" w:hAnsi="宋体" w:eastAsia="宋体" w:cs="宋体"/>
          <w:highlight w:val="none"/>
        </w:rPr>
        <w:t>。</w:t>
      </w:r>
    </w:p>
    <w:p>
      <w:pPr>
        <w:spacing w:after="0" w:line="364" w:lineRule="auto"/>
        <w:jc w:val="both"/>
        <w:sectPr>
          <w:pgSz w:w="11910" w:h="16840"/>
          <w:pgMar w:top="1580" w:right="1560" w:bottom="1180" w:left="1660" w:header="0" w:footer="991" w:gutter="0"/>
          <w:pgBorders>
            <w:top w:val="none" w:sz="0" w:space="0"/>
            <w:left w:val="none" w:sz="0" w:space="0"/>
            <w:bottom w:val="none" w:sz="0" w:space="0"/>
            <w:right w:val="none" w:sz="0" w:space="0"/>
          </w:pgBorders>
          <w:pgNumType w:fmt="decimal"/>
        </w:sectPr>
      </w:pPr>
    </w:p>
    <w:p>
      <w:pPr>
        <w:pStyle w:val="3"/>
        <w:numPr>
          <w:ilvl w:val="0"/>
          <w:numId w:val="13"/>
        </w:numPr>
        <w:tabs>
          <w:tab w:val="left" w:pos="498"/>
        </w:tabs>
        <w:spacing w:before="83" w:after="0" w:line="240" w:lineRule="auto"/>
        <w:ind w:left="497" w:right="0" w:hanging="361"/>
        <w:jc w:val="left"/>
        <w:rPr>
          <w:rFonts w:hint="eastAsia" w:ascii="宋体" w:hAnsi="宋体" w:eastAsia="宋体" w:cs="宋体"/>
        </w:rPr>
      </w:pPr>
      <w:bookmarkStart w:id="180" w:name="_bookmark32"/>
      <w:bookmarkEnd w:id="180"/>
      <w:bookmarkStart w:id="181" w:name="9调查结论和建议"/>
      <w:bookmarkEnd w:id="181"/>
      <w:bookmarkStart w:id="182" w:name="_bookmark32"/>
      <w:bookmarkEnd w:id="182"/>
      <w:r>
        <w:rPr>
          <w:rFonts w:hint="eastAsia" w:ascii="宋体" w:hAnsi="宋体" w:eastAsia="宋体" w:cs="宋体"/>
        </w:rPr>
        <w:t>调查结论和建议</w:t>
      </w:r>
    </w:p>
    <w:p>
      <w:pPr>
        <w:pStyle w:val="4"/>
        <w:numPr>
          <w:ilvl w:val="1"/>
          <w:numId w:val="13"/>
        </w:numPr>
        <w:tabs>
          <w:tab w:val="left" w:pos="740"/>
        </w:tabs>
        <w:spacing w:before="0" w:after="0" w:line="240" w:lineRule="auto"/>
        <w:ind w:left="740" w:right="0" w:hanging="603"/>
        <w:jc w:val="left"/>
        <w:rPr>
          <w:rFonts w:hint="eastAsia" w:ascii="宋体" w:hAnsi="宋体" w:eastAsia="宋体" w:cs="宋体"/>
          <w:highlight w:val="none"/>
        </w:rPr>
      </w:pPr>
      <w:bookmarkStart w:id="183" w:name="_bookmark33"/>
      <w:bookmarkEnd w:id="183"/>
      <w:bookmarkStart w:id="184" w:name="9.1基本结论"/>
      <w:bookmarkEnd w:id="184"/>
      <w:bookmarkStart w:id="185" w:name="_bookmark33"/>
      <w:bookmarkEnd w:id="185"/>
      <w:r>
        <w:rPr>
          <w:rFonts w:hint="eastAsia" w:ascii="宋体" w:hAnsi="宋体" w:eastAsia="宋体" w:cs="宋体"/>
          <w:highlight w:val="none"/>
        </w:rPr>
        <w:t>基本结论</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为更好地开发利用上堡河水力资源，完善市、县电网系统、缓解电力电量供需矛盾，崇义县人形电站投资252万元建设崇义县上堡人形水电站工程项目，项目位于江西省赣州市崇义县上堡乡正井村，设一座大坝、一处厂房和一栋生活用房，坝址坐落在崇义县上堡乡正井村，位于上犹江支流上堡河上游均源河，拦河坝中心地理位置坐标为</w:t>
      </w:r>
      <w:r>
        <w:rPr>
          <w:rFonts w:hint="default" w:ascii="Times New Roman" w:hAnsi="Times New Roman" w:eastAsia="宋体" w:cs="Times New Roman"/>
        </w:rPr>
        <w:t>E</w:t>
      </w:r>
      <w:r>
        <w:rPr>
          <w:rFonts w:hint="default" w:ascii="Times New Roman" w:hAnsi="Times New Roman" w:eastAsia="宋体" w:cs="Times New Roman"/>
          <w:lang w:val="en-US" w:eastAsia="zh-CN"/>
        </w:rPr>
        <w:t>:</w:t>
      </w:r>
      <w:r>
        <w:rPr>
          <w:rFonts w:hint="default" w:ascii="Times New Roman" w:hAnsi="Times New Roman" w:eastAsia="宋体" w:cs="Times New Roman"/>
        </w:rPr>
        <w:t>113°57'06.48"，N</w:t>
      </w:r>
      <w:r>
        <w:rPr>
          <w:rFonts w:hint="default" w:ascii="Times New Roman" w:hAnsi="Times New Roman" w:eastAsia="宋体" w:cs="Times New Roman"/>
          <w:lang w:val="en-US" w:eastAsia="zh-CN"/>
        </w:rPr>
        <w:t>:</w:t>
      </w:r>
      <w:r>
        <w:rPr>
          <w:rFonts w:hint="default" w:ascii="Times New Roman" w:hAnsi="Times New Roman" w:eastAsia="宋体" w:cs="Times New Roman"/>
        </w:rPr>
        <w:t>25°43'09.69"</w:t>
      </w:r>
      <w:r>
        <w:rPr>
          <w:rFonts w:hint="eastAsia" w:ascii="宋体" w:hAnsi="宋体" w:eastAsia="宋体" w:cs="宋体"/>
        </w:rPr>
        <w:t>，电站厂房中心地理位置坐标为</w:t>
      </w:r>
      <w:r>
        <w:rPr>
          <w:rFonts w:hint="default" w:ascii="Times New Roman" w:hAnsi="Times New Roman" w:eastAsia="宋体" w:cs="Times New Roman"/>
        </w:rPr>
        <w:t>E</w:t>
      </w:r>
      <w:r>
        <w:rPr>
          <w:rFonts w:hint="default" w:ascii="Times New Roman" w:hAnsi="Times New Roman" w:eastAsia="宋体" w:cs="Times New Roman"/>
          <w:lang w:val="en-US" w:eastAsia="zh-CN"/>
        </w:rPr>
        <w:t>:</w:t>
      </w:r>
      <w:r>
        <w:rPr>
          <w:rFonts w:hint="default" w:ascii="Times New Roman" w:hAnsi="Times New Roman" w:eastAsia="宋体" w:cs="Times New Roman"/>
        </w:rPr>
        <w:t>113°57'48.02"，N</w:t>
      </w:r>
      <w:r>
        <w:rPr>
          <w:rFonts w:hint="default" w:ascii="Times New Roman" w:hAnsi="Times New Roman" w:eastAsia="宋体" w:cs="Times New Roman"/>
          <w:lang w:val="en-US" w:eastAsia="zh-CN"/>
        </w:rPr>
        <w:t>:</w:t>
      </w:r>
      <w:r>
        <w:rPr>
          <w:rFonts w:hint="default" w:ascii="Times New Roman" w:hAnsi="Times New Roman" w:eastAsia="宋体" w:cs="Times New Roman"/>
        </w:rPr>
        <w:t>25°43'58.01"</w:t>
      </w:r>
      <w:r>
        <w:rPr>
          <w:rFonts w:hint="eastAsia" w:ascii="宋体" w:hAnsi="宋体" w:eastAsia="宋体" w:cs="宋体"/>
        </w:rPr>
        <w:t>。崇义县上堡人形水电站的枢纽工程属Ⅴ等工程，电站装机容量</w:t>
      </w:r>
      <w:r>
        <w:rPr>
          <w:rFonts w:hint="default" w:ascii="Times New Roman" w:hAnsi="Times New Roman" w:eastAsia="宋体" w:cs="Times New Roman"/>
        </w:rPr>
        <w:t>500kw(2×250)</w:t>
      </w:r>
      <w:r>
        <w:rPr>
          <w:rFonts w:hint="eastAsia" w:ascii="宋体" w:hAnsi="宋体" w:eastAsia="宋体" w:cs="宋体"/>
        </w:rPr>
        <w:t>，多年平均发电量</w:t>
      </w:r>
      <w:r>
        <w:rPr>
          <w:rFonts w:hint="eastAsia" w:ascii="Times New Roman" w:hAnsi="Times New Roman" w:eastAsia="宋体" w:cs="Times New Roman"/>
        </w:rPr>
        <w:t>162</w:t>
      </w:r>
      <w:r>
        <w:rPr>
          <w:rFonts w:hint="eastAsia" w:ascii="宋体" w:hAnsi="宋体" w:eastAsia="宋体" w:cs="宋体"/>
        </w:rPr>
        <w:t>万</w:t>
      </w:r>
      <w:r>
        <w:rPr>
          <w:rFonts w:hint="eastAsia" w:ascii="Times New Roman" w:hAnsi="Times New Roman" w:eastAsia="宋体" w:cs="Times New Roman"/>
        </w:rPr>
        <w:t>kw·h</w:t>
      </w:r>
      <w:r>
        <w:rPr>
          <w:rFonts w:hint="eastAsia" w:ascii="宋体" w:hAnsi="宋体" w:eastAsia="宋体" w:cs="宋体"/>
        </w:rPr>
        <w:t>，是一座引水式无调节性能以发电为主的小</w:t>
      </w:r>
      <w:r>
        <w:rPr>
          <w:rFonts w:hint="eastAsia" w:ascii="Times New Roman" w:hAnsi="Times New Roman" w:eastAsia="宋体" w:cs="Times New Roman"/>
        </w:rPr>
        <w:t>(2)</w:t>
      </w:r>
      <w:r>
        <w:rPr>
          <w:rFonts w:hint="eastAsia" w:ascii="宋体" w:hAnsi="宋体" w:eastAsia="宋体" w:cs="宋体"/>
        </w:rPr>
        <w:t>型水电站。人形水电站坝址处多年平均流量为</w:t>
      </w:r>
      <w:r>
        <w:rPr>
          <w:rFonts w:hint="eastAsia" w:ascii="Times New Roman" w:hAnsi="Times New Roman" w:eastAsia="宋体" w:cs="Times New Roman"/>
        </w:rPr>
        <w:t>0.34m</w:t>
      </w:r>
      <w:r>
        <w:rPr>
          <w:rFonts w:hint="eastAsia" w:ascii="Times New Roman" w:hAnsi="Times New Roman" w:eastAsia="宋体" w:cs="Times New Roman"/>
          <w:vertAlign w:val="superscript"/>
        </w:rPr>
        <w:t>3</w:t>
      </w:r>
      <w:r>
        <w:rPr>
          <w:rFonts w:hint="eastAsia" w:ascii="Times New Roman" w:hAnsi="Times New Roman" w:eastAsia="宋体" w:cs="Times New Roman"/>
        </w:rPr>
        <w:t>/s</w:t>
      </w:r>
      <w:r>
        <w:rPr>
          <w:rFonts w:hint="eastAsia" w:ascii="宋体" w:hAnsi="宋体" w:eastAsia="宋体" w:cs="宋体"/>
        </w:rPr>
        <w:t>，坝址以上集雨面积</w:t>
      </w:r>
      <w:r>
        <w:rPr>
          <w:rFonts w:hint="eastAsia" w:ascii="Times New Roman" w:hAnsi="Times New Roman" w:eastAsia="宋体" w:cs="Times New Roman"/>
        </w:rPr>
        <w:t>7.1km</w:t>
      </w:r>
      <w:r>
        <w:rPr>
          <w:rFonts w:hint="eastAsia" w:ascii="Times New Roman" w:hAnsi="Times New Roman" w:eastAsia="宋体" w:cs="Times New Roman"/>
          <w:vertAlign w:val="superscript"/>
        </w:rPr>
        <w:t>2</w:t>
      </w:r>
      <w:r>
        <w:rPr>
          <w:rFonts w:hint="eastAsia" w:ascii="宋体" w:hAnsi="宋体" w:eastAsia="宋体" w:cs="宋体"/>
        </w:rPr>
        <w:t>，多年平均年径流量为</w:t>
      </w:r>
      <w:r>
        <w:rPr>
          <w:rFonts w:hint="eastAsia" w:ascii="Times New Roman" w:hAnsi="Times New Roman" w:eastAsia="宋体" w:cs="Times New Roman"/>
        </w:rPr>
        <w:t>1072.22</w:t>
      </w:r>
      <w:r>
        <w:rPr>
          <w:rFonts w:hint="eastAsia" w:ascii="宋体" w:hAnsi="宋体" w:eastAsia="宋体" w:cs="宋体"/>
        </w:rPr>
        <w:t>万</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宋体" w:hAnsi="宋体" w:eastAsia="宋体" w:cs="宋体"/>
        </w:rPr>
        <w:t>。设计水头</w:t>
      </w:r>
      <w:r>
        <w:rPr>
          <w:rFonts w:hint="eastAsia" w:ascii="Times New Roman" w:hAnsi="Times New Roman" w:eastAsia="宋体" w:cs="Times New Roman"/>
        </w:rPr>
        <w:t>110m</w:t>
      </w:r>
      <w:r>
        <w:rPr>
          <w:rFonts w:hint="eastAsia" w:ascii="宋体" w:hAnsi="宋体" w:eastAsia="宋体" w:cs="宋体"/>
        </w:rPr>
        <w:t>，装机年利用小时数</w:t>
      </w:r>
      <w:r>
        <w:rPr>
          <w:rFonts w:hint="eastAsia" w:ascii="Times New Roman" w:hAnsi="Times New Roman" w:eastAsia="宋体" w:cs="Times New Roman"/>
        </w:rPr>
        <w:t>3240h</w:t>
      </w:r>
      <w:r>
        <w:rPr>
          <w:rFonts w:hint="eastAsia" w:ascii="宋体" w:hAnsi="宋体" w:eastAsia="宋体" w:cs="宋体"/>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rPr>
      </w:pPr>
      <w:r>
        <w:rPr>
          <w:rFonts w:hint="eastAsia" w:ascii="宋体" w:hAnsi="宋体" w:eastAsia="宋体" w:cs="宋体"/>
        </w:rPr>
        <w:t>项目于</w:t>
      </w:r>
      <w:r>
        <w:rPr>
          <w:rFonts w:hint="eastAsia" w:ascii="Times New Roman" w:hAnsi="Times New Roman" w:eastAsia="宋体" w:cs="Times New Roman"/>
        </w:rPr>
        <w:t>2006</w:t>
      </w:r>
      <w:r>
        <w:rPr>
          <w:rFonts w:hint="eastAsia" w:ascii="宋体" w:hAnsi="宋体" w:eastAsia="宋体" w:cs="宋体"/>
        </w:rPr>
        <w:t>年</w:t>
      </w:r>
      <w:r>
        <w:rPr>
          <w:rFonts w:hint="eastAsia" w:ascii="Times New Roman" w:hAnsi="Times New Roman" w:eastAsia="宋体" w:cs="Times New Roman"/>
        </w:rPr>
        <w:t>9</w:t>
      </w:r>
      <w:r>
        <w:rPr>
          <w:rFonts w:hint="eastAsia" w:ascii="宋体" w:hAnsi="宋体" w:eastAsia="宋体" w:cs="宋体"/>
        </w:rPr>
        <w:t>月基本建成并发挥效益。截止目前，未发生过水事纠纷。</w:t>
      </w:r>
    </w:p>
    <w:p>
      <w:pPr>
        <w:pStyle w:val="20"/>
        <w:numPr>
          <w:ilvl w:val="2"/>
          <w:numId w:val="13"/>
        </w:numPr>
        <w:tabs>
          <w:tab w:val="left" w:pos="836"/>
        </w:tabs>
        <w:spacing w:before="0" w:after="0" w:line="240" w:lineRule="auto"/>
        <w:ind w:left="836" w:right="0" w:hanging="699"/>
        <w:jc w:val="left"/>
        <w:rPr>
          <w:rFonts w:hint="eastAsia" w:ascii="宋体" w:hAnsi="宋体" w:eastAsia="宋体" w:cs="宋体"/>
          <w:b/>
          <w:sz w:val="28"/>
        </w:rPr>
      </w:pPr>
      <w:bookmarkStart w:id="186" w:name="9.1.1环境保护执行情况"/>
      <w:bookmarkEnd w:id="186"/>
      <w:bookmarkStart w:id="187" w:name="9.1.1环境保护执行情况"/>
      <w:bookmarkEnd w:id="187"/>
      <w:r>
        <w:rPr>
          <w:rFonts w:hint="eastAsia" w:ascii="宋体" w:hAnsi="宋体" w:eastAsia="宋体" w:cs="宋体"/>
          <w:b/>
          <w:sz w:val="28"/>
        </w:rPr>
        <w:t>环境保护执行情况</w:t>
      </w:r>
    </w:p>
    <w:p>
      <w:pPr>
        <w:pStyle w:val="7"/>
        <w:spacing w:before="1" w:line="364" w:lineRule="auto"/>
        <w:ind w:left="137" w:right="235" w:firstLine="453"/>
        <w:jc w:val="both"/>
        <w:rPr>
          <w:rFonts w:hint="eastAsia" w:ascii="宋体" w:hAnsi="宋体" w:eastAsia="宋体" w:cs="宋体"/>
        </w:rPr>
      </w:pPr>
      <w:r>
        <w:rPr>
          <w:rFonts w:hint="eastAsia" w:ascii="宋体" w:hAnsi="宋体" w:eastAsia="宋体" w:cs="宋体"/>
        </w:rPr>
        <w:t>崇义县人形电站</w:t>
      </w:r>
      <w:r>
        <w:rPr>
          <w:rFonts w:hint="eastAsia" w:ascii="宋体" w:hAnsi="宋体" w:eastAsia="宋体" w:cs="宋体"/>
          <w:spacing w:val="-5"/>
        </w:rPr>
        <w:t>建设项目的建设，按照国家有关环境保护的法律法规进行</w:t>
      </w:r>
      <w:r>
        <w:rPr>
          <w:rFonts w:hint="eastAsia" w:ascii="宋体" w:hAnsi="宋体" w:eastAsia="宋体" w:cs="宋体"/>
          <w:spacing w:val="-9"/>
        </w:rPr>
        <w:t>了环境影响评价，履行了建设项目环保审批手续，较好地执行了建设项目环境保</w:t>
      </w:r>
      <w:r>
        <w:rPr>
          <w:rFonts w:hint="eastAsia" w:ascii="宋体" w:hAnsi="宋体" w:eastAsia="宋体" w:cs="宋体"/>
        </w:rPr>
        <w:t>护“三同时”的有关要求。</w:t>
      </w:r>
    </w:p>
    <w:p>
      <w:pPr>
        <w:pStyle w:val="20"/>
        <w:numPr>
          <w:ilvl w:val="2"/>
          <w:numId w:val="13"/>
        </w:numPr>
        <w:tabs>
          <w:tab w:val="left" w:pos="836"/>
        </w:tabs>
        <w:spacing w:before="120" w:after="0" w:line="240" w:lineRule="auto"/>
        <w:ind w:left="836" w:right="0" w:hanging="699"/>
        <w:jc w:val="left"/>
        <w:rPr>
          <w:rFonts w:hint="eastAsia" w:ascii="宋体" w:hAnsi="宋体" w:eastAsia="宋体" w:cs="宋体"/>
          <w:b/>
          <w:sz w:val="28"/>
        </w:rPr>
      </w:pPr>
      <w:bookmarkStart w:id="188" w:name="9.1.2生态环境影响调查结论"/>
      <w:bookmarkEnd w:id="188"/>
      <w:bookmarkStart w:id="189" w:name="9.1.2生态环境影响调查结论"/>
      <w:bookmarkEnd w:id="189"/>
      <w:r>
        <w:rPr>
          <w:rFonts w:hint="eastAsia" w:ascii="宋体" w:hAnsi="宋体" w:eastAsia="宋体" w:cs="宋体"/>
          <w:b/>
          <w:sz w:val="28"/>
        </w:rPr>
        <w:t>生态环境影响调查结论</w:t>
      </w:r>
    </w:p>
    <w:p>
      <w:pPr>
        <w:spacing w:line="360" w:lineRule="auto"/>
        <w:ind w:firstLine="480" w:firstLineChars="200"/>
        <w:rPr>
          <w:rFonts w:hint="default" w:ascii="Times New Roman" w:hAnsi="Times New Roman" w:eastAsia="宋体" w:cs="Times New Roman"/>
          <w:caps w:val="0"/>
          <w:smallCaps w:val="0"/>
          <w:snapToGrid/>
          <w:spacing w:val="0"/>
          <w:w w:val="100"/>
          <w:kern w:val="2"/>
          <w:position w:val="0"/>
          <w:sz w:val="24"/>
          <w:szCs w:val="22"/>
          <w:lang w:val="en-US" w:eastAsia="zh-CN"/>
        </w:rPr>
      </w:pPr>
      <w:r>
        <w:rPr>
          <w:rFonts w:hint="default" w:ascii="Times New Roman" w:hAnsi="Times New Roman" w:eastAsia="宋体" w:cs="Times New Roman"/>
          <w:caps w:val="0"/>
          <w:smallCaps w:val="0"/>
          <w:snapToGrid/>
          <w:spacing w:val="0"/>
          <w:w w:val="100"/>
          <w:kern w:val="2"/>
          <w:position w:val="0"/>
          <w:sz w:val="24"/>
          <w:szCs w:val="22"/>
          <w:lang w:val="en-US" w:eastAsia="zh-CN"/>
        </w:rPr>
        <w:t>经过调查，本项目的施工组织方案基本合理，对弃土（渣）场等均落实了水土流失和施工迹地生态恢复等措施，对施工期各类废（污）水、废气、噪声、固体废物等也提出了防治或处置措施，符合环境保护相关标准和要求，施工期间没有对周围生态环境和敏感目标产生重大不利影响。</w:t>
      </w:r>
    </w:p>
    <w:p>
      <w:pPr>
        <w:spacing w:line="360" w:lineRule="auto"/>
        <w:ind w:firstLine="480" w:firstLineChars="200"/>
        <w:rPr>
          <w:rFonts w:hint="default" w:ascii="Times New Roman" w:hAnsi="Times New Roman" w:eastAsia="宋体" w:cs="Times New Roman"/>
          <w:caps w:val="0"/>
          <w:smallCaps w:val="0"/>
          <w:snapToGrid/>
          <w:spacing w:val="0"/>
          <w:w w:val="100"/>
          <w:kern w:val="2"/>
          <w:position w:val="0"/>
          <w:sz w:val="24"/>
          <w:szCs w:val="22"/>
          <w:lang w:val="en-US" w:eastAsia="zh-CN"/>
        </w:rPr>
      </w:pPr>
      <w:r>
        <w:rPr>
          <w:rFonts w:hint="default" w:ascii="Times New Roman" w:hAnsi="Times New Roman" w:eastAsia="宋体" w:cs="Times New Roman"/>
          <w:caps w:val="0"/>
          <w:smallCaps w:val="0"/>
          <w:snapToGrid/>
          <w:spacing w:val="0"/>
          <w:w w:val="100"/>
          <w:kern w:val="2"/>
          <w:position w:val="0"/>
          <w:sz w:val="24"/>
          <w:szCs w:val="22"/>
          <w:lang w:val="en-US" w:eastAsia="zh-CN"/>
        </w:rPr>
        <w:t>本项目的工程布局和水库淹没区均没有占用自然保护区、风景名胜区、永久基本农田，亦不涉及饮用水水源保护区。在采取了相应的泄放设施及在线监测设施和管理措施，不会对坝址下游水文情势造成不利生态环境影响。本项目也不会对流域水质造成不利影响，水质可以符合水环境功能区和水功能区要求，下泄水也满足坝址下游河道水生生态、水环境、景观、湿地等生态环境用水及下游生产、生活取水要求，不会造成脱水河段和对农灌、水生生物等造成重大不利影响。</w:t>
      </w:r>
    </w:p>
    <w:p>
      <w:pPr>
        <w:spacing w:line="360" w:lineRule="auto"/>
        <w:ind w:firstLine="480" w:firstLineChars="200"/>
        <w:rPr>
          <w:rFonts w:hint="default" w:ascii="Times New Roman" w:hAnsi="Times New Roman" w:eastAsia="宋体" w:cs="Times New Roman"/>
          <w:caps w:val="0"/>
          <w:smallCaps w:val="0"/>
          <w:snapToGrid/>
          <w:spacing w:val="0"/>
          <w:w w:val="100"/>
          <w:kern w:val="2"/>
          <w:position w:val="0"/>
          <w:sz w:val="24"/>
          <w:szCs w:val="22"/>
          <w:lang w:val="en-US" w:eastAsia="zh-CN"/>
        </w:rPr>
      </w:pPr>
      <w:r>
        <w:rPr>
          <w:rFonts w:hint="default" w:ascii="Times New Roman" w:hAnsi="Times New Roman" w:eastAsia="宋体" w:cs="Times New Roman"/>
          <w:caps w:val="0"/>
          <w:smallCaps w:val="0"/>
          <w:snapToGrid/>
          <w:spacing w:val="0"/>
          <w:w w:val="100"/>
          <w:kern w:val="2"/>
          <w:position w:val="0"/>
          <w:sz w:val="24"/>
          <w:szCs w:val="22"/>
          <w:lang w:val="en-US" w:eastAsia="zh-CN"/>
        </w:rPr>
        <w:t>本项目在采取鱼类增殖措施后，流域的水生生物的生境、物种、资源量的损失以及阻隔影响等能够得到缓解和控制。</w:t>
      </w:r>
    </w:p>
    <w:p>
      <w:pPr>
        <w:spacing w:line="360" w:lineRule="auto"/>
        <w:ind w:firstLine="480" w:firstLineChars="200"/>
        <w:rPr>
          <w:rFonts w:hint="default" w:ascii="Times New Roman" w:hAnsi="Times New Roman" w:eastAsia="宋体" w:cs="Times New Roman"/>
          <w:caps w:val="0"/>
          <w:smallCaps w:val="0"/>
          <w:snapToGrid/>
          <w:spacing w:val="0"/>
          <w:w w:val="100"/>
          <w:kern w:val="2"/>
          <w:position w:val="0"/>
          <w:sz w:val="24"/>
          <w:szCs w:val="22"/>
          <w:lang w:val="en-US" w:eastAsia="zh-CN"/>
        </w:rPr>
      </w:pPr>
      <w:r>
        <w:rPr>
          <w:rFonts w:hint="default" w:ascii="Times New Roman" w:hAnsi="Times New Roman" w:eastAsia="宋体" w:cs="Times New Roman"/>
          <w:caps w:val="0"/>
          <w:smallCaps w:val="0"/>
          <w:snapToGrid/>
          <w:spacing w:val="0"/>
          <w:w w:val="100"/>
          <w:kern w:val="2"/>
          <w:position w:val="0"/>
          <w:sz w:val="24"/>
          <w:szCs w:val="22"/>
          <w:lang w:val="en-US" w:eastAsia="zh-CN"/>
        </w:rPr>
        <w:t>本项目不存在移民安置。本项目不会带来外来物种入侵或扩散，相关河段受到污染或产生富营养化的环境风险较低。本评价报告已经按相关导则及规定要求，为建设单位制定了相应的生态、水环境等监测计划。</w:t>
      </w:r>
    </w:p>
    <w:p>
      <w:pPr>
        <w:pStyle w:val="20"/>
        <w:keepNext w:val="0"/>
        <w:keepLines w:val="0"/>
        <w:pageBreakBefore w:val="0"/>
        <w:widowControl w:val="0"/>
        <w:numPr>
          <w:ilvl w:val="0"/>
          <w:numId w:val="0"/>
        </w:numPr>
        <w:tabs>
          <w:tab w:val="left" w:pos="1193"/>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rPr>
      </w:pPr>
      <w:r>
        <w:rPr>
          <w:rFonts w:hint="default" w:ascii="Times New Roman" w:hAnsi="Times New Roman" w:eastAsia="宋体" w:cs="Times New Roman"/>
          <w:caps w:val="0"/>
          <w:smallCaps w:val="0"/>
          <w:snapToGrid/>
          <w:spacing w:val="0"/>
          <w:w w:val="100"/>
          <w:kern w:val="2"/>
          <w:position w:val="0"/>
          <w:sz w:val="24"/>
          <w:szCs w:val="22"/>
          <w:lang w:val="en-US" w:eastAsia="zh-CN"/>
        </w:rPr>
        <w:t>综合来看，本项目工程的建设对生态与环境的影响有利有弊，而弊端均可以采取防治和改善措施予以减免。建设单位应切实落实本评价报告所提出的各项措施和对策，减免各种不利影响，做到开发与保护并重，从而促进生态环境、经济和社会的协调发展。总体上来讲，本项目建设从环境保护角度来看是可行的</w:t>
      </w:r>
      <w:r>
        <w:rPr>
          <w:rFonts w:hint="eastAsia" w:ascii="宋体" w:hAnsi="宋体" w:eastAsia="宋体" w:cs="宋体"/>
          <w:spacing w:val="-11"/>
          <w:sz w:val="24"/>
          <w:szCs w:val="24"/>
        </w:rPr>
        <w:t>。</w:t>
      </w:r>
    </w:p>
    <w:p>
      <w:pPr>
        <w:pStyle w:val="20"/>
        <w:numPr>
          <w:ilvl w:val="2"/>
          <w:numId w:val="13"/>
        </w:numPr>
        <w:tabs>
          <w:tab w:val="left" w:pos="836"/>
        </w:tabs>
        <w:spacing w:before="116" w:after="0" w:line="240" w:lineRule="auto"/>
        <w:ind w:left="836" w:right="0" w:hanging="699"/>
        <w:jc w:val="left"/>
        <w:rPr>
          <w:rFonts w:hint="eastAsia" w:ascii="宋体" w:hAnsi="宋体" w:eastAsia="宋体" w:cs="宋体"/>
          <w:b/>
          <w:sz w:val="28"/>
        </w:rPr>
      </w:pPr>
      <w:bookmarkStart w:id="190" w:name="9.1.3水文情势影响调查结论"/>
      <w:bookmarkEnd w:id="190"/>
      <w:bookmarkStart w:id="191" w:name="9.1.3水文情势影响调查结论"/>
      <w:bookmarkEnd w:id="191"/>
      <w:r>
        <w:rPr>
          <w:rFonts w:hint="eastAsia" w:ascii="宋体" w:hAnsi="宋体" w:eastAsia="宋体" w:cs="宋体"/>
          <w:b/>
          <w:sz w:val="28"/>
        </w:rPr>
        <w:t>水文情势影响调查结论</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按照本项目现状的正常蓄水位情况，回水线长度为50m，上游径流仅在回水线长度范围向沿河两侧蔓延，而后再上游则基本回归原水文情势情况，对整体河流上游水文不会产生较大范围的影响。</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降低下游河段的环境影响，本项目考虑了生态基流控制，保证下游河段有一定的生态基流量，不会对下游河段的生态环境造成巨大的影响；当水流量小于生态基流用水时，电站原则上不蓄水发电，通过冲砂闸向下游放水，这样的话，下游河段水文情势受影响不大。</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工程的运行期，由于库区河段总体水位受到一定的抬升，其周边受河流水量渗透补给后的地下水水文情势也会发生一定的变化，造成库岸周边地下水位相应抬高，地下水位抬高产生的影响主要表现在对土地的浸没影响方面。</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left"/>
        <w:textAlignment w:val="auto"/>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电站工程建设考虑到枯水期坝下游脱水河段的用水需要，项目拦河坝底部设</w:t>
      </w:r>
      <w:r>
        <w:rPr>
          <w:rFonts w:hint="eastAsia" w:ascii="宋体" w:hAnsi="宋体" w:eastAsia="宋体" w:cs="宋体"/>
          <w:spacing w:val="-13"/>
          <w:sz w:val="24"/>
          <w:szCs w:val="24"/>
          <w:highlight w:val="none"/>
        </w:rPr>
        <w:t>置有</w:t>
      </w:r>
      <w:r>
        <w:rPr>
          <w:rFonts w:hint="eastAsia" w:ascii="宋体" w:hAnsi="宋体" w:eastAsia="宋体" w:cs="宋体"/>
          <w:spacing w:val="-4"/>
          <w:sz w:val="24"/>
          <w:szCs w:val="24"/>
          <w:highlight w:val="none"/>
        </w:rPr>
        <w:t>生态泄流口，不间断的向下游供水，在保证在枯水季节满足最</w:t>
      </w:r>
      <w:r>
        <w:rPr>
          <w:rFonts w:hint="eastAsia" w:ascii="宋体" w:hAnsi="宋体" w:eastAsia="宋体" w:cs="宋体"/>
          <w:sz w:val="24"/>
          <w:szCs w:val="24"/>
          <w:highlight w:val="none"/>
        </w:rPr>
        <w:t>小生态流量的下泄的前提下，亦能满足水电站发电，下泄流量</w:t>
      </w:r>
      <w:r>
        <w:rPr>
          <w:rFonts w:hint="default" w:ascii="Times New Roman" w:hAnsi="Times New Roman" w:eastAsia="宋体" w:cs="Times New Roman"/>
          <w:sz w:val="24"/>
          <w:szCs w:val="24"/>
          <w:highlight w:val="none"/>
        </w:rPr>
        <w:t>≥0.</w:t>
      </w:r>
      <w:r>
        <w:rPr>
          <w:rFonts w:hint="eastAsia" w:ascii="Times New Roman" w:hAnsi="Times New Roman" w:eastAsia="宋体" w:cs="Times New Roman"/>
          <w:sz w:val="24"/>
          <w:szCs w:val="24"/>
          <w:highlight w:val="none"/>
          <w:lang w:val="en-US" w:eastAsia="zh-CN"/>
        </w:rPr>
        <w:t>025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rPr>
        <w:t>/s</w:t>
      </w:r>
      <w:r>
        <w:rPr>
          <w:rFonts w:hint="eastAsia" w:ascii="宋体" w:hAnsi="宋体" w:eastAsia="宋体" w:cs="宋体"/>
          <w:sz w:val="24"/>
          <w:szCs w:val="24"/>
          <w:highlight w:val="none"/>
        </w:rPr>
        <w:t>。</w:t>
      </w:r>
    </w:p>
    <w:p>
      <w:pPr>
        <w:pStyle w:val="20"/>
        <w:numPr>
          <w:ilvl w:val="2"/>
          <w:numId w:val="13"/>
        </w:numPr>
        <w:tabs>
          <w:tab w:val="left" w:pos="836"/>
        </w:tabs>
        <w:spacing w:before="119" w:after="0" w:line="240" w:lineRule="auto"/>
        <w:ind w:left="836" w:right="0" w:hanging="699"/>
        <w:jc w:val="left"/>
        <w:rPr>
          <w:rFonts w:hint="eastAsia" w:ascii="宋体" w:hAnsi="宋体" w:eastAsia="宋体" w:cs="宋体"/>
          <w:b/>
          <w:sz w:val="28"/>
        </w:rPr>
      </w:pPr>
      <w:bookmarkStart w:id="192" w:name="9.1.4环境污染影响调查结论"/>
      <w:bookmarkEnd w:id="192"/>
      <w:bookmarkStart w:id="193" w:name="9.1.4环境污染影响调查结论"/>
      <w:bookmarkEnd w:id="193"/>
      <w:r>
        <w:rPr>
          <w:rFonts w:hint="eastAsia" w:ascii="宋体" w:hAnsi="宋体" w:eastAsia="宋体" w:cs="宋体"/>
          <w:b/>
          <w:sz w:val="28"/>
        </w:rPr>
        <w:t>环境污染影响调查结论</w:t>
      </w:r>
    </w:p>
    <w:p>
      <w:pPr>
        <w:pStyle w:val="20"/>
        <w:numPr>
          <w:ilvl w:val="0"/>
          <w:numId w:val="0"/>
        </w:numPr>
        <w:tabs>
          <w:tab w:val="left" w:pos="1193"/>
        </w:tabs>
        <w:spacing w:before="0" w:after="0" w:line="240" w:lineRule="auto"/>
        <w:ind w:left="590" w:leftChars="0" w:right="0" w:rightChars="0"/>
        <w:jc w:val="left"/>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水环境影响调查结论</w:t>
      </w:r>
    </w:p>
    <w:p>
      <w:pPr>
        <w:pStyle w:val="7"/>
        <w:spacing w:before="160" w:line="362" w:lineRule="auto"/>
        <w:ind w:left="137" w:right="235" w:firstLine="480"/>
        <w:rPr>
          <w:rFonts w:hint="eastAsia" w:ascii="宋体" w:hAnsi="宋体" w:eastAsia="宋体" w:cs="宋体"/>
        </w:rPr>
      </w:pPr>
      <w:r>
        <w:rPr>
          <w:rFonts w:hint="eastAsia" w:ascii="宋体" w:hAnsi="宋体" w:eastAsia="宋体" w:cs="宋体"/>
          <w:spacing w:val="-7"/>
        </w:rPr>
        <w:t>项目废水主要为员工生活污水，少量生活污水经化粪池处理后，清掏用于周</w:t>
      </w:r>
      <w:r>
        <w:rPr>
          <w:rFonts w:hint="eastAsia" w:ascii="宋体" w:hAnsi="宋体" w:eastAsia="宋体" w:cs="宋体"/>
        </w:rPr>
        <w:t>边农田灌溉，不外排。对地表水的环境影响不大。</w:t>
      </w:r>
    </w:p>
    <w:p>
      <w:pPr>
        <w:pStyle w:val="20"/>
        <w:numPr>
          <w:ilvl w:val="0"/>
          <w:numId w:val="0"/>
        </w:numPr>
        <w:tabs>
          <w:tab w:val="left" w:pos="1193"/>
        </w:tabs>
        <w:spacing w:before="5" w:after="0" w:line="240" w:lineRule="auto"/>
        <w:ind w:left="590" w:leftChars="0" w:right="0" w:rightChars="0"/>
        <w:jc w:val="left"/>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大气环境影响调查</w:t>
      </w:r>
    </w:p>
    <w:p>
      <w:pPr>
        <w:pStyle w:val="7"/>
        <w:spacing w:before="158" w:line="364" w:lineRule="auto"/>
        <w:ind w:left="137" w:right="235" w:firstLine="453"/>
        <w:jc w:val="both"/>
        <w:rPr>
          <w:rFonts w:hint="eastAsia" w:ascii="宋体" w:hAnsi="宋体" w:eastAsia="宋体" w:cs="宋体"/>
        </w:rPr>
      </w:pPr>
      <w:r>
        <w:rPr>
          <w:rFonts w:hint="eastAsia" w:ascii="宋体" w:hAnsi="宋体" w:eastAsia="宋体" w:cs="宋体"/>
          <w:spacing w:val="-4"/>
        </w:rPr>
        <w:t>该项目施工期扬尘对施工期临时生活区有一定的影响，但根据对附近居民的</w:t>
      </w:r>
      <w:r>
        <w:rPr>
          <w:rFonts w:hint="eastAsia" w:ascii="宋体" w:hAnsi="宋体" w:eastAsia="宋体" w:cs="宋体"/>
          <w:spacing w:val="-10"/>
        </w:rPr>
        <w:t>采访和现场调查，因施工区远离居民区，工程施工没有造成对居住区大气环境的污染，大气环境影响仅限于施工区域，且随着施工活动的结束已经消失；运行期</w:t>
      </w:r>
      <w:r>
        <w:rPr>
          <w:rFonts w:hint="eastAsia" w:ascii="宋体" w:hAnsi="宋体" w:eastAsia="宋体" w:cs="宋体"/>
        </w:rPr>
        <w:t>没有大气污染源。</w:t>
      </w:r>
    </w:p>
    <w:p>
      <w:pPr>
        <w:pStyle w:val="20"/>
        <w:numPr>
          <w:ilvl w:val="0"/>
          <w:numId w:val="0"/>
        </w:numPr>
        <w:tabs>
          <w:tab w:val="left" w:pos="1193"/>
        </w:tabs>
        <w:spacing w:before="0" w:after="0" w:line="364" w:lineRule="auto"/>
        <w:ind w:right="235" w:rightChars="0" w:firstLine="436" w:firstLineChars="200"/>
        <w:jc w:val="both"/>
        <w:rPr>
          <w:rFonts w:hint="eastAsia" w:ascii="宋体" w:hAnsi="宋体" w:eastAsia="宋体" w:cs="宋体"/>
          <w:sz w:val="24"/>
        </w:rPr>
      </w:pPr>
      <w:r>
        <w:rPr>
          <w:rFonts w:hint="eastAsia" w:ascii="宋体" w:hAnsi="宋体" w:eastAsia="宋体" w:cs="宋体"/>
          <w:spacing w:val="-11"/>
          <w:sz w:val="24"/>
          <w:lang w:eastAsia="zh-CN"/>
        </w:rPr>
        <w:t>（</w:t>
      </w:r>
      <w:r>
        <w:rPr>
          <w:rFonts w:hint="eastAsia" w:ascii="宋体" w:hAnsi="宋体" w:eastAsia="宋体" w:cs="宋体"/>
          <w:spacing w:val="-11"/>
          <w:sz w:val="24"/>
          <w:lang w:val="en-US" w:eastAsia="zh-CN"/>
        </w:rPr>
        <w:t>3</w:t>
      </w:r>
      <w:r>
        <w:rPr>
          <w:rFonts w:hint="eastAsia" w:ascii="宋体" w:hAnsi="宋体" w:eastAsia="宋体" w:cs="宋体"/>
          <w:spacing w:val="-11"/>
          <w:sz w:val="24"/>
          <w:lang w:eastAsia="zh-CN"/>
        </w:rPr>
        <w:t>）</w:t>
      </w:r>
      <w:r>
        <w:rPr>
          <w:rFonts w:hint="eastAsia" w:ascii="宋体" w:hAnsi="宋体" w:eastAsia="宋体" w:cs="宋体"/>
          <w:spacing w:val="-11"/>
          <w:sz w:val="24"/>
        </w:rPr>
        <w:t>从监测结果看，发电厂房和拦河坝点位的昼间、夜间噪声均能满足《</w:t>
      </w:r>
      <w:r>
        <w:rPr>
          <w:rFonts w:hint="eastAsia" w:ascii="宋体" w:hAnsi="宋体" w:eastAsia="宋体" w:cs="宋体"/>
          <w:spacing w:val="-4"/>
          <w:sz w:val="24"/>
        </w:rPr>
        <w:t>工业企业厂界环境噪声排放标准》</w:t>
      </w:r>
      <w:r>
        <w:rPr>
          <w:rFonts w:hint="eastAsia" w:ascii="宋体" w:hAnsi="宋体" w:eastAsia="宋体" w:cs="宋体"/>
          <w:sz w:val="24"/>
        </w:rPr>
        <w:t>（GB12348-2008）</w:t>
      </w:r>
      <w:r>
        <w:rPr>
          <w:rFonts w:hint="eastAsia" w:ascii="宋体" w:hAnsi="宋体" w:eastAsia="宋体" w:cs="宋体"/>
          <w:spacing w:val="-21"/>
          <w:sz w:val="24"/>
        </w:rPr>
        <w:t>中的</w:t>
      </w:r>
      <w:r>
        <w:rPr>
          <w:rFonts w:hint="eastAsia" w:ascii="宋体" w:hAnsi="宋体" w:eastAsia="宋体" w:cs="宋体"/>
          <w:spacing w:val="-21"/>
          <w:sz w:val="24"/>
          <w:lang w:val="en-US" w:eastAsia="zh-CN"/>
        </w:rPr>
        <w:t>2</w:t>
      </w:r>
      <w:r>
        <w:rPr>
          <w:rFonts w:hint="eastAsia" w:ascii="宋体" w:hAnsi="宋体" w:eastAsia="宋体" w:cs="宋体"/>
          <w:sz w:val="24"/>
        </w:rPr>
        <w:t>类标准要求。</w:t>
      </w:r>
    </w:p>
    <w:p>
      <w:pPr>
        <w:pStyle w:val="20"/>
        <w:numPr>
          <w:ilvl w:val="0"/>
          <w:numId w:val="0"/>
        </w:numPr>
        <w:tabs>
          <w:tab w:val="left" w:pos="1193"/>
        </w:tabs>
        <w:spacing w:before="0" w:after="0" w:line="240" w:lineRule="auto"/>
        <w:ind w:left="590" w:leftChars="0" w:right="0" w:rightChars="0"/>
        <w:jc w:val="left"/>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固体废弃物影响调查：</w:t>
      </w:r>
    </w:p>
    <w:p>
      <w:pPr>
        <w:pStyle w:val="7"/>
        <w:spacing w:before="157" w:line="364" w:lineRule="auto"/>
        <w:ind w:left="137" w:right="232" w:firstLine="453"/>
        <w:jc w:val="both"/>
        <w:rPr>
          <w:rFonts w:hint="eastAsia" w:ascii="宋体" w:hAnsi="宋体" w:eastAsia="宋体" w:cs="宋体"/>
        </w:rPr>
      </w:pPr>
      <w:r>
        <w:rPr>
          <w:rFonts w:hint="default" w:ascii="Times New Roman" w:hAnsi="Times New Roman" w:eastAsia="宋体" w:cs="Times New Roman"/>
          <w:caps w:val="0"/>
          <w:smallCaps w:val="0"/>
          <w:snapToGrid/>
          <w:color w:val="auto"/>
          <w:spacing w:val="0"/>
          <w:w w:val="100"/>
          <w:kern w:val="2"/>
          <w:position w:val="0"/>
          <w:sz w:val="24"/>
          <w:szCs w:val="24"/>
          <w:lang w:val="en-US" w:bidi="ar-SA"/>
        </w:rPr>
        <w:t>本项目运行期产生的固体废物主要包括管理运行人员生活垃圾、</w:t>
      </w:r>
      <w:r>
        <w:rPr>
          <w:rFonts w:hint="eastAsia" w:ascii="Times New Roman" w:hAnsi="Times New Roman" w:eastAsia="宋体" w:cs="Times New Roman"/>
          <w:caps w:val="0"/>
          <w:smallCaps w:val="0"/>
          <w:snapToGrid/>
          <w:color w:val="auto"/>
          <w:spacing w:val="0"/>
          <w:w w:val="100"/>
          <w:kern w:val="2"/>
          <w:position w:val="0"/>
          <w:sz w:val="24"/>
          <w:szCs w:val="24"/>
          <w:lang w:val="en-US" w:eastAsia="zh-CN" w:bidi="ar-SA"/>
        </w:rPr>
        <w:t>拦截浮渣</w:t>
      </w:r>
      <w:r>
        <w:rPr>
          <w:rFonts w:hint="default" w:ascii="Times New Roman" w:hAnsi="Times New Roman" w:eastAsia="宋体" w:cs="Times New Roman"/>
          <w:caps w:val="0"/>
          <w:smallCaps w:val="0"/>
          <w:snapToGrid/>
          <w:color w:val="auto"/>
          <w:spacing w:val="0"/>
          <w:w w:val="100"/>
          <w:kern w:val="2"/>
          <w:position w:val="0"/>
          <w:sz w:val="24"/>
          <w:szCs w:val="24"/>
          <w:lang w:val="en-US" w:bidi="ar-SA"/>
        </w:rPr>
        <w:t>、废</w:t>
      </w:r>
      <w:r>
        <w:rPr>
          <w:rFonts w:hint="eastAsia" w:ascii="Times New Roman" w:hAnsi="Times New Roman" w:eastAsia="宋体" w:cs="Times New Roman"/>
          <w:caps w:val="0"/>
          <w:smallCaps w:val="0"/>
          <w:snapToGrid/>
          <w:color w:val="auto"/>
          <w:spacing w:val="0"/>
          <w:w w:val="100"/>
          <w:kern w:val="2"/>
          <w:position w:val="0"/>
          <w:sz w:val="24"/>
          <w:szCs w:val="24"/>
          <w:lang w:val="en-US" w:eastAsia="zh-CN" w:bidi="ar-SA"/>
        </w:rPr>
        <w:t>机油</w:t>
      </w:r>
      <w:r>
        <w:rPr>
          <w:rFonts w:hint="default" w:ascii="Times New Roman" w:hAnsi="Times New Roman" w:eastAsia="宋体" w:cs="Times New Roman"/>
          <w:caps w:val="0"/>
          <w:smallCaps w:val="0"/>
          <w:snapToGrid/>
          <w:color w:val="auto"/>
          <w:spacing w:val="0"/>
          <w:w w:val="100"/>
          <w:kern w:val="2"/>
          <w:position w:val="0"/>
          <w:sz w:val="24"/>
          <w:szCs w:val="24"/>
          <w:lang w:val="en-US" w:bidi="ar-SA"/>
        </w:rPr>
        <w:t>。目前，生活垃圾、</w:t>
      </w:r>
      <w:r>
        <w:rPr>
          <w:rFonts w:hint="eastAsia" w:ascii="Times New Roman" w:hAnsi="Times New Roman" w:eastAsia="宋体" w:cs="Times New Roman"/>
          <w:caps w:val="0"/>
          <w:smallCaps w:val="0"/>
          <w:snapToGrid/>
          <w:color w:val="auto"/>
          <w:spacing w:val="0"/>
          <w:w w:val="100"/>
          <w:kern w:val="2"/>
          <w:position w:val="0"/>
          <w:sz w:val="24"/>
          <w:szCs w:val="24"/>
          <w:lang w:val="en-US" w:eastAsia="zh-CN" w:bidi="ar-SA"/>
        </w:rPr>
        <w:t>拦截浮渣</w:t>
      </w:r>
      <w:r>
        <w:rPr>
          <w:rFonts w:hint="default" w:ascii="Times New Roman" w:hAnsi="Times New Roman" w:eastAsia="宋体" w:cs="Times New Roman"/>
          <w:caps w:val="0"/>
          <w:smallCaps w:val="0"/>
          <w:snapToGrid/>
          <w:color w:val="auto"/>
          <w:spacing w:val="0"/>
          <w:w w:val="100"/>
          <w:kern w:val="2"/>
          <w:position w:val="0"/>
          <w:sz w:val="24"/>
          <w:szCs w:val="24"/>
          <w:lang w:val="en-US" w:bidi="ar-SA"/>
        </w:rPr>
        <w:t>均可以做到及时处理，没有造成对周围环境的污染</w:t>
      </w:r>
      <w:r>
        <w:rPr>
          <w:rFonts w:hint="eastAsia" w:ascii="宋体" w:hAnsi="宋体" w:eastAsia="宋体" w:cs="宋体"/>
        </w:rPr>
        <w:t>。</w:t>
      </w:r>
    </w:p>
    <w:p>
      <w:pPr>
        <w:pStyle w:val="7"/>
        <w:spacing w:line="364" w:lineRule="auto"/>
        <w:ind w:left="137" w:right="146" w:firstLine="453"/>
        <w:rPr>
          <w:rFonts w:hint="eastAsia" w:ascii="宋体" w:hAnsi="宋体" w:eastAsia="宋体" w:cs="宋体"/>
          <w:highlight w:val="none"/>
        </w:rPr>
      </w:pPr>
      <w:r>
        <w:rPr>
          <w:rFonts w:hint="eastAsia" w:ascii="宋体" w:hAnsi="宋体" w:eastAsia="宋体" w:cs="宋体"/>
          <w:highlight w:val="none"/>
        </w:rPr>
        <w:t>工程电站水轮机采用立式布置，且配有一台变压器，目前机组运行良好，机修及设备检修产生的废机油及后期变压器产生的废油</w:t>
      </w:r>
      <w:r>
        <w:rPr>
          <w:rFonts w:hint="eastAsia" w:ascii="宋体" w:hAnsi="宋体" w:eastAsia="宋体" w:cs="宋体"/>
          <w:highlight w:val="none"/>
          <w:lang w:eastAsia="zh-CN"/>
        </w:rPr>
        <w:t>等</w:t>
      </w:r>
      <w:r>
        <w:rPr>
          <w:rFonts w:hint="eastAsia" w:ascii="宋体" w:hAnsi="宋体" w:eastAsia="宋体" w:cs="宋体"/>
          <w:highlight w:val="none"/>
        </w:rPr>
        <w:t>， 一般固废交专业单位进行处理；危废暂存间地面落实防腐防渗措施，并设置相应的围堰，最终交有相应资质的单位进行处理。</w:t>
      </w:r>
    </w:p>
    <w:p>
      <w:pPr>
        <w:pStyle w:val="20"/>
        <w:numPr>
          <w:ilvl w:val="2"/>
          <w:numId w:val="13"/>
        </w:numPr>
        <w:tabs>
          <w:tab w:val="left" w:pos="836"/>
        </w:tabs>
        <w:spacing w:before="116" w:after="0" w:line="240" w:lineRule="auto"/>
        <w:ind w:left="836" w:right="0" w:hanging="699"/>
        <w:jc w:val="left"/>
        <w:rPr>
          <w:rFonts w:hint="eastAsia" w:ascii="宋体" w:hAnsi="宋体" w:eastAsia="宋体" w:cs="宋体"/>
          <w:b/>
          <w:sz w:val="28"/>
        </w:rPr>
      </w:pPr>
      <w:bookmarkStart w:id="194" w:name="9.1.5社会环境影响调查"/>
      <w:bookmarkEnd w:id="194"/>
      <w:bookmarkStart w:id="195" w:name="9.1.5社会环境影响调查"/>
      <w:bookmarkEnd w:id="195"/>
      <w:r>
        <w:rPr>
          <w:rFonts w:hint="eastAsia" w:ascii="宋体" w:hAnsi="宋体" w:eastAsia="宋体" w:cs="宋体"/>
          <w:b/>
          <w:sz w:val="28"/>
        </w:rPr>
        <w:t>社会环境影响调查</w:t>
      </w:r>
    </w:p>
    <w:p>
      <w:pPr>
        <w:pStyle w:val="7"/>
        <w:spacing w:before="10"/>
        <w:rPr>
          <w:rFonts w:hint="eastAsia" w:ascii="宋体" w:hAnsi="宋体" w:eastAsia="宋体" w:cs="宋体"/>
          <w:b/>
          <w:sz w:val="24"/>
          <w:szCs w:val="24"/>
          <w:highlight w:val="yellow"/>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auto"/>
          <w:spacing w:val="0"/>
          <w:w w:val="100"/>
          <w:kern w:val="0"/>
          <w:position w:val="0"/>
          <w:sz w:val="24"/>
          <w:szCs w:val="24"/>
        </w:rPr>
        <w:t>根据规划内容，本次规划实施对社会环境的影响总体表现为良性影响，水资源利用程度明显提高</w:t>
      </w:r>
      <w:r>
        <w:rPr>
          <w:rFonts w:hint="eastAsia" w:ascii="宋体" w:hAnsi="宋体" w:eastAsia="宋体" w:cs="宋体"/>
          <w:color w:val="auto"/>
          <w:spacing w:val="0"/>
          <w:w w:val="100"/>
          <w:kern w:val="0"/>
          <w:position w:val="0"/>
          <w:sz w:val="24"/>
          <w:szCs w:val="24"/>
          <w:lang w:eastAsia="zh-CN"/>
        </w:rPr>
        <w:t>。</w:t>
      </w:r>
      <w:r>
        <w:rPr>
          <w:rFonts w:hint="eastAsia" w:ascii="宋体" w:hAnsi="宋体" w:eastAsia="宋体" w:cs="宋体"/>
          <w:color w:val="auto"/>
          <w:spacing w:val="0"/>
          <w:w w:val="100"/>
          <w:kern w:val="0"/>
          <w:position w:val="0"/>
          <w:sz w:val="24"/>
          <w:szCs w:val="24"/>
        </w:rPr>
        <w:t>本工程淹没区范围内不涉及淹没道路等基础设施。项目所在的区域是一个以农业经济为基础的县，目前工业开发程度较低，生态环境质量较好</w:t>
      </w:r>
      <w:r>
        <w:rPr>
          <w:rFonts w:hint="eastAsia" w:ascii="宋体" w:hAnsi="宋体" w:eastAsia="宋体" w:cs="宋体"/>
          <w:color w:val="auto"/>
          <w:spacing w:val="0"/>
          <w:w w:val="100"/>
          <w:kern w:val="0"/>
          <w:position w:val="0"/>
          <w:sz w:val="24"/>
          <w:szCs w:val="24"/>
          <w:lang w:eastAsia="zh-CN"/>
        </w:rPr>
        <w:t>，</w:t>
      </w:r>
      <w:r>
        <w:rPr>
          <w:rFonts w:hint="eastAsia" w:ascii="宋体" w:hAnsi="宋体" w:eastAsia="宋体" w:cs="宋体"/>
          <w:color w:val="auto"/>
          <w:spacing w:val="0"/>
          <w:w w:val="100"/>
          <w:kern w:val="0"/>
          <w:position w:val="0"/>
          <w:sz w:val="24"/>
          <w:szCs w:val="24"/>
        </w:rPr>
        <w:t>本项目工程的建设对当地的社会经济具有重要作用</w:t>
      </w:r>
      <w:r>
        <w:rPr>
          <w:rFonts w:hint="eastAsia" w:ascii="宋体" w:hAnsi="宋体" w:eastAsia="宋体" w:cs="宋体"/>
          <w:color w:val="auto"/>
          <w:spacing w:val="0"/>
          <w:w w:val="100"/>
          <w:kern w:val="0"/>
          <w:position w:val="0"/>
          <w:sz w:val="24"/>
          <w:szCs w:val="24"/>
          <w:lang w:eastAsia="zh-CN"/>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根据现场调查，本工程所在河段无居民饮用水取水口，也没有工业取水口，工程所在区域均饮用山泉水。河段河流与项目修建之前变化不大，基本不会对厂房下游的居民生活、农田灌溉造成影响</w:t>
      </w:r>
      <w:r>
        <w:rPr>
          <w:rFonts w:hint="eastAsia" w:ascii="宋体" w:hAnsi="宋体" w:eastAsia="宋体" w:cs="宋体"/>
          <w:sz w:val="24"/>
          <w:szCs w:val="24"/>
          <w:lang w:eastAsia="zh-CN"/>
        </w:rPr>
        <w:t>。</w:t>
      </w:r>
    </w:p>
    <w:p>
      <w:pPr>
        <w:pStyle w:val="4"/>
        <w:numPr>
          <w:ilvl w:val="1"/>
          <w:numId w:val="13"/>
        </w:numPr>
        <w:tabs>
          <w:tab w:val="left" w:pos="740"/>
        </w:tabs>
        <w:spacing w:before="0" w:after="0" w:line="240" w:lineRule="auto"/>
        <w:ind w:left="740" w:right="0" w:hanging="603"/>
        <w:jc w:val="left"/>
        <w:rPr>
          <w:rFonts w:hint="eastAsia" w:ascii="宋体" w:hAnsi="宋体" w:eastAsia="宋体" w:cs="宋体"/>
        </w:rPr>
      </w:pPr>
      <w:bookmarkStart w:id="196" w:name="_bookmark34"/>
      <w:bookmarkEnd w:id="196"/>
      <w:bookmarkStart w:id="197" w:name="_bookmark34"/>
      <w:bookmarkEnd w:id="197"/>
      <w:bookmarkStart w:id="198" w:name="9.2后续建议"/>
      <w:bookmarkEnd w:id="198"/>
      <w:r>
        <w:rPr>
          <w:rFonts w:hint="eastAsia" w:ascii="宋体" w:hAnsi="宋体" w:eastAsia="宋体" w:cs="宋体"/>
        </w:rPr>
        <w:t>后续建议</w:t>
      </w:r>
    </w:p>
    <w:p>
      <w:pPr>
        <w:pStyle w:val="20"/>
        <w:keepNext w:val="0"/>
        <w:keepLines w:val="0"/>
        <w:pageBreakBefore w:val="0"/>
        <w:widowControl w:val="0"/>
        <w:numPr>
          <w:ilvl w:val="0"/>
          <w:numId w:val="14"/>
        </w:numPr>
        <w:tabs>
          <w:tab w:val="left" w:pos="1219"/>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2"/>
        </w:rPr>
      </w:pPr>
      <w:r>
        <w:rPr>
          <w:rFonts w:hint="eastAsia" w:ascii="宋体" w:hAnsi="宋体" w:eastAsia="宋体" w:cs="宋体"/>
          <w:sz w:val="24"/>
        </w:rPr>
        <w:t>加强项目的管理、日常维护工作，防止出现机油泄漏事件发生。</w:t>
      </w:r>
    </w:p>
    <w:p>
      <w:pPr>
        <w:pStyle w:val="20"/>
        <w:keepNext w:val="0"/>
        <w:keepLines w:val="0"/>
        <w:pageBreakBefore w:val="0"/>
        <w:widowControl w:val="0"/>
        <w:numPr>
          <w:ilvl w:val="0"/>
          <w:numId w:val="14"/>
        </w:numPr>
        <w:tabs>
          <w:tab w:val="left" w:pos="1219"/>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2"/>
        </w:rPr>
      </w:pPr>
      <w:r>
        <w:rPr>
          <w:rFonts w:hint="eastAsia" w:ascii="宋体" w:hAnsi="宋体" w:eastAsia="宋体" w:cs="宋体"/>
          <w:sz w:val="24"/>
        </w:rPr>
        <w:t>加强电站运行管理，按规定确保下泄的生态流量。</w:t>
      </w:r>
    </w:p>
    <w:p>
      <w:pPr>
        <w:pStyle w:val="20"/>
        <w:keepNext w:val="0"/>
        <w:keepLines w:val="0"/>
        <w:pageBreakBefore w:val="0"/>
        <w:widowControl w:val="0"/>
        <w:numPr>
          <w:ilvl w:val="0"/>
          <w:numId w:val="14"/>
        </w:numPr>
        <w:tabs>
          <w:tab w:val="left" w:pos="1193"/>
        </w:tabs>
        <w:kinsoku/>
        <w:wordWrap/>
        <w:overflowPunct/>
        <w:topLinePunct w:val="0"/>
        <w:autoSpaceDE w:val="0"/>
        <w:autoSpaceDN w:val="0"/>
        <w:bidi w:val="0"/>
        <w:adjustRightInd/>
        <w:snapToGrid/>
        <w:spacing w:before="0" w:after="0" w:line="360" w:lineRule="auto"/>
        <w:ind w:left="0" w:right="0" w:firstLine="460" w:firstLineChars="200"/>
        <w:jc w:val="left"/>
        <w:textAlignment w:val="auto"/>
        <w:rPr>
          <w:rFonts w:hint="eastAsia" w:ascii="宋体" w:hAnsi="宋体" w:eastAsia="宋体" w:cs="宋体"/>
          <w:sz w:val="22"/>
        </w:rPr>
      </w:pPr>
      <w:r>
        <w:rPr>
          <w:rFonts w:hint="eastAsia" w:ascii="宋体" w:hAnsi="宋体" w:eastAsia="宋体" w:cs="宋体"/>
          <w:spacing w:val="-5"/>
          <w:sz w:val="24"/>
        </w:rPr>
        <w:t>进一步规范项目的生态、环保管理工作。建立健全环保管理规章制度，</w:t>
      </w:r>
      <w:r>
        <w:rPr>
          <w:rFonts w:hint="eastAsia" w:ascii="宋体" w:hAnsi="宋体" w:eastAsia="宋体" w:cs="宋体"/>
          <w:sz w:val="24"/>
        </w:rPr>
        <w:t>强化企业生态环保管理和环保设施运行管理；完善相关环保台账；从便于生产、环保管理的实际出发，完善电站区域布局，强化区域环境管理。</w:t>
      </w:r>
    </w:p>
    <w:p>
      <w:pPr>
        <w:pStyle w:val="20"/>
        <w:keepNext w:val="0"/>
        <w:keepLines w:val="0"/>
        <w:pageBreakBefore w:val="0"/>
        <w:widowControl w:val="0"/>
        <w:numPr>
          <w:ilvl w:val="0"/>
          <w:numId w:val="14"/>
        </w:numPr>
        <w:tabs>
          <w:tab w:val="left" w:pos="1196"/>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2"/>
        </w:rPr>
      </w:pPr>
      <w:r>
        <w:rPr>
          <w:rFonts w:hint="eastAsia" w:ascii="宋体" w:hAnsi="宋体" w:eastAsia="宋体" w:cs="宋体"/>
          <w:sz w:val="24"/>
        </w:rPr>
        <w:t>加强水环境管理工作。严格厂区雨污分流、清污分流工作，规范电站</w:t>
      </w:r>
      <w:r>
        <w:rPr>
          <w:rFonts w:hint="eastAsia" w:ascii="宋体" w:hAnsi="宋体" w:eastAsia="宋体" w:cs="宋体"/>
          <w:spacing w:val="-9"/>
          <w:sz w:val="24"/>
        </w:rPr>
        <w:t>污水收集处理措施，完善生活污水消纳管理工作，生活污水经处理后均用于厂区</w:t>
      </w:r>
      <w:r>
        <w:rPr>
          <w:rFonts w:hint="eastAsia" w:ascii="宋体" w:hAnsi="宋体" w:eastAsia="宋体" w:cs="宋体"/>
          <w:sz w:val="24"/>
        </w:rPr>
        <w:t>绿化及周边林地灌溉，不外排。确保项目无发电尾水外的其他任何废水外排。</w:t>
      </w:r>
    </w:p>
    <w:p>
      <w:pPr>
        <w:pStyle w:val="20"/>
        <w:keepNext w:val="0"/>
        <w:keepLines w:val="0"/>
        <w:pageBreakBefore w:val="0"/>
        <w:widowControl w:val="0"/>
        <w:numPr>
          <w:ilvl w:val="0"/>
          <w:numId w:val="14"/>
        </w:numPr>
        <w:tabs>
          <w:tab w:val="left" w:pos="1196"/>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2"/>
        </w:rPr>
      </w:pPr>
      <w:r>
        <w:rPr>
          <w:rFonts w:hint="eastAsia" w:ascii="宋体" w:hAnsi="宋体" w:eastAsia="宋体" w:cs="宋体"/>
          <w:sz w:val="24"/>
        </w:rPr>
        <w:t>加强企业资料管理，完善项目档案资料库的建立。对照相关文件、批文，进一步落实和完善项目生态、环保设施。</w:t>
      </w:r>
    </w:p>
    <w:p>
      <w:pPr>
        <w:pStyle w:val="7"/>
        <w:spacing w:before="2"/>
        <w:rPr>
          <w:rFonts w:hint="eastAsia" w:ascii="宋体" w:hAnsi="宋体" w:eastAsia="宋体" w:cs="宋体"/>
          <w:sz w:val="19"/>
        </w:rPr>
      </w:pPr>
    </w:p>
    <w:p>
      <w:pPr>
        <w:pStyle w:val="4"/>
        <w:numPr>
          <w:ilvl w:val="1"/>
          <w:numId w:val="13"/>
        </w:numPr>
        <w:tabs>
          <w:tab w:val="left" w:pos="740"/>
        </w:tabs>
        <w:spacing w:before="1" w:after="0" w:line="240" w:lineRule="auto"/>
        <w:ind w:left="740" w:right="0" w:hanging="603"/>
        <w:jc w:val="left"/>
        <w:rPr>
          <w:rFonts w:hint="eastAsia" w:ascii="宋体" w:hAnsi="宋体" w:eastAsia="宋体" w:cs="宋体"/>
        </w:rPr>
      </w:pPr>
      <w:bookmarkStart w:id="199" w:name="_bookmark35"/>
      <w:bookmarkEnd w:id="199"/>
      <w:bookmarkStart w:id="200" w:name="9.3验收结论"/>
      <w:bookmarkEnd w:id="200"/>
      <w:bookmarkStart w:id="201" w:name="_bookmark35"/>
      <w:bookmarkEnd w:id="201"/>
      <w:r>
        <w:rPr>
          <w:rFonts w:hint="eastAsia" w:ascii="宋体" w:hAnsi="宋体" w:eastAsia="宋体" w:cs="宋体"/>
        </w:rPr>
        <w:t>验收结论</w:t>
      </w:r>
    </w:p>
    <w:p>
      <w:pPr>
        <w:pStyle w:val="7"/>
        <w:spacing w:before="243" w:line="364" w:lineRule="auto"/>
        <w:ind w:left="137" w:right="115" w:firstLine="453"/>
        <w:rPr>
          <w:rFonts w:hint="eastAsia" w:ascii="宋体" w:hAnsi="宋体" w:eastAsia="宋体" w:cs="宋体"/>
        </w:rPr>
      </w:pPr>
      <w:r>
        <w:rPr>
          <w:rFonts w:hint="eastAsia" w:ascii="宋体" w:hAnsi="宋体" w:eastAsia="宋体" w:cs="宋体"/>
        </w:rPr>
        <w:t>崇义县人形电站</w:t>
      </w:r>
      <w:r>
        <w:rPr>
          <w:rFonts w:hint="eastAsia" w:ascii="宋体" w:hAnsi="宋体" w:eastAsia="宋体" w:cs="宋体"/>
          <w:spacing w:val="-3"/>
        </w:rPr>
        <w:t>工程在实施及试运行过程中，按照建设项目环境保护“三同时”的有关要求，基本落实了环评报告书和环评批复中要求的生态保护措施、</w:t>
      </w:r>
      <w:r>
        <w:rPr>
          <w:rFonts w:hint="eastAsia" w:ascii="宋体" w:hAnsi="宋体" w:eastAsia="宋体" w:cs="宋体"/>
          <w:spacing w:val="-16"/>
        </w:rPr>
        <w:t xml:space="preserve">环保设施和其他有关措施；该项目的建成运营在生态环境保护、水环境保护方面， </w:t>
      </w:r>
      <w:r>
        <w:rPr>
          <w:rFonts w:hint="eastAsia" w:ascii="宋体" w:hAnsi="宋体" w:eastAsia="宋体" w:cs="宋体"/>
          <w:spacing w:val="-6"/>
        </w:rPr>
        <w:t>基本符合国家的有关要求；符合建设项目竣工环境保护验收条件，可通过竣工环境保护设施验收。</w:t>
      </w:r>
    </w:p>
    <w:p>
      <w:pPr>
        <w:spacing w:after="0" w:line="364" w:lineRule="auto"/>
        <w:sectPr>
          <w:footerReference r:id="rId10" w:type="default"/>
          <w:pgSz w:w="11910" w:h="16840"/>
          <w:pgMar w:top="1380" w:right="1560" w:bottom="1320" w:left="1660" w:header="0" w:footer="1132" w:gutter="0"/>
          <w:pgBorders>
            <w:top w:val="none" w:sz="0" w:space="0"/>
            <w:left w:val="none" w:sz="0" w:space="0"/>
            <w:bottom w:val="none" w:sz="0" w:space="0"/>
            <w:right w:val="none" w:sz="0" w:space="0"/>
          </w:pgBorders>
          <w:pgNumType w:fmt="decimal"/>
        </w:sectPr>
      </w:pPr>
    </w:p>
    <w:p>
      <w:pPr>
        <w:spacing w:before="39"/>
        <w:ind w:left="701" w:right="0" w:firstLine="0"/>
        <w:jc w:val="center"/>
        <w:rPr>
          <w:rFonts w:hint="eastAsia" w:ascii="宋体" w:hAnsi="宋体" w:eastAsia="宋体" w:cs="宋体"/>
          <w:b/>
          <w:sz w:val="32"/>
        </w:rPr>
      </w:pPr>
      <w:bookmarkStart w:id="202" w:name="建设项目竣工环境保护“三同时”验收登记表"/>
      <w:bookmarkEnd w:id="202"/>
      <w:bookmarkStart w:id="203" w:name="_bookmark36"/>
      <w:bookmarkEnd w:id="203"/>
      <w:r>
        <w:rPr>
          <w:rFonts w:hint="eastAsia" w:ascii="宋体" w:hAnsi="宋体" w:eastAsia="宋体" w:cs="宋体"/>
          <w:b/>
          <w:sz w:val="32"/>
        </w:rPr>
        <w:t>建设项目竣工环境保护“三同时”验收登记表</w:t>
      </w:r>
    </w:p>
    <w:p>
      <w:pPr>
        <w:tabs>
          <w:tab w:val="left" w:pos="6624"/>
          <w:tab w:val="left" w:pos="12821"/>
        </w:tabs>
        <w:spacing w:before="0"/>
        <w:ind w:left="687" w:right="0" w:firstLine="0"/>
        <w:jc w:val="center"/>
        <w:rPr>
          <w:rFonts w:hint="eastAsia" w:ascii="宋体" w:eastAsia="宋体"/>
          <w:sz w:val="21"/>
        </w:rPr>
      </w:pPr>
      <w:r>
        <w:rPr>
          <w:rFonts w:hint="eastAsia" w:ascii="宋体" w:eastAsia="宋体"/>
          <w:sz w:val="21"/>
        </w:rPr>
        <w:t>填表单位（盖章）：</w:t>
      </w:r>
      <w:r>
        <w:rPr>
          <w:rFonts w:hint="eastAsia" w:ascii="宋体" w:eastAsia="宋体"/>
          <w:sz w:val="21"/>
        </w:rPr>
        <w:tab/>
      </w:r>
      <w:r>
        <w:rPr>
          <w:rFonts w:hint="eastAsia" w:ascii="宋体" w:eastAsia="宋体"/>
          <w:sz w:val="21"/>
        </w:rPr>
        <w:t>填表人（签字）：</w:t>
      </w:r>
      <w:r>
        <w:rPr>
          <w:rFonts w:hint="eastAsia" w:ascii="宋体" w:eastAsia="宋体"/>
          <w:sz w:val="21"/>
        </w:rPr>
        <w:tab/>
      </w:r>
      <w:r>
        <w:rPr>
          <w:rFonts w:hint="eastAsia" w:ascii="宋体" w:eastAsia="宋体"/>
          <w:sz w:val="21"/>
        </w:rPr>
        <w:t>项目经办人（签字）：</w:t>
      </w:r>
    </w:p>
    <w:p>
      <w:pPr>
        <w:pStyle w:val="7"/>
        <w:spacing w:before="8"/>
        <w:rPr>
          <w:rFonts w:ascii="宋体"/>
          <w:sz w:val="9"/>
        </w:rPr>
      </w:pPr>
    </w:p>
    <w:p>
      <w:pPr>
        <w:spacing w:after="0"/>
        <w:rPr>
          <w:rFonts w:ascii="宋体"/>
          <w:sz w:val="9"/>
        </w:rPr>
        <w:sectPr>
          <w:footerReference r:id="rId11" w:type="default"/>
          <w:pgSz w:w="16840" w:h="11910" w:orient="landscape"/>
          <w:pgMar w:top="520" w:right="500" w:bottom="280" w:left="440" w:header="0" w:footer="0" w:gutter="0"/>
          <w:pgBorders>
            <w:top w:val="none" w:sz="0" w:space="0"/>
            <w:left w:val="none" w:sz="0" w:space="0"/>
            <w:bottom w:val="none" w:sz="0" w:space="0"/>
            <w:right w:val="none" w:sz="0" w:space="0"/>
          </w:pgBorders>
          <w:pgNumType w:fmt="decimal"/>
        </w:sectPr>
      </w:pPr>
    </w:p>
    <w:tbl>
      <w:tblPr>
        <w:tblStyle w:val="17"/>
        <w:tblW w:w="16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69"/>
        <w:gridCol w:w="1365"/>
        <w:gridCol w:w="154"/>
        <w:gridCol w:w="712"/>
        <w:gridCol w:w="184"/>
        <w:gridCol w:w="1116"/>
        <w:gridCol w:w="735"/>
        <w:gridCol w:w="165"/>
        <w:gridCol w:w="250"/>
        <w:gridCol w:w="767"/>
        <w:gridCol w:w="248"/>
        <w:gridCol w:w="1069"/>
        <w:gridCol w:w="650"/>
        <w:gridCol w:w="483"/>
        <w:gridCol w:w="418"/>
        <w:gridCol w:w="349"/>
        <w:gridCol w:w="466"/>
        <w:gridCol w:w="767"/>
        <w:gridCol w:w="781"/>
        <w:gridCol w:w="420"/>
        <w:gridCol w:w="399"/>
        <w:gridCol w:w="217"/>
        <w:gridCol w:w="583"/>
        <w:gridCol w:w="150"/>
        <w:gridCol w:w="317"/>
        <w:gridCol w:w="950"/>
        <w:gridCol w:w="177"/>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6" w:type="dxa"/>
            <w:vMerge w:val="restart"/>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建设项目</w:t>
            </w: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项目名称</w:t>
            </w:r>
          </w:p>
        </w:tc>
        <w:tc>
          <w:tcPr>
            <w:tcW w:w="5246" w:type="dxa"/>
            <w:gridSpan w:val="9"/>
            <w:vAlign w:val="center"/>
          </w:tcPr>
          <w:p>
            <w:pPr>
              <w:jc w:val="center"/>
              <w:rPr>
                <w:rFonts w:hint="eastAsia" w:ascii="宋体" w:hAnsi="宋体" w:eastAsia="宋体" w:cs="宋体"/>
                <w:sz w:val="18"/>
                <w:szCs w:val="18"/>
                <w:vertAlign w:val="baseline"/>
              </w:rPr>
            </w:pPr>
            <w:r>
              <w:rPr>
                <w:rFonts w:hint="eastAsia" w:ascii="宋体" w:hAnsi="宋体" w:eastAsia="宋体" w:cs="宋体"/>
                <w:color w:val="auto"/>
                <w:spacing w:val="0"/>
                <w:w w:val="100"/>
                <w:kern w:val="0"/>
                <w:position w:val="0"/>
                <w:sz w:val="18"/>
                <w:szCs w:val="18"/>
                <w:lang w:val="en-US" w:eastAsia="zh-CN"/>
              </w:rPr>
              <w:t>崇义县上堡人形水电站项目</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项目代码</w:t>
            </w:r>
          </w:p>
        </w:tc>
        <w:tc>
          <w:tcPr>
            <w:tcW w:w="1582" w:type="dxa"/>
            <w:gridSpan w:val="3"/>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D4412水力发电</w:t>
            </w:r>
          </w:p>
        </w:tc>
        <w:tc>
          <w:tcPr>
            <w:tcW w:w="1201"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建设地点</w:t>
            </w:r>
          </w:p>
        </w:tc>
        <w:tc>
          <w:tcPr>
            <w:tcW w:w="3944" w:type="dxa"/>
            <w:gridSpan w:val="8"/>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lang w:eastAsia="zh-CN"/>
              </w:rPr>
              <w:t>江西省赣州市崇义县上堡乡正井村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行业类别</w:t>
            </w:r>
          </w:p>
        </w:tc>
        <w:tc>
          <w:tcPr>
            <w:tcW w:w="5246" w:type="dxa"/>
            <w:gridSpan w:val="9"/>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D4412 水力发电</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建设性质</w:t>
            </w:r>
          </w:p>
        </w:tc>
        <w:tc>
          <w:tcPr>
            <w:tcW w:w="6727" w:type="dxa"/>
            <w:gridSpan w:val="13"/>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rPr>
              <w:sym w:font="Wingdings" w:char="00FE"/>
            </w:r>
            <w:r>
              <w:rPr>
                <w:rFonts w:hint="eastAsia" w:ascii="宋体" w:hAnsi="宋体" w:eastAsia="宋体" w:cs="宋体"/>
                <w:sz w:val="18"/>
                <w:szCs w:val="18"/>
                <w:vertAlign w:val="baseline"/>
                <w:lang w:val="en-US" w:eastAsia="zh-CN"/>
              </w:rPr>
              <w:t xml:space="preserve">  </w:t>
            </w:r>
            <w:r>
              <w:rPr>
                <w:rFonts w:hint="eastAsia" w:ascii="宋体" w:hAnsi="宋体" w:eastAsia="宋体" w:cs="宋体"/>
                <w:sz w:val="18"/>
                <w:szCs w:val="18"/>
                <w:vertAlign w:val="baseline"/>
                <w:lang w:eastAsia="zh-CN"/>
              </w:rPr>
              <w:t>新建</w:t>
            </w:r>
            <w:r>
              <w:rPr>
                <w:rFonts w:hint="eastAsia" w:ascii="宋体" w:hAnsi="宋体" w:eastAsia="宋体" w:cs="宋体"/>
                <w:sz w:val="18"/>
                <w:szCs w:val="18"/>
                <w:vertAlign w:val="baseline"/>
                <w:lang w:val="en-US" w:eastAsia="zh-CN"/>
              </w:rPr>
              <w:t xml:space="preserve">   </w:t>
            </w:r>
            <w:r>
              <w:rPr>
                <w:rFonts w:hint="eastAsia" w:ascii="宋体" w:hAnsi="宋体" w:eastAsia="宋体" w:cs="宋体"/>
                <w:sz w:val="18"/>
                <w:szCs w:val="18"/>
                <w:vertAlign w:val="baseline"/>
              </w:rPr>
              <w:sym w:font="Wingdings" w:char="00A8"/>
            </w:r>
            <w:r>
              <w:rPr>
                <w:rFonts w:hint="eastAsia" w:ascii="宋体" w:hAnsi="宋体" w:eastAsia="宋体" w:cs="宋体"/>
                <w:sz w:val="18"/>
                <w:szCs w:val="18"/>
                <w:vertAlign w:val="baseline"/>
                <w:lang w:val="en-US" w:eastAsia="zh-CN"/>
              </w:rPr>
              <w:t xml:space="preserve">  改扩建    </w:t>
            </w:r>
            <w:r>
              <w:rPr>
                <w:rFonts w:hint="eastAsia" w:ascii="宋体" w:hAnsi="宋体" w:eastAsia="宋体" w:cs="宋体"/>
                <w:sz w:val="18"/>
                <w:szCs w:val="18"/>
                <w:vertAlign w:val="baseline"/>
              </w:rPr>
              <w:sym w:font="Wingdings" w:char="00A8"/>
            </w:r>
            <w:r>
              <w:rPr>
                <w:rFonts w:hint="eastAsia" w:ascii="宋体" w:hAnsi="宋体" w:eastAsia="宋体" w:cs="宋体"/>
                <w:sz w:val="18"/>
                <w:szCs w:val="18"/>
                <w:vertAlign w:val="baseline"/>
                <w:lang w:val="en-US" w:eastAsia="zh-CN"/>
              </w:rPr>
              <w:t xml:space="preserve">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设计生产能力</w:t>
            </w:r>
          </w:p>
        </w:tc>
        <w:tc>
          <w:tcPr>
            <w:tcW w:w="5246" w:type="dxa"/>
            <w:gridSpan w:val="9"/>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装机容量500kw，年设计发电170万kw/h</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实际生产能力</w:t>
            </w:r>
          </w:p>
        </w:tc>
        <w:tc>
          <w:tcPr>
            <w:tcW w:w="2783" w:type="dxa"/>
            <w:gridSpan w:val="5"/>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装机容量500kw，年设计发电170万kw/h</w:t>
            </w:r>
          </w:p>
        </w:tc>
        <w:tc>
          <w:tcPr>
            <w:tcW w:w="134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环评单位</w:t>
            </w:r>
          </w:p>
        </w:tc>
        <w:tc>
          <w:tcPr>
            <w:tcW w:w="2595"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赣州市辉昂环保科技有限公司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环评文件审批机关</w:t>
            </w:r>
          </w:p>
        </w:tc>
        <w:tc>
          <w:tcPr>
            <w:tcW w:w="5246" w:type="dxa"/>
            <w:gridSpan w:val="9"/>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赣州市崇义生态环境局</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审批文件</w:t>
            </w:r>
          </w:p>
        </w:tc>
        <w:tc>
          <w:tcPr>
            <w:tcW w:w="2363" w:type="dxa"/>
            <w:gridSpan w:val="4"/>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婺环评字[2020]18 号</w:t>
            </w:r>
          </w:p>
        </w:tc>
        <w:tc>
          <w:tcPr>
            <w:tcW w:w="161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环评文件类型</w:t>
            </w:r>
          </w:p>
        </w:tc>
        <w:tc>
          <w:tcPr>
            <w:tcW w:w="2745" w:type="dxa"/>
            <w:gridSpan w:val="5"/>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开工日期</w:t>
            </w:r>
          </w:p>
        </w:tc>
        <w:tc>
          <w:tcPr>
            <w:tcW w:w="5246" w:type="dxa"/>
            <w:gridSpan w:val="9"/>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1972年7月</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竣工日期</w:t>
            </w:r>
          </w:p>
        </w:tc>
        <w:tc>
          <w:tcPr>
            <w:tcW w:w="2363" w:type="dxa"/>
            <w:gridSpan w:val="4"/>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2018年3月</w:t>
            </w:r>
          </w:p>
        </w:tc>
        <w:tc>
          <w:tcPr>
            <w:tcW w:w="161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排污许可证申领时间</w:t>
            </w:r>
          </w:p>
        </w:tc>
        <w:tc>
          <w:tcPr>
            <w:tcW w:w="2745" w:type="dxa"/>
            <w:gridSpan w:val="5"/>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环保设施设计单位</w:t>
            </w:r>
          </w:p>
        </w:tc>
        <w:tc>
          <w:tcPr>
            <w:tcW w:w="5246" w:type="dxa"/>
            <w:gridSpan w:val="9"/>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崇义县上堡人形水电站</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环保设施施工单位</w:t>
            </w:r>
          </w:p>
        </w:tc>
        <w:tc>
          <w:tcPr>
            <w:tcW w:w="2363"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崇义县上堡人形水电站</w:t>
            </w:r>
          </w:p>
        </w:tc>
        <w:tc>
          <w:tcPr>
            <w:tcW w:w="161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本工程排污许可证编号</w:t>
            </w:r>
          </w:p>
        </w:tc>
        <w:tc>
          <w:tcPr>
            <w:tcW w:w="2745" w:type="dxa"/>
            <w:gridSpan w:val="5"/>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验收单位</w:t>
            </w:r>
          </w:p>
        </w:tc>
        <w:tc>
          <w:tcPr>
            <w:tcW w:w="5246" w:type="dxa"/>
            <w:gridSpan w:val="9"/>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江西中明环境检测有限公司</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环保设施监测单位</w:t>
            </w:r>
          </w:p>
        </w:tc>
        <w:tc>
          <w:tcPr>
            <w:tcW w:w="2363" w:type="dxa"/>
            <w:gridSpan w:val="4"/>
            <w:vAlign w:val="center"/>
          </w:tcPr>
          <w:p>
            <w:pPr>
              <w:jc w:val="center"/>
              <w:rPr>
                <w:rFonts w:hint="eastAsia" w:ascii="宋体" w:hAnsi="宋体" w:eastAsia="宋体" w:cs="宋体"/>
                <w:sz w:val="18"/>
                <w:szCs w:val="18"/>
                <w:vertAlign w:val="baseline"/>
              </w:rPr>
            </w:pPr>
          </w:p>
        </w:tc>
        <w:tc>
          <w:tcPr>
            <w:tcW w:w="161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验收监测时工况</w:t>
            </w:r>
          </w:p>
        </w:tc>
        <w:tc>
          <w:tcPr>
            <w:tcW w:w="2745" w:type="dxa"/>
            <w:gridSpan w:val="5"/>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投资总概算（万元）</w:t>
            </w:r>
          </w:p>
        </w:tc>
        <w:tc>
          <w:tcPr>
            <w:tcW w:w="5246" w:type="dxa"/>
            <w:gridSpan w:val="9"/>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252</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环保投资总概算（万元）</w:t>
            </w:r>
          </w:p>
        </w:tc>
        <w:tc>
          <w:tcPr>
            <w:tcW w:w="2363" w:type="dxa"/>
            <w:gridSpan w:val="4"/>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15.7</w:t>
            </w:r>
          </w:p>
        </w:tc>
        <w:tc>
          <w:tcPr>
            <w:tcW w:w="161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所占比例（</w:t>
            </w:r>
            <w:r>
              <w:rPr>
                <w:rFonts w:hint="eastAsia" w:ascii="宋体" w:hAnsi="宋体" w:eastAsia="宋体" w:cs="宋体"/>
                <w:sz w:val="18"/>
                <w:szCs w:val="18"/>
                <w:vertAlign w:val="baseline"/>
                <w:lang w:val="en-US" w:eastAsia="zh-CN"/>
              </w:rPr>
              <w:t>%</w:t>
            </w:r>
            <w:r>
              <w:rPr>
                <w:rFonts w:hint="eastAsia" w:ascii="宋体" w:hAnsi="宋体" w:eastAsia="宋体" w:cs="宋体"/>
                <w:sz w:val="18"/>
                <w:szCs w:val="18"/>
                <w:vertAlign w:val="baseline"/>
                <w:lang w:eastAsia="zh-CN"/>
              </w:rPr>
              <w:t>）</w:t>
            </w:r>
          </w:p>
        </w:tc>
        <w:tc>
          <w:tcPr>
            <w:tcW w:w="2745" w:type="dxa"/>
            <w:gridSpan w:val="5"/>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088"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实际总投资（万元）</w:t>
            </w:r>
          </w:p>
        </w:tc>
        <w:tc>
          <w:tcPr>
            <w:tcW w:w="5246" w:type="dxa"/>
            <w:gridSpan w:val="9"/>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252</w:t>
            </w:r>
          </w:p>
        </w:tc>
        <w:tc>
          <w:tcPr>
            <w:tcW w:w="1551"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实际环保投资（万元）</w:t>
            </w:r>
          </w:p>
        </w:tc>
        <w:tc>
          <w:tcPr>
            <w:tcW w:w="2363" w:type="dxa"/>
            <w:gridSpan w:val="4"/>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15.7</w:t>
            </w:r>
          </w:p>
        </w:tc>
        <w:tc>
          <w:tcPr>
            <w:tcW w:w="1619" w:type="dxa"/>
            <w:gridSpan w:val="4"/>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lang w:eastAsia="zh-CN"/>
              </w:rPr>
              <w:t>所占比例（</w:t>
            </w:r>
            <w:r>
              <w:rPr>
                <w:rFonts w:hint="eastAsia" w:ascii="宋体" w:hAnsi="宋体" w:eastAsia="宋体" w:cs="宋体"/>
                <w:sz w:val="18"/>
                <w:szCs w:val="18"/>
                <w:vertAlign w:val="baseline"/>
                <w:lang w:val="en-US" w:eastAsia="zh-CN"/>
              </w:rPr>
              <w:t>%</w:t>
            </w:r>
            <w:r>
              <w:rPr>
                <w:rFonts w:hint="eastAsia" w:ascii="宋体" w:hAnsi="宋体" w:eastAsia="宋体" w:cs="宋体"/>
                <w:sz w:val="18"/>
                <w:szCs w:val="18"/>
                <w:vertAlign w:val="baseline"/>
                <w:lang w:eastAsia="zh-CN"/>
              </w:rPr>
              <w:t>）</w:t>
            </w:r>
          </w:p>
        </w:tc>
        <w:tc>
          <w:tcPr>
            <w:tcW w:w="2745" w:type="dxa"/>
            <w:gridSpan w:val="5"/>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lang w:val="en-US" w:eastAsia="zh-CN"/>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1934"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废水治理（万元）</w:t>
            </w:r>
          </w:p>
        </w:tc>
        <w:tc>
          <w:tcPr>
            <w:tcW w:w="866" w:type="dxa"/>
            <w:gridSpan w:val="2"/>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2200"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废气治理（万元）</w:t>
            </w:r>
          </w:p>
        </w:tc>
        <w:tc>
          <w:tcPr>
            <w:tcW w:w="1017" w:type="dxa"/>
            <w:gridSpan w:val="2"/>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lang w:val="en-US" w:eastAsia="zh-CN"/>
              </w:rPr>
              <w:t>—</w:t>
            </w:r>
          </w:p>
        </w:tc>
        <w:tc>
          <w:tcPr>
            <w:tcW w:w="1967"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噪声治理（万元）</w:t>
            </w:r>
          </w:p>
        </w:tc>
        <w:tc>
          <w:tcPr>
            <w:tcW w:w="901" w:type="dxa"/>
            <w:gridSpan w:val="2"/>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lang w:val="en-US" w:eastAsia="zh-CN"/>
              </w:rPr>
              <w:t>2</w:t>
            </w:r>
          </w:p>
        </w:tc>
        <w:tc>
          <w:tcPr>
            <w:tcW w:w="2363"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固废治理（万元）</w:t>
            </w:r>
          </w:p>
        </w:tc>
        <w:tc>
          <w:tcPr>
            <w:tcW w:w="819" w:type="dxa"/>
            <w:gridSpan w:val="2"/>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0.5</w:t>
            </w:r>
          </w:p>
        </w:tc>
        <w:tc>
          <w:tcPr>
            <w:tcW w:w="2217" w:type="dxa"/>
            <w:gridSpan w:val="5"/>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绿化及生态（万元）</w:t>
            </w:r>
          </w:p>
        </w:tc>
        <w:tc>
          <w:tcPr>
            <w:tcW w:w="1328" w:type="dxa"/>
            <w:gridSpan w:val="2"/>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6" w:type="dxa"/>
            <w:vMerge w:val="continue"/>
            <w:vAlign w:val="center"/>
          </w:tcPr>
          <w:p>
            <w:pPr>
              <w:jc w:val="center"/>
              <w:rPr>
                <w:rFonts w:hint="eastAsia" w:ascii="宋体" w:hAnsi="宋体" w:eastAsia="宋体" w:cs="宋体"/>
                <w:sz w:val="18"/>
                <w:szCs w:val="18"/>
                <w:vertAlign w:val="baseline"/>
              </w:rPr>
            </w:pPr>
          </w:p>
        </w:tc>
        <w:tc>
          <w:tcPr>
            <w:tcW w:w="2800"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新增废水处理设施能力</w:t>
            </w:r>
          </w:p>
        </w:tc>
        <w:tc>
          <w:tcPr>
            <w:tcW w:w="3465" w:type="dxa"/>
            <w:gridSpan w:val="7"/>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w:t>
            </w:r>
          </w:p>
        </w:tc>
        <w:tc>
          <w:tcPr>
            <w:tcW w:w="2620"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新增废气处理设施能力</w:t>
            </w:r>
          </w:p>
        </w:tc>
        <w:tc>
          <w:tcPr>
            <w:tcW w:w="2363" w:type="dxa"/>
            <w:gridSpan w:val="4"/>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w:t>
            </w:r>
          </w:p>
        </w:tc>
        <w:tc>
          <w:tcPr>
            <w:tcW w:w="161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年平均工作时</w:t>
            </w:r>
          </w:p>
        </w:tc>
        <w:tc>
          <w:tcPr>
            <w:tcW w:w="2745" w:type="dxa"/>
            <w:gridSpan w:val="5"/>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运营单位</w:t>
            </w:r>
          </w:p>
        </w:tc>
        <w:tc>
          <w:tcPr>
            <w:tcW w:w="2747"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崇义县上堡人形水电站</w:t>
            </w:r>
          </w:p>
        </w:tc>
        <w:tc>
          <w:tcPr>
            <w:tcW w:w="4399" w:type="dxa"/>
            <w:gridSpan w:val="9"/>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运营单位社会统一信用代码（或组织机构代码）</w:t>
            </w:r>
          </w:p>
        </w:tc>
        <w:tc>
          <w:tcPr>
            <w:tcW w:w="2434" w:type="dxa"/>
            <w:gridSpan w:val="4"/>
            <w:vAlign w:val="center"/>
          </w:tcPr>
          <w:p>
            <w:pPr>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w:t>
            </w:r>
          </w:p>
        </w:tc>
        <w:tc>
          <w:tcPr>
            <w:tcW w:w="1349" w:type="dxa"/>
            <w:gridSpan w:val="4"/>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验收时间</w:t>
            </w:r>
          </w:p>
        </w:tc>
        <w:tc>
          <w:tcPr>
            <w:tcW w:w="2595" w:type="dxa"/>
            <w:gridSpan w:val="4"/>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污染物排放达标与总量控制（工业建设项目祥表）</w:t>
            </w: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污染物</w:t>
            </w:r>
          </w:p>
        </w:tc>
        <w:tc>
          <w:tcPr>
            <w:tcW w:w="896"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原有排放量（</w:t>
            </w:r>
            <w:r>
              <w:rPr>
                <w:rFonts w:hint="eastAsia" w:ascii="宋体" w:hAnsi="宋体" w:eastAsia="宋体" w:cs="宋体"/>
                <w:sz w:val="18"/>
                <w:szCs w:val="18"/>
                <w:vertAlign w:val="baseline"/>
                <w:lang w:val="en-US" w:eastAsia="zh-CN"/>
              </w:rPr>
              <w:t>1</w:t>
            </w:r>
            <w:r>
              <w:rPr>
                <w:rFonts w:hint="eastAsia" w:ascii="宋体" w:hAnsi="宋体" w:eastAsia="宋体" w:cs="宋体"/>
                <w:sz w:val="18"/>
                <w:szCs w:val="18"/>
                <w:vertAlign w:val="baseline"/>
                <w:lang w:eastAsia="zh-CN"/>
              </w:rPr>
              <w:t>）</w:t>
            </w:r>
          </w:p>
        </w:tc>
        <w:tc>
          <w:tcPr>
            <w:tcW w:w="1116" w:type="dxa"/>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本期工程实际排放浓度（</w:t>
            </w:r>
            <w:r>
              <w:rPr>
                <w:rFonts w:hint="eastAsia" w:ascii="宋体" w:hAnsi="宋体" w:eastAsia="宋体" w:cs="宋体"/>
                <w:sz w:val="18"/>
                <w:szCs w:val="18"/>
                <w:vertAlign w:val="baseline"/>
                <w:lang w:val="en-US" w:eastAsia="zh-CN"/>
              </w:rPr>
              <w:t>2</w:t>
            </w:r>
            <w:r>
              <w:rPr>
                <w:rFonts w:hint="eastAsia" w:ascii="宋体" w:hAnsi="宋体" w:eastAsia="宋体" w:cs="宋体"/>
                <w:sz w:val="18"/>
                <w:szCs w:val="18"/>
                <w:vertAlign w:val="baseline"/>
                <w:lang w:eastAsia="zh-CN"/>
              </w:rPr>
              <w:t>）</w:t>
            </w:r>
          </w:p>
        </w:tc>
        <w:tc>
          <w:tcPr>
            <w:tcW w:w="1150"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本期工程允许排放浓度（</w:t>
            </w:r>
            <w:r>
              <w:rPr>
                <w:rFonts w:hint="eastAsia" w:ascii="宋体" w:hAnsi="宋体" w:eastAsia="宋体" w:cs="宋体"/>
                <w:sz w:val="18"/>
                <w:szCs w:val="18"/>
                <w:vertAlign w:val="baseline"/>
                <w:lang w:val="en-US" w:eastAsia="zh-CN"/>
              </w:rPr>
              <w:t>3</w:t>
            </w:r>
            <w:r>
              <w:rPr>
                <w:rFonts w:hint="eastAsia" w:ascii="宋体" w:hAnsi="宋体" w:eastAsia="宋体" w:cs="宋体"/>
                <w:sz w:val="18"/>
                <w:szCs w:val="18"/>
                <w:vertAlign w:val="baseline"/>
                <w:lang w:eastAsia="zh-CN"/>
              </w:rPr>
              <w:t>）</w:t>
            </w:r>
          </w:p>
        </w:tc>
        <w:tc>
          <w:tcPr>
            <w:tcW w:w="1015"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本期工程产生量（</w:t>
            </w:r>
            <w:r>
              <w:rPr>
                <w:rFonts w:hint="eastAsia" w:ascii="宋体" w:hAnsi="宋体" w:eastAsia="宋体" w:cs="宋体"/>
                <w:sz w:val="18"/>
                <w:szCs w:val="18"/>
                <w:vertAlign w:val="baseline"/>
                <w:lang w:val="en-US" w:eastAsia="zh-CN"/>
              </w:rPr>
              <w:t>4</w:t>
            </w:r>
            <w:r>
              <w:rPr>
                <w:rFonts w:hint="eastAsia" w:ascii="宋体" w:hAnsi="宋体" w:eastAsia="宋体" w:cs="宋体"/>
                <w:sz w:val="18"/>
                <w:szCs w:val="18"/>
                <w:vertAlign w:val="baseline"/>
                <w:lang w:eastAsia="zh-CN"/>
              </w:rPr>
              <w:t>）</w:t>
            </w:r>
          </w:p>
        </w:tc>
        <w:tc>
          <w:tcPr>
            <w:tcW w:w="1069" w:type="dxa"/>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eastAsia="zh-CN"/>
              </w:rPr>
              <w:t>本期工程自身消减量（</w:t>
            </w:r>
            <w:r>
              <w:rPr>
                <w:rFonts w:hint="eastAsia" w:ascii="宋体" w:hAnsi="宋体" w:eastAsia="宋体" w:cs="宋体"/>
                <w:sz w:val="18"/>
                <w:szCs w:val="18"/>
                <w:vertAlign w:val="baseline"/>
                <w:lang w:val="en-US" w:eastAsia="zh-CN"/>
              </w:rPr>
              <w:t>5</w:t>
            </w:r>
            <w:r>
              <w:rPr>
                <w:rFonts w:hint="eastAsia" w:ascii="宋体" w:hAnsi="宋体" w:eastAsia="宋体" w:cs="宋体"/>
                <w:sz w:val="18"/>
                <w:szCs w:val="18"/>
                <w:vertAlign w:val="baseline"/>
                <w:lang w:eastAsia="zh-CN"/>
              </w:rPr>
              <w:t>）</w:t>
            </w:r>
          </w:p>
        </w:tc>
        <w:tc>
          <w:tcPr>
            <w:tcW w:w="1133"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本期工程实际排放量（</w:t>
            </w:r>
            <w:r>
              <w:rPr>
                <w:rFonts w:hint="eastAsia" w:ascii="宋体" w:hAnsi="宋体" w:eastAsia="宋体" w:cs="宋体"/>
                <w:sz w:val="18"/>
                <w:szCs w:val="18"/>
                <w:vertAlign w:val="baseline"/>
                <w:lang w:val="en-US" w:eastAsia="zh-CN"/>
              </w:rPr>
              <w:t>6</w:t>
            </w:r>
            <w:r>
              <w:rPr>
                <w:rFonts w:hint="eastAsia" w:ascii="宋体" w:hAnsi="宋体" w:eastAsia="宋体" w:cs="宋体"/>
                <w:sz w:val="18"/>
                <w:szCs w:val="18"/>
                <w:vertAlign w:val="baseline"/>
                <w:lang w:eastAsia="zh-CN"/>
              </w:rPr>
              <w:t>）</w:t>
            </w:r>
          </w:p>
        </w:tc>
        <w:tc>
          <w:tcPr>
            <w:tcW w:w="1233"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本期工程核定排放总量（</w:t>
            </w:r>
            <w:r>
              <w:rPr>
                <w:rFonts w:hint="eastAsia" w:ascii="宋体" w:hAnsi="宋体" w:eastAsia="宋体" w:cs="宋体"/>
                <w:sz w:val="18"/>
                <w:szCs w:val="18"/>
                <w:vertAlign w:val="baseline"/>
                <w:lang w:val="en-US" w:eastAsia="zh-CN"/>
              </w:rPr>
              <w:t>7</w:t>
            </w:r>
            <w:r>
              <w:rPr>
                <w:rFonts w:hint="eastAsia" w:ascii="宋体" w:hAnsi="宋体" w:eastAsia="宋体" w:cs="宋体"/>
                <w:sz w:val="18"/>
                <w:szCs w:val="18"/>
                <w:vertAlign w:val="baseline"/>
                <w:lang w:eastAsia="zh-CN"/>
              </w:rPr>
              <w:t>）</w:t>
            </w:r>
          </w:p>
        </w:tc>
        <w:tc>
          <w:tcPr>
            <w:tcW w:w="1548" w:type="dxa"/>
            <w:gridSpan w:val="2"/>
            <w:vAlign w:val="center"/>
          </w:tcPr>
          <w:p>
            <w:pPr>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lang w:eastAsia="zh-CN"/>
              </w:rPr>
              <w:t>本期工程“以新带老”消减量（</w:t>
            </w:r>
            <w:r>
              <w:rPr>
                <w:rFonts w:hint="eastAsia" w:ascii="宋体" w:hAnsi="宋体" w:eastAsia="宋体" w:cs="宋体"/>
                <w:sz w:val="18"/>
                <w:szCs w:val="18"/>
                <w:vertAlign w:val="baseline"/>
                <w:lang w:val="en-US" w:eastAsia="zh-CN"/>
              </w:rPr>
              <w:t>8</w:t>
            </w:r>
            <w:r>
              <w:rPr>
                <w:rFonts w:hint="eastAsia" w:ascii="宋体" w:hAnsi="宋体" w:eastAsia="宋体" w:cs="宋体"/>
                <w:sz w:val="18"/>
                <w:szCs w:val="18"/>
                <w:vertAlign w:val="baseline"/>
                <w:lang w:eastAsia="zh-CN"/>
              </w:rPr>
              <w:t>）</w:t>
            </w:r>
          </w:p>
        </w:tc>
        <w:tc>
          <w:tcPr>
            <w:tcW w:w="1036"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全厂实际排放总量（</w:t>
            </w:r>
            <w:r>
              <w:rPr>
                <w:rFonts w:hint="eastAsia" w:ascii="宋体" w:hAnsi="宋体" w:eastAsia="宋体" w:cs="宋体"/>
                <w:sz w:val="18"/>
                <w:szCs w:val="18"/>
                <w:vertAlign w:val="baseline"/>
                <w:lang w:val="en-US" w:eastAsia="zh-CN"/>
              </w:rPr>
              <w:t>9</w:t>
            </w:r>
            <w:r>
              <w:rPr>
                <w:rFonts w:hint="eastAsia" w:ascii="宋体" w:hAnsi="宋体" w:eastAsia="宋体" w:cs="宋体"/>
                <w:sz w:val="18"/>
                <w:szCs w:val="18"/>
                <w:vertAlign w:val="baseline"/>
                <w:lang w:eastAsia="zh-CN"/>
              </w:rPr>
              <w:t>）</w:t>
            </w:r>
          </w:p>
        </w:tc>
        <w:tc>
          <w:tcPr>
            <w:tcW w:w="1050" w:type="dxa"/>
            <w:gridSpan w:val="3"/>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全厂核定排放总量（</w:t>
            </w:r>
            <w:r>
              <w:rPr>
                <w:rFonts w:hint="eastAsia" w:ascii="宋体" w:hAnsi="宋体" w:eastAsia="宋体" w:cs="宋体"/>
                <w:sz w:val="18"/>
                <w:szCs w:val="18"/>
                <w:vertAlign w:val="baseline"/>
                <w:lang w:val="en-US" w:eastAsia="zh-CN"/>
              </w:rPr>
              <w:t>10</w:t>
            </w:r>
            <w:r>
              <w:rPr>
                <w:rFonts w:hint="eastAsia" w:ascii="宋体" w:hAnsi="宋体" w:eastAsia="宋体" w:cs="宋体"/>
                <w:sz w:val="18"/>
                <w:szCs w:val="18"/>
                <w:vertAlign w:val="baseline"/>
                <w:lang w:eastAsia="zh-CN"/>
              </w:rPr>
              <w:t>）</w:t>
            </w:r>
          </w:p>
        </w:tc>
        <w:tc>
          <w:tcPr>
            <w:tcW w:w="1127"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区域平衡代替消减量（</w:t>
            </w:r>
            <w:r>
              <w:rPr>
                <w:rFonts w:hint="eastAsia" w:ascii="宋体" w:hAnsi="宋体" w:eastAsia="宋体" w:cs="宋体"/>
                <w:sz w:val="18"/>
                <w:szCs w:val="18"/>
                <w:vertAlign w:val="baseline"/>
                <w:lang w:val="en-US" w:eastAsia="zh-CN"/>
              </w:rPr>
              <w:t>11</w:t>
            </w:r>
            <w:r>
              <w:rPr>
                <w:rFonts w:hint="eastAsia" w:ascii="宋体" w:hAnsi="宋体" w:eastAsia="宋体" w:cs="宋体"/>
                <w:sz w:val="18"/>
                <w:szCs w:val="18"/>
                <w:vertAlign w:val="baseline"/>
                <w:lang w:eastAsia="zh-CN"/>
              </w:rPr>
              <w:t>）</w:t>
            </w:r>
          </w:p>
        </w:tc>
        <w:tc>
          <w:tcPr>
            <w:tcW w:w="1151" w:type="dxa"/>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排放增减量（</w:t>
            </w:r>
            <w:r>
              <w:rPr>
                <w:rFonts w:hint="eastAsia" w:ascii="宋体" w:hAnsi="宋体" w:eastAsia="宋体" w:cs="宋体"/>
                <w:sz w:val="18"/>
                <w:szCs w:val="18"/>
                <w:vertAlign w:val="baseline"/>
                <w:lang w:val="en-US" w:eastAsia="zh-CN"/>
              </w:rPr>
              <w:t>12</w:t>
            </w:r>
            <w:r>
              <w:rPr>
                <w:rFonts w:hint="eastAsia" w:ascii="宋体" w:hAnsi="宋体" w:eastAsia="宋体" w:cs="宋体"/>
                <w:sz w:val="18"/>
                <w:szCs w:val="18"/>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废水</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kern w:val="2"/>
                <w:sz w:val="18"/>
                <w:szCs w:val="18"/>
                <w:vertAlign w:val="baseline"/>
                <w:lang w:val="en-US" w:eastAsia="zh-CN" w:bidi="ar-SA"/>
              </w:rPr>
            </w:pPr>
          </w:p>
        </w:tc>
        <w:tc>
          <w:tcPr>
            <w:tcW w:w="1233" w:type="dxa"/>
            <w:gridSpan w:val="3"/>
            <w:vAlign w:val="center"/>
          </w:tcPr>
          <w:p>
            <w:pPr>
              <w:jc w:val="center"/>
              <w:rPr>
                <w:rFonts w:hint="eastAsia" w:ascii="宋体" w:hAnsi="宋体" w:eastAsia="宋体" w:cs="宋体"/>
                <w:kern w:val="2"/>
                <w:sz w:val="18"/>
                <w:szCs w:val="18"/>
                <w:vertAlign w:val="baseline"/>
                <w:lang w:val="en-US" w:eastAsia="zh-CN" w:bidi="ar-SA"/>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化学需氧量</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氨氮</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石油类</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废气</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二氧化硫</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烟尘</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工业粉尘</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氮氧化物</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工业固体废物</w:t>
            </w:r>
          </w:p>
        </w:tc>
        <w:tc>
          <w:tcPr>
            <w:tcW w:w="896" w:type="dxa"/>
            <w:gridSpan w:val="2"/>
            <w:vAlign w:val="center"/>
          </w:tcPr>
          <w:p>
            <w:pPr>
              <w:jc w:val="center"/>
              <w:rPr>
                <w:rFonts w:hint="eastAsia" w:ascii="宋体" w:hAnsi="宋体" w:eastAsia="宋体" w:cs="宋体"/>
                <w:sz w:val="18"/>
                <w:szCs w:val="18"/>
                <w:vertAlign w:val="baseline"/>
              </w:rPr>
            </w:pP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Merge w:val="restart"/>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与项目相关的其他特征污染物</w:t>
            </w:r>
          </w:p>
        </w:tc>
        <w:tc>
          <w:tcPr>
            <w:tcW w:w="896" w:type="dxa"/>
            <w:gridSpan w:val="2"/>
            <w:vAlign w:val="center"/>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SS</w:t>
            </w: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5" w:type="dxa"/>
            <w:gridSpan w:val="2"/>
            <w:vMerge w:val="continue"/>
            <w:vAlign w:val="center"/>
          </w:tcPr>
          <w:p>
            <w:pPr>
              <w:jc w:val="center"/>
              <w:rPr>
                <w:rFonts w:hint="eastAsia" w:ascii="宋体" w:hAnsi="宋体" w:eastAsia="宋体" w:cs="宋体"/>
                <w:sz w:val="18"/>
                <w:szCs w:val="18"/>
                <w:vertAlign w:val="baseline"/>
              </w:rPr>
            </w:pPr>
          </w:p>
        </w:tc>
        <w:tc>
          <w:tcPr>
            <w:tcW w:w="1519" w:type="dxa"/>
            <w:gridSpan w:val="2"/>
            <w:vMerge w:val="continue"/>
            <w:vAlign w:val="center"/>
          </w:tcPr>
          <w:p>
            <w:pPr>
              <w:jc w:val="center"/>
              <w:rPr>
                <w:rFonts w:hint="eastAsia" w:ascii="宋体" w:hAnsi="宋体" w:eastAsia="宋体" w:cs="宋体"/>
                <w:sz w:val="18"/>
                <w:szCs w:val="18"/>
                <w:vertAlign w:val="baseline"/>
              </w:rPr>
            </w:pPr>
          </w:p>
        </w:tc>
        <w:tc>
          <w:tcPr>
            <w:tcW w:w="896" w:type="dxa"/>
            <w:gridSpan w:val="2"/>
            <w:vAlign w:val="center"/>
          </w:tcPr>
          <w:p>
            <w:pPr>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lang w:eastAsia="zh-CN"/>
              </w:rPr>
              <w:t>总磷</w:t>
            </w:r>
          </w:p>
        </w:tc>
        <w:tc>
          <w:tcPr>
            <w:tcW w:w="1116" w:type="dxa"/>
            <w:vAlign w:val="center"/>
          </w:tcPr>
          <w:p>
            <w:pPr>
              <w:jc w:val="center"/>
              <w:rPr>
                <w:rFonts w:hint="eastAsia" w:ascii="宋体" w:hAnsi="宋体" w:eastAsia="宋体" w:cs="宋体"/>
                <w:sz w:val="18"/>
                <w:szCs w:val="18"/>
                <w:vertAlign w:val="baseline"/>
              </w:rPr>
            </w:pPr>
          </w:p>
        </w:tc>
        <w:tc>
          <w:tcPr>
            <w:tcW w:w="1150" w:type="dxa"/>
            <w:gridSpan w:val="3"/>
            <w:vAlign w:val="center"/>
          </w:tcPr>
          <w:p>
            <w:pPr>
              <w:jc w:val="center"/>
              <w:rPr>
                <w:rFonts w:hint="eastAsia" w:ascii="宋体" w:hAnsi="宋体" w:eastAsia="宋体" w:cs="宋体"/>
                <w:sz w:val="18"/>
                <w:szCs w:val="18"/>
                <w:vertAlign w:val="baseline"/>
              </w:rPr>
            </w:pPr>
          </w:p>
        </w:tc>
        <w:tc>
          <w:tcPr>
            <w:tcW w:w="1015" w:type="dxa"/>
            <w:gridSpan w:val="2"/>
            <w:vAlign w:val="center"/>
          </w:tcPr>
          <w:p>
            <w:pPr>
              <w:jc w:val="center"/>
              <w:rPr>
                <w:rFonts w:hint="eastAsia" w:ascii="宋体" w:hAnsi="宋体" w:eastAsia="宋体" w:cs="宋体"/>
                <w:sz w:val="18"/>
                <w:szCs w:val="18"/>
                <w:vertAlign w:val="baseline"/>
              </w:rPr>
            </w:pPr>
          </w:p>
        </w:tc>
        <w:tc>
          <w:tcPr>
            <w:tcW w:w="1069" w:type="dxa"/>
            <w:vAlign w:val="center"/>
          </w:tcPr>
          <w:p>
            <w:pPr>
              <w:jc w:val="center"/>
              <w:rPr>
                <w:rFonts w:hint="eastAsia" w:ascii="宋体" w:hAnsi="宋体" w:eastAsia="宋体" w:cs="宋体"/>
                <w:sz w:val="18"/>
                <w:szCs w:val="18"/>
                <w:vertAlign w:val="baseline"/>
              </w:rPr>
            </w:pPr>
          </w:p>
        </w:tc>
        <w:tc>
          <w:tcPr>
            <w:tcW w:w="1133" w:type="dxa"/>
            <w:gridSpan w:val="2"/>
            <w:vAlign w:val="center"/>
          </w:tcPr>
          <w:p>
            <w:pPr>
              <w:jc w:val="center"/>
              <w:rPr>
                <w:rFonts w:hint="eastAsia" w:ascii="宋体" w:hAnsi="宋体" w:eastAsia="宋体" w:cs="宋体"/>
                <w:sz w:val="18"/>
                <w:szCs w:val="18"/>
                <w:vertAlign w:val="baseline"/>
              </w:rPr>
            </w:pPr>
          </w:p>
        </w:tc>
        <w:tc>
          <w:tcPr>
            <w:tcW w:w="1233" w:type="dxa"/>
            <w:gridSpan w:val="3"/>
            <w:vAlign w:val="center"/>
          </w:tcPr>
          <w:p>
            <w:pPr>
              <w:jc w:val="center"/>
              <w:rPr>
                <w:rFonts w:hint="eastAsia" w:ascii="宋体" w:hAnsi="宋体" w:eastAsia="宋体" w:cs="宋体"/>
                <w:sz w:val="18"/>
                <w:szCs w:val="18"/>
                <w:vertAlign w:val="baseline"/>
              </w:rPr>
            </w:pPr>
          </w:p>
        </w:tc>
        <w:tc>
          <w:tcPr>
            <w:tcW w:w="1548" w:type="dxa"/>
            <w:gridSpan w:val="2"/>
            <w:vAlign w:val="center"/>
          </w:tcPr>
          <w:p>
            <w:pPr>
              <w:jc w:val="center"/>
              <w:rPr>
                <w:rFonts w:hint="eastAsia" w:ascii="宋体" w:hAnsi="宋体" w:eastAsia="宋体" w:cs="宋体"/>
                <w:sz w:val="18"/>
                <w:szCs w:val="18"/>
                <w:vertAlign w:val="baseline"/>
              </w:rPr>
            </w:pPr>
          </w:p>
        </w:tc>
        <w:tc>
          <w:tcPr>
            <w:tcW w:w="1036" w:type="dxa"/>
            <w:gridSpan w:val="3"/>
            <w:vAlign w:val="center"/>
          </w:tcPr>
          <w:p>
            <w:pPr>
              <w:jc w:val="center"/>
              <w:rPr>
                <w:rFonts w:hint="eastAsia" w:ascii="宋体" w:hAnsi="宋体" w:eastAsia="宋体" w:cs="宋体"/>
                <w:sz w:val="18"/>
                <w:szCs w:val="18"/>
                <w:vertAlign w:val="baseline"/>
              </w:rPr>
            </w:pPr>
          </w:p>
        </w:tc>
        <w:tc>
          <w:tcPr>
            <w:tcW w:w="1050" w:type="dxa"/>
            <w:gridSpan w:val="3"/>
            <w:vAlign w:val="center"/>
          </w:tcPr>
          <w:p>
            <w:pPr>
              <w:jc w:val="center"/>
              <w:rPr>
                <w:rFonts w:hint="eastAsia" w:ascii="宋体" w:hAnsi="宋体" w:eastAsia="宋体" w:cs="宋体"/>
                <w:sz w:val="18"/>
                <w:szCs w:val="18"/>
                <w:vertAlign w:val="baseline"/>
              </w:rPr>
            </w:pPr>
          </w:p>
        </w:tc>
        <w:tc>
          <w:tcPr>
            <w:tcW w:w="1127" w:type="dxa"/>
            <w:gridSpan w:val="2"/>
            <w:vAlign w:val="center"/>
          </w:tcPr>
          <w:p>
            <w:pPr>
              <w:jc w:val="center"/>
              <w:rPr>
                <w:rFonts w:hint="eastAsia" w:ascii="宋体" w:hAnsi="宋体" w:eastAsia="宋体" w:cs="宋体"/>
                <w:sz w:val="18"/>
                <w:szCs w:val="18"/>
                <w:vertAlign w:val="baseline"/>
              </w:rPr>
            </w:pPr>
          </w:p>
        </w:tc>
        <w:tc>
          <w:tcPr>
            <w:tcW w:w="1151" w:type="dxa"/>
            <w:vAlign w:val="center"/>
          </w:tcPr>
          <w:p>
            <w:pPr>
              <w:jc w:val="center"/>
              <w:rPr>
                <w:rFonts w:hint="eastAsia" w:ascii="宋体" w:hAnsi="宋体" w:eastAsia="宋体" w:cs="宋体"/>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008" w:type="dxa"/>
            <w:gridSpan w:val="29"/>
            <w:vAlign w:val="center"/>
          </w:tcPr>
          <w:p>
            <w:pPr>
              <w:jc w:val="left"/>
              <w:rPr>
                <w:rFonts w:hint="eastAsia" w:ascii="宋体" w:hAnsi="宋体" w:eastAsia="宋体" w:cs="宋体"/>
                <w:sz w:val="18"/>
                <w:szCs w:val="18"/>
                <w:vertAlign w:val="baseline"/>
                <w:lang w:val="en-US" w:eastAsia="zh-CN" w:bidi="zh-CN"/>
              </w:rPr>
            </w:pPr>
            <w:r>
              <w:rPr>
                <w:rFonts w:hint="eastAsia" w:ascii="宋体" w:hAnsi="宋体" w:eastAsia="宋体" w:cs="宋体"/>
                <w:sz w:val="18"/>
                <w:szCs w:val="18"/>
                <w:vertAlign w:val="baseline"/>
                <w:lang w:val="en-US" w:eastAsia="zh-CN" w:bidi="zh-CN"/>
              </w:rPr>
              <w:t>注：1、排放增减量：（+）表示增加，（-）表示减少</w:t>
            </w:r>
          </w:p>
          <w:p>
            <w:pPr>
              <w:pStyle w:val="10"/>
              <w:numPr>
                <w:ilvl w:val="0"/>
                <w:numId w:val="15"/>
              </w:numPr>
              <w:jc w:val="left"/>
              <w:rPr>
                <w:rFonts w:hint="eastAsia" w:hAnsi="宋体" w:eastAsia="宋体" w:cs="宋体"/>
                <w:sz w:val="18"/>
                <w:szCs w:val="18"/>
                <w:vertAlign w:val="baseline"/>
                <w:lang w:val="en-US" w:eastAsia="zh-CN"/>
              </w:rPr>
            </w:pPr>
            <w:r>
              <w:rPr>
                <w:rFonts w:hint="eastAsia" w:hAnsi="宋体" w:eastAsia="宋体" w:cs="宋体"/>
                <w:sz w:val="18"/>
                <w:szCs w:val="18"/>
                <w:vertAlign w:val="baseline"/>
                <w:lang w:val="en-US" w:eastAsia="zh-CN"/>
              </w:rPr>
              <w:t>（12）=（6）-（8）-（11），（9）=（4）-（5）-（8）-（11）+（1）</w:t>
            </w:r>
          </w:p>
          <w:p>
            <w:pPr>
              <w:pStyle w:val="10"/>
              <w:numPr>
                <w:ilvl w:val="0"/>
                <w:numId w:val="15"/>
              </w:numPr>
              <w:jc w:val="left"/>
              <w:rPr>
                <w:rFonts w:hint="default" w:hAnsi="宋体" w:eastAsia="宋体" w:cs="宋体"/>
                <w:sz w:val="15"/>
                <w:szCs w:val="15"/>
                <w:vertAlign w:val="baseline"/>
                <w:lang w:val="en-US" w:eastAsia="zh-CN"/>
              </w:rPr>
            </w:pPr>
            <w:r>
              <w:rPr>
                <w:rFonts w:hint="eastAsia" w:hAnsi="宋体" w:eastAsia="宋体" w:cs="宋体"/>
                <w:sz w:val="18"/>
                <w:szCs w:val="18"/>
                <w:vertAlign w:val="baseline"/>
                <w:lang w:val="en-US" w:eastAsia="zh-CN"/>
              </w:rPr>
              <w:t>计量单位：废水排放量—万吨/年；废气排放量—万标立方米/年；工业固体废物排放量—万吨/年；水污染物排放浓度—毫克/升；大气污染物排放浓度—毫克/立方米；水污染物排放量—吨/年；大气污染物排放量—吨/年</w:t>
            </w:r>
          </w:p>
        </w:tc>
      </w:tr>
    </w:tbl>
    <w:p>
      <w:pPr>
        <w:pStyle w:val="7"/>
        <w:rPr>
          <w:rFonts w:ascii="宋体"/>
          <w:sz w:val="20"/>
        </w:rPr>
      </w:pPr>
    </w:p>
    <w:p>
      <w:pPr>
        <w:pStyle w:val="7"/>
        <w:spacing w:before="9"/>
        <w:rPr>
          <w:rFonts w:ascii="宋体"/>
          <w:sz w:val="12"/>
        </w:rPr>
      </w:pPr>
      <w:r>
        <mc:AlternateContent>
          <mc:Choice Requires="wps">
            <w:drawing>
              <wp:anchor distT="0" distB="0" distL="0" distR="0" simplePos="0" relativeHeight="251674624" behindDoc="1" locked="0" layoutInCell="1" allowOverlap="1">
                <wp:simplePos x="0" y="0"/>
                <wp:positionH relativeFrom="page">
                  <wp:posOffset>5175250</wp:posOffset>
                </wp:positionH>
                <wp:positionV relativeFrom="paragraph">
                  <wp:posOffset>131445</wp:posOffset>
                </wp:positionV>
                <wp:extent cx="342900" cy="0"/>
                <wp:effectExtent l="0" t="0" r="0" b="0"/>
                <wp:wrapTopAndBottom/>
                <wp:docPr id="91" name="直线 48"/>
                <wp:cNvGraphicFramePr/>
                <a:graphic xmlns:a="http://schemas.openxmlformats.org/drawingml/2006/main">
                  <a:graphicData uri="http://schemas.microsoft.com/office/word/2010/wordprocessingShape">
                    <wps:wsp>
                      <wps:cNvCnPr/>
                      <wps:spPr>
                        <a:xfrm>
                          <a:off x="0" y="0"/>
                          <a:ext cx="3429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407.5pt;margin-top:10.35pt;height:0pt;width:27pt;mso-position-horizontal-relative:page;mso-wrap-distance-bottom:0pt;mso-wrap-distance-top:0pt;z-index:-251641856;mso-width-relative:page;mso-height-relative:page;" filled="f" stroked="t" coordsize="21600,21600" o:gfxdata="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Vw32C1wAAAAkBAAAPAAAAAAAAAAEAIAAAACIAAABk&#10;cnMvZG93bnJldi54bWxQSwECFAAUAAAACACHTuJAUBrXs84BAACOAwAADgAAAAAAAAABACAAAAAm&#10;AQAAZHJzL2Uyb0RvYy54bWxQSwUGAAAAAAYABgBZAQAAZgUAAAAA&#10;">
                <v:fill on="f" focussize="0,0"/>
                <v:stroke weight="0.48pt" color="#000000" joinstyle="round"/>
                <v:imagedata o:title=""/>
                <o:lock v:ext="edit" aspectratio="f"/>
                <w10:wrap type="topAndBottom"/>
              </v:line>
            </w:pict>
          </mc:Fallback>
        </mc:AlternateContent>
      </w:r>
    </w:p>
    <w:p>
      <w:pPr>
        <w:spacing w:before="0" w:line="197" w:lineRule="exact"/>
        <w:ind w:left="421" w:right="0" w:firstLine="0"/>
        <w:jc w:val="center"/>
        <w:rPr>
          <w:rFonts w:ascii="Times New Roman"/>
          <w:sz w:val="18"/>
        </w:rPr>
      </w:pPr>
      <w:r>
        <w:rPr>
          <w:rFonts w:ascii="Times New Roman"/>
          <w:sz w:val="18"/>
        </w:rPr>
        <w:t>52</w:t>
      </w:r>
    </w:p>
    <w:p>
      <w:pPr>
        <w:spacing w:after="0" w:line="197" w:lineRule="exact"/>
        <w:jc w:val="center"/>
        <w:rPr>
          <w:rFonts w:ascii="Times New Roman"/>
          <w:sz w:val="18"/>
        </w:rPr>
        <w:sectPr>
          <w:type w:val="continuous"/>
          <w:pgSz w:w="16840" w:h="11910" w:orient="landscape"/>
          <w:pgMar w:top="1580" w:right="500" w:bottom="280" w:left="440" w:header="720" w:footer="720" w:gutter="0"/>
          <w:pgBorders>
            <w:top w:val="none" w:sz="0" w:space="0"/>
            <w:left w:val="none" w:sz="0" w:space="0"/>
            <w:bottom w:val="none" w:sz="0" w:space="0"/>
            <w:right w:val="none" w:sz="0" w:space="0"/>
          </w:pgBorders>
          <w:pgNumType w:fmt="decimal"/>
        </w:sectPr>
      </w:pPr>
    </w:p>
    <w:p>
      <w:pPr>
        <w:spacing w:before="52"/>
        <w:ind w:left="1213" w:right="0" w:firstLine="0"/>
        <w:jc w:val="left"/>
        <w:rPr>
          <w:rFonts w:hint="eastAsia" w:ascii="宋体" w:hAnsi="宋体" w:eastAsia="宋体" w:cs="宋体"/>
          <w:b/>
          <w:sz w:val="24"/>
        </w:rPr>
      </w:pPr>
      <w:bookmarkStart w:id="204" w:name="附件1验收委托书"/>
      <w:bookmarkEnd w:id="204"/>
      <w:bookmarkStart w:id="205" w:name="_bookmark37"/>
      <w:bookmarkEnd w:id="205"/>
      <w:r>
        <w:rPr>
          <w:rFonts w:hint="eastAsia" w:ascii="宋体" w:hAnsi="宋体" w:eastAsia="宋体" w:cs="宋体"/>
          <w:b/>
          <w:sz w:val="24"/>
        </w:rPr>
        <w:t>附件 1 验收委托书</w:t>
      </w:r>
    </w:p>
    <w:p>
      <w:pPr>
        <w:pStyle w:val="7"/>
        <w:rPr>
          <w:b/>
          <w:sz w:val="20"/>
        </w:rPr>
      </w:pPr>
    </w:p>
    <w:p>
      <w:pPr>
        <w:pStyle w:val="7"/>
        <w:spacing w:before="10"/>
        <w:rPr>
          <w:b/>
          <w:sz w:val="17"/>
        </w:rPr>
      </w:pPr>
    </w:p>
    <w:p>
      <w:pPr>
        <w:spacing w:before="54"/>
        <w:ind w:left="4470" w:right="3834" w:firstLine="0"/>
        <w:jc w:val="center"/>
        <w:rPr>
          <w:rFonts w:hint="eastAsia" w:ascii="宋体" w:eastAsia="宋体"/>
          <w:b/>
          <w:sz w:val="32"/>
        </w:rPr>
      </w:pPr>
      <w:r>
        <w:rPr>
          <w:rFonts w:hint="eastAsia" w:ascii="宋体" w:eastAsia="宋体"/>
          <w:b/>
          <w:sz w:val="32"/>
        </w:rPr>
        <w:t>委 托 书</w:t>
      </w:r>
    </w:p>
    <w:p>
      <w:pPr>
        <w:pStyle w:val="7"/>
        <w:rPr>
          <w:rFonts w:ascii="宋体"/>
          <w:b/>
          <w:sz w:val="32"/>
        </w:rPr>
      </w:pPr>
    </w:p>
    <w:p>
      <w:pPr>
        <w:pStyle w:val="7"/>
        <w:spacing w:before="9"/>
        <w:rPr>
          <w:rFonts w:ascii="宋体"/>
          <w:b/>
          <w:sz w:val="39"/>
        </w:rPr>
      </w:pPr>
    </w:p>
    <w:p>
      <w:pPr>
        <w:spacing w:before="0"/>
        <w:ind w:left="1319" w:right="0" w:firstLine="0"/>
        <w:jc w:val="left"/>
        <w:rPr>
          <w:rFonts w:hint="eastAsia" w:ascii="宋体" w:eastAsia="宋体"/>
          <w:sz w:val="28"/>
        </w:rPr>
      </w:pPr>
      <w:r>
        <w:rPr>
          <w:rFonts w:hint="eastAsia" w:ascii="宋体" w:eastAsia="宋体"/>
          <w:sz w:val="28"/>
        </w:rPr>
        <w:t>江西</w:t>
      </w:r>
      <w:r>
        <w:rPr>
          <w:rFonts w:hint="eastAsia" w:ascii="宋体" w:eastAsia="宋体"/>
          <w:sz w:val="28"/>
          <w:lang w:eastAsia="zh-CN"/>
        </w:rPr>
        <w:t>中明环境检测</w:t>
      </w:r>
      <w:r>
        <w:rPr>
          <w:rFonts w:hint="eastAsia" w:ascii="宋体" w:eastAsia="宋体"/>
          <w:sz w:val="28"/>
        </w:rPr>
        <w:t>有限公司：</w:t>
      </w:r>
    </w:p>
    <w:p>
      <w:pPr>
        <w:pStyle w:val="7"/>
        <w:rPr>
          <w:rFonts w:ascii="宋体"/>
          <w:sz w:val="23"/>
        </w:rPr>
      </w:pPr>
    </w:p>
    <w:p>
      <w:pPr>
        <w:spacing w:before="0" w:line="436" w:lineRule="auto"/>
        <w:ind w:left="760" w:right="756" w:firstLine="559"/>
        <w:jc w:val="both"/>
        <w:rPr>
          <w:rFonts w:hint="eastAsia" w:ascii="宋体" w:eastAsia="宋体"/>
          <w:sz w:val="28"/>
        </w:rPr>
      </w:pPr>
      <w:r>
        <w:rPr>
          <w:rFonts w:hint="eastAsia" w:ascii="宋体" w:eastAsia="宋体"/>
          <w:sz w:val="28"/>
        </w:rPr>
        <w:t>我公司建设项目已竣工并已开始试运行，现生产及环保治理设</w:t>
      </w:r>
      <w:r>
        <w:rPr>
          <w:rFonts w:hint="eastAsia" w:ascii="宋体" w:eastAsia="宋体"/>
          <w:spacing w:val="-12"/>
          <w:sz w:val="28"/>
        </w:rPr>
        <w:t>施运行正常。根据环境保护有关法律法规及《建设项目竣工环境保护</w:t>
      </w:r>
      <w:r>
        <w:rPr>
          <w:rFonts w:hint="eastAsia" w:ascii="宋体" w:eastAsia="宋体"/>
          <w:spacing w:val="-10"/>
          <w:sz w:val="28"/>
        </w:rPr>
        <w:t>验收管理办法》的有关规定，需对该项目进行竣工环境保护验收，特</w:t>
      </w:r>
      <w:r>
        <w:rPr>
          <w:rFonts w:hint="eastAsia" w:ascii="宋体" w:eastAsia="宋体"/>
          <w:spacing w:val="-4"/>
          <w:sz w:val="28"/>
        </w:rPr>
        <w:t>委托贵公司承担该项目竣工环境保护验收监测工作。</w:t>
      </w:r>
    </w:p>
    <w:p>
      <w:pPr>
        <w:pStyle w:val="7"/>
        <w:rPr>
          <w:rFonts w:ascii="宋体"/>
          <w:sz w:val="28"/>
        </w:rPr>
      </w:pPr>
    </w:p>
    <w:p>
      <w:pPr>
        <w:pStyle w:val="7"/>
        <w:rPr>
          <w:rFonts w:ascii="宋体"/>
          <w:sz w:val="28"/>
        </w:rPr>
      </w:pPr>
    </w:p>
    <w:p>
      <w:pPr>
        <w:pStyle w:val="7"/>
        <w:rPr>
          <w:rFonts w:ascii="宋体"/>
          <w:sz w:val="28"/>
        </w:rPr>
      </w:pPr>
    </w:p>
    <w:p>
      <w:pPr>
        <w:pStyle w:val="7"/>
        <w:rPr>
          <w:rFonts w:ascii="宋体"/>
          <w:sz w:val="28"/>
        </w:rPr>
      </w:pPr>
    </w:p>
    <w:p>
      <w:pPr>
        <w:pStyle w:val="7"/>
        <w:rPr>
          <w:rFonts w:ascii="宋体"/>
          <w:sz w:val="28"/>
        </w:rPr>
      </w:pPr>
    </w:p>
    <w:p>
      <w:pPr>
        <w:pStyle w:val="7"/>
        <w:rPr>
          <w:rFonts w:ascii="宋体"/>
          <w:sz w:val="28"/>
        </w:rPr>
      </w:pPr>
    </w:p>
    <w:p>
      <w:pPr>
        <w:pStyle w:val="7"/>
        <w:spacing w:before="11"/>
        <w:rPr>
          <w:rFonts w:ascii="宋体"/>
          <w:sz w:val="21"/>
        </w:rPr>
      </w:pPr>
    </w:p>
    <w:p>
      <w:pPr>
        <w:tabs>
          <w:tab w:val="left" w:pos="8324"/>
        </w:tabs>
        <w:spacing w:before="0" w:line="434" w:lineRule="auto"/>
        <w:ind w:left="4192" w:leftChars="1651" w:right="937" w:hanging="560" w:hangingChars="200"/>
        <w:jc w:val="left"/>
        <w:rPr>
          <w:rFonts w:hint="eastAsia" w:ascii="宋体" w:eastAsia="宋体"/>
          <w:sz w:val="28"/>
        </w:rPr>
      </w:pPr>
      <w:r>
        <w:rPr>
          <w:rFonts w:hint="eastAsia" w:ascii="宋体" w:eastAsia="宋体"/>
          <w:sz w:val="28"/>
        </w:rPr>
        <w:t>委</w:t>
      </w:r>
      <w:r>
        <w:rPr>
          <w:rFonts w:hint="eastAsia" w:ascii="宋体" w:eastAsia="宋体"/>
          <w:spacing w:val="-3"/>
          <w:sz w:val="28"/>
        </w:rPr>
        <w:t>托</w:t>
      </w:r>
      <w:r>
        <w:rPr>
          <w:rFonts w:hint="eastAsia" w:ascii="宋体" w:eastAsia="宋体"/>
          <w:sz w:val="28"/>
        </w:rPr>
        <w:t>单位</w:t>
      </w:r>
      <w:r>
        <w:rPr>
          <w:rFonts w:hint="eastAsia" w:ascii="宋体" w:eastAsia="宋体"/>
          <w:spacing w:val="-3"/>
          <w:sz w:val="28"/>
        </w:rPr>
        <w:t>：崇义县上堡人形水电站</w:t>
      </w:r>
      <w:r>
        <w:rPr>
          <w:rFonts w:hint="eastAsia" w:ascii="宋体" w:eastAsia="宋体"/>
          <w:sz w:val="28"/>
        </w:rPr>
        <w:tab/>
      </w:r>
      <w:r>
        <w:rPr>
          <w:rFonts w:hint="eastAsia" w:ascii="宋体" w:eastAsia="宋体"/>
          <w:sz w:val="28"/>
        </w:rPr>
        <w:t>盖</w:t>
      </w:r>
      <w:r>
        <w:rPr>
          <w:rFonts w:hint="eastAsia" w:ascii="宋体" w:eastAsia="宋体"/>
          <w:spacing w:val="-16"/>
          <w:sz w:val="28"/>
        </w:rPr>
        <w:t>章</w:t>
      </w:r>
      <w:r>
        <w:rPr>
          <w:rFonts w:hint="eastAsia" w:ascii="宋体" w:eastAsia="宋体"/>
          <w:sz w:val="28"/>
        </w:rPr>
        <w:t>委</w:t>
      </w:r>
      <w:r>
        <w:rPr>
          <w:rFonts w:hint="eastAsia" w:ascii="宋体" w:eastAsia="宋体"/>
          <w:spacing w:val="-3"/>
          <w:sz w:val="28"/>
        </w:rPr>
        <w:t>托</w:t>
      </w:r>
      <w:r>
        <w:rPr>
          <w:rFonts w:hint="eastAsia" w:ascii="宋体" w:eastAsia="宋体"/>
          <w:sz w:val="28"/>
        </w:rPr>
        <w:t>人</w:t>
      </w:r>
      <w:r>
        <w:rPr>
          <w:rFonts w:hint="eastAsia" w:ascii="宋体" w:eastAsia="宋体"/>
          <w:spacing w:val="-3"/>
          <w:sz w:val="28"/>
        </w:rPr>
        <w:t>：付烈有</w:t>
      </w:r>
    </w:p>
    <w:p>
      <w:pPr>
        <w:spacing w:before="5"/>
        <w:ind w:right="0" w:firstLine="4200" w:firstLineChars="1500"/>
        <w:jc w:val="left"/>
        <w:rPr>
          <w:rFonts w:hint="eastAsia" w:ascii="宋体" w:eastAsia="宋体"/>
          <w:sz w:val="28"/>
        </w:rPr>
      </w:pPr>
      <w:r>
        <w:rPr>
          <w:rFonts w:hint="eastAsia" w:ascii="宋体" w:eastAsia="宋体"/>
          <w:sz w:val="28"/>
        </w:rPr>
        <w:t>联系电话：15870746185</w:t>
      </w:r>
    </w:p>
    <w:p>
      <w:pPr>
        <w:pStyle w:val="7"/>
        <w:spacing w:before="12"/>
        <w:rPr>
          <w:rFonts w:ascii="宋体"/>
          <w:sz w:val="22"/>
        </w:rPr>
      </w:pPr>
    </w:p>
    <w:p>
      <w:pPr>
        <w:spacing w:before="0" w:line="434" w:lineRule="auto"/>
        <w:ind w:right="1083" w:firstLine="3080" w:firstLineChars="1100"/>
        <w:jc w:val="left"/>
        <w:rPr>
          <w:rFonts w:hint="eastAsia" w:ascii="宋体" w:eastAsia="宋体"/>
          <w:sz w:val="28"/>
        </w:rPr>
      </w:pPr>
      <w:r>
        <w:rPr>
          <w:rFonts w:hint="eastAsia" w:ascii="宋体" w:eastAsia="宋体"/>
          <w:sz w:val="28"/>
        </w:rPr>
        <w:t>项目地址：江西省赣州市崇义县上堡乡正井村</w:t>
      </w:r>
    </w:p>
    <w:p>
      <w:pPr>
        <w:spacing w:before="0" w:line="434" w:lineRule="auto"/>
        <w:ind w:right="1083" w:firstLine="4200" w:firstLineChars="1500"/>
        <w:jc w:val="left"/>
        <w:rPr>
          <w:rFonts w:hint="eastAsia" w:ascii="宋体" w:eastAsia="宋体"/>
          <w:sz w:val="28"/>
          <w:highlight w:val="none"/>
        </w:rPr>
      </w:pPr>
      <w:r>
        <w:rPr>
          <w:rFonts w:hint="eastAsia" w:ascii="宋体" w:eastAsia="宋体"/>
          <w:sz w:val="28"/>
        </w:rPr>
        <w:t>时间</w:t>
      </w:r>
      <w:r>
        <w:rPr>
          <w:rFonts w:hint="eastAsia" w:ascii="宋体" w:eastAsia="宋体"/>
          <w:sz w:val="28"/>
          <w:highlight w:val="none"/>
        </w:rPr>
        <w:t>： 2020年0</w:t>
      </w:r>
      <w:r>
        <w:rPr>
          <w:rFonts w:hint="eastAsia" w:ascii="宋体" w:eastAsia="宋体"/>
          <w:sz w:val="28"/>
          <w:highlight w:val="none"/>
          <w:lang w:val="en-US" w:eastAsia="zh-CN"/>
        </w:rPr>
        <w:t>8</w:t>
      </w:r>
      <w:r>
        <w:rPr>
          <w:rFonts w:hint="eastAsia" w:ascii="宋体" w:eastAsia="宋体"/>
          <w:sz w:val="28"/>
          <w:highlight w:val="none"/>
        </w:rPr>
        <w:t>月</w:t>
      </w:r>
      <w:r>
        <w:rPr>
          <w:rFonts w:hint="eastAsia" w:ascii="宋体" w:eastAsia="宋体"/>
          <w:sz w:val="28"/>
          <w:highlight w:val="none"/>
          <w:lang w:val="en-US" w:eastAsia="zh-CN"/>
        </w:rPr>
        <w:t>20</w:t>
      </w:r>
      <w:r>
        <w:rPr>
          <w:rFonts w:hint="eastAsia" w:ascii="宋体" w:eastAsia="宋体"/>
          <w:sz w:val="28"/>
          <w:highlight w:val="none"/>
        </w:rPr>
        <w:t>日</w:t>
      </w:r>
    </w:p>
    <w:p>
      <w:pPr>
        <w:spacing w:after="0" w:line="434" w:lineRule="auto"/>
        <w:jc w:val="left"/>
        <w:rPr>
          <w:rFonts w:hint="eastAsia" w:ascii="宋体" w:eastAsia="宋体"/>
          <w:sz w:val="28"/>
        </w:rPr>
        <w:sectPr>
          <w:footerReference r:id="rId12" w:type="default"/>
          <w:pgSz w:w="11910" w:h="16840"/>
          <w:pgMar w:top="1460" w:right="1040" w:bottom="880" w:left="1040" w:header="0" w:footer="683" w:gutter="0"/>
          <w:pgBorders>
            <w:top w:val="none" w:sz="0" w:space="0"/>
            <w:left w:val="none" w:sz="0" w:space="0"/>
            <w:bottom w:val="none" w:sz="0" w:space="0"/>
            <w:right w:val="none" w:sz="0" w:space="0"/>
          </w:pgBorders>
          <w:pgNumType w:fmt="decimal"/>
        </w:sect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eastAsia" w:ascii="宋体" w:hAnsi="宋体" w:eastAsia="宋体" w:cs="宋体"/>
          <w:b/>
          <w:sz w:val="24"/>
        </w:rPr>
      </w:pPr>
      <w:bookmarkStart w:id="206" w:name="_bookmark38"/>
      <w:bookmarkEnd w:id="206"/>
      <w:bookmarkStart w:id="207" w:name="附件2万安县环境保护局《关于万安县宝田水电站工程环境影响报告书审查意见的函》（万"/>
      <w:bookmarkEnd w:id="207"/>
      <w:r>
        <w:rPr>
          <w:rFonts w:hint="eastAsia" w:ascii="宋体" w:hAnsi="宋体" w:eastAsia="宋体" w:cs="宋体"/>
          <w:b/>
          <w:sz w:val="24"/>
        </w:rPr>
        <w:t xml:space="preserve">附件 2 </w:t>
      </w:r>
      <w:r>
        <w:rPr>
          <w:rFonts w:hint="eastAsia" w:ascii="宋体" w:hAnsi="宋体" w:eastAsia="宋体" w:cs="宋体"/>
          <w:b/>
          <w:sz w:val="24"/>
          <w:lang w:eastAsia="zh-CN"/>
        </w:rPr>
        <w:t>赣州市崇义生态环境局</w:t>
      </w:r>
      <w:r>
        <w:rPr>
          <w:rFonts w:hint="eastAsia" w:ascii="宋体" w:hAnsi="宋体" w:eastAsia="宋体" w:cs="宋体"/>
          <w:b/>
          <w:sz w:val="24"/>
        </w:rPr>
        <w:t>《关于崇义县上堡人形水电站工程项目环境影响报告书的批复》（</w:t>
      </w:r>
      <w:r>
        <w:rPr>
          <w:rFonts w:hint="eastAsia" w:ascii="宋体" w:hAnsi="宋体" w:eastAsia="宋体" w:cs="宋体"/>
          <w:b/>
          <w:sz w:val="24"/>
          <w:lang w:eastAsia="zh-CN"/>
        </w:rPr>
        <w:t>崇</w:t>
      </w:r>
      <w:r>
        <w:rPr>
          <w:rFonts w:hint="eastAsia" w:ascii="宋体" w:hAnsi="宋体" w:eastAsia="宋体" w:cs="宋体"/>
          <w:b/>
          <w:sz w:val="24"/>
        </w:rPr>
        <w:t>环</w:t>
      </w:r>
      <w:r>
        <w:rPr>
          <w:rFonts w:hint="eastAsia" w:ascii="宋体" w:hAnsi="宋体" w:eastAsia="宋体" w:cs="宋体"/>
          <w:b/>
          <w:sz w:val="24"/>
          <w:lang w:eastAsia="zh-CN"/>
        </w:rPr>
        <w:t>审</w:t>
      </w:r>
      <w:r>
        <w:rPr>
          <w:rFonts w:hint="eastAsia" w:ascii="宋体" w:hAnsi="宋体" w:eastAsia="宋体" w:cs="宋体"/>
          <w:b/>
          <w:sz w:val="24"/>
        </w:rPr>
        <w:t>字[2020]</w:t>
      </w:r>
      <w:r>
        <w:rPr>
          <w:rFonts w:hint="eastAsia" w:ascii="宋体" w:hAnsi="宋体" w:eastAsia="宋体" w:cs="宋体"/>
          <w:b/>
          <w:sz w:val="24"/>
          <w:lang w:val="en-US" w:eastAsia="zh-CN"/>
        </w:rPr>
        <w:t>74</w:t>
      </w:r>
      <w:r>
        <w:rPr>
          <w:rFonts w:hint="eastAsia" w:ascii="宋体" w:hAnsi="宋体" w:eastAsia="宋体" w:cs="宋体"/>
          <w:b/>
          <w:sz w:val="24"/>
        </w:rPr>
        <w:t xml:space="preserve"> 号）</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eastAsia" w:eastAsia="宋体"/>
          <w:sz w:val="24"/>
          <w:lang w:eastAsia="zh-CN"/>
        </w:rPr>
        <w:sectPr>
          <w:pgSz w:w="11910" w:h="16840"/>
          <w:pgMar w:top="1460" w:right="1040" w:bottom="1000" w:left="1040" w:header="0" w:footer="683" w:gutter="0"/>
          <w:pgBorders>
            <w:top w:val="none" w:sz="0" w:space="0"/>
            <w:left w:val="none" w:sz="0" w:space="0"/>
            <w:bottom w:val="none" w:sz="0" w:space="0"/>
            <w:right w:val="none" w:sz="0" w:space="0"/>
          </w:pgBorders>
          <w:pgNumType w:fmt="decimal"/>
        </w:sectPr>
      </w:pPr>
      <w:r>
        <w:drawing>
          <wp:inline distT="0" distB="0" distL="114300" distR="114300">
            <wp:extent cx="6238875" cy="84772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6238875" cy="8477250"/>
                    </a:xfrm>
                    <a:prstGeom prst="rect">
                      <a:avLst/>
                    </a:prstGeom>
                    <a:noFill/>
                    <a:ln>
                      <a:noFill/>
                    </a:ln>
                  </pic:spPr>
                </pic:pic>
              </a:graphicData>
            </a:graphic>
          </wp:inline>
        </w:drawing>
      </w:r>
    </w:p>
    <w:p>
      <w:pPr>
        <w:spacing w:after="0"/>
        <w:rPr>
          <w:rFonts w:hint="eastAsia" w:eastAsia="仿宋"/>
          <w:sz w:val="20"/>
          <w:lang w:eastAsia="zh-CN"/>
        </w:rPr>
      </w:pPr>
    </w:p>
    <w:p>
      <w:pPr>
        <w:spacing w:after="0"/>
      </w:pPr>
      <w:r>
        <w:drawing>
          <wp:inline distT="0" distB="0" distL="114300" distR="114300">
            <wp:extent cx="6238875" cy="882967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6238875" cy="882967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rPr>
          <w:rFonts w:hint="eastAsia"/>
          <w:lang w:eastAsia="zh-CN"/>
        </w:rPr>
        <w:sectPr>
          <w:pgSz w:w="11910" w:h="16840"/>
          <w:pgMar w:top="1540" w:right="1040" w:bottom="880" w:left="1040" w:header="0" w:footer="683" w:gutter="0"/>
          <w:pgBorders>
            <w:top w:val="none" w:sz="0" w:space="0"/>
            <w:left w:val="none" w:sz="0" w:space="0"/>
            <w:bottom w:val="none" w:sz="0" w:space="0"/>
            <w:right w:val="none" w:sz="0" w:space="0"/>
          </w:pgBorders>
          <w:pgNumType w:fmt="decimal"/>
        </w:sectPr>
      </w:pPr>
      <w:r>
        <w:drawing>
          <wp:inline distT="0" distB="0" distL="114300" distR="114300">
            <wp:extent cx="6229350" cy="855345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6229350" cy="8553450"/>
                    </a:xfrm>
                    <a:prstGeom prst="rect">
                      <a:avLst/>
                    </a:prstGeom>
                    <a:noFill/>
                    <a:ln>
                      <a:noFill/>
                    </a:ln>
                  </pic:spPr>
                </pic:pic>
              </a:graphicData>
            </a:graphic>
          </wp:inline>
        </w:drawing>
      </w:r>
    </w:p>
    <w:p>
      <w:pPr>
        <w:pStyle w:val="10"/>
        <w:rPr>
          <w:rFonts w:hint="eastAsia" w:eastAsia="仿宋"/>
          <w:sz w:val="20"/>
          <w:lang w:eastAsia="zh-CN"/>
        </w:rPr>
      </w:pPr>
      <w:r>
        <w:drawing>
          <wp:inline distT="0" distB="0" distL="114300" distR="114300">
            <wp:extent cx="6238875" cy="8831580"/>
            <wp:effectExtent l="0" t="0" r="9525"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6238875" cy="8831580"/>
                    </a:xfrm>
                    <a:prstGeom prst="rect">
                      <a:avLst/>
                    </a:prstGeom>
                    <a:noFill/>
                    <a:ln>
                      <a:noFill/>
                    </a:ln>
                  </pic:spPr>
                </pic:pic>
              </a:graphicData>
            </a:graphic>
          </wp:inline>
        </w:drawing>
      </w:r>
    </w:p>
    <w:p>
      <w:pPr>
        <w:pStyle w:val="10"/>
        <w:rPr>
          <w:rFonts w:hint="eastAsia" w:eastAsia="仿宋"/>
          <w:sz w:val="20"/>
          <w:lang w:eastAsia="zh-CN"/>
        </w:rPr>
      </w:pPr>
    </w:p>
    <w:p>
      <w:pPr>
        <w:pStyle w:val="10"/>
        <w:rPr>
          <w:rFonts w:hint="eastAsia" w:eastAsia="仿宋"/>
          <w:sz w:val="20"/>
          <w:lang w:eastAsia="zh-CN"/>
        </w:rPr>
      </w:pPr>
    </w:p>
    <w:p>
      <w:pPr>
        <w:pStyle w:val="10"/>
        <w:rPr>
          <w:rFonts w:hint="eastAsia" w:eastAsia="仿宋"/>
          <w:sz w:val="20"/>
          <w:lang w:eastAsia="zh-CN"/>
        </w:rPr>
        <w:sectPr>
          <w:pgSz w:w="11910" w:h="16840"/>
          <w:pgMar w:top="1540" w:right="1040" w:bottom="880" w:left="1040" w:header="0" w:footer="683" w:gutter="0"/>
          <w:pgBorders>
            <w:top w:val="none" w:sz="0" w:space="0"/>
            <w:left w:val="none" w:sz="0" w:space="0"/>
            <w:bottom w:val="none" w:sz="0" w:space="0"/>
            <w:right w:val="none" w:sz="0" w:space="0"/>
          </w:pgBorders>
          <w:pgNumType w:fmt="decimal"/>
        </w:sectPr>
      </w:pPr>
      <w:r>
        <w:drawing>
          <wp:inline distT="0" distB="0" distL="114300" distR="114300">
            <wp:extent cx="6229350" cy="868680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6229350" cy="8686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98" w:firstLineChars="200"/>
        <w:jc w:val="left"/>
        <w:textAlignment w:val="auto"/>
        <w:rPr>
          <w:rFonts w:hint="eastAsia" w:ascii="宋体" w:hAnsi="宋体" w:eastAsia="宋体" w:cs="宋体"/>
          <w:b/>
          <w:sz w:val="24"/>
        </w:rPr>
      </w:pPr>
      <w:bookmarkStart w:id="208" w:name="附件3工况证明"/>
      <w:bookmarkEnd w:id="208"/>
      <w:bookmarkStart w:id="209" w:name="_bookmark39"/>
      <w:bookmarkEnd w:id="209"/>
      <w:r>
        <w:rPr>
          <w:rFonts w:hint="eastAsia" w:ascii="宋体" w:hAnsi="宋体" w:eastAsia="宋体" w:cs="宋体"/>
          <w:b/>
          <w:spacing w:val="-21"/>
          <w:sz w:val="24"/>
        </w:rPr>
        <w:t xml:space="preserve">附件 </w:t>
      </w:r>
      <w:r>
        <w:rPr>
          <w:rFonts w:hint="eastAsia" w:ascii="宋体" w:hAnsi="宋体" w:eastAsia="宋体" w:cs="宋体"/>
          <w:b/>
          <w:sz w:val="24"/>
        </w:rPr>
        <w:t xml:space="preserve">3 </w:t>
      </w:r>
      <w:r>
        <w:rPr>
          <w:rFonts w:hint="eastAsia" w:ascii="宋体" w:hAnsi="宋体" w:eastAsia="宋体" w:cs="宋体"/>
          <w:b/>
          <w:spacing w:val="-5"/>
          <w:sz w:val="24"/>
        </w:rPr>
        <w:t>工况证明</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ascii="宋体" w:hAnsi="宋体" w:eastAsia="宋体" w:cs="宋体"/>
          <w:b/>
          <w:sz w:val="42"/>
        </w:rPr>
      </w:pPr>
      <w:r>
        <w:rPr>
          <w:rFonts w:hint="eastAsia" w:ascii="宋体" w:hAnsi="宋体" w:eastAsia="宋体" w:cs="宋体"/>
        </w:rPr>
        <w:br w:type="column"/>
      </w:r>
    </w:p>
    <w:p>
      <w:pPr>
        <w:spacing w:before="0"/>
        <w:ind w:left="629" w:right="0" w:firstLine="0"/>
        <w:jc w:val="left"/>
        <w:rPr>
          <w:rFonts w:hint="eastAsia" w:ascii="宋体" w:eastAsia="宋体"/>
          <w:sz w:val="36"/>
        </w:rPr>
      </w:pPr>
      <w:r>
        <w:rPr>
          <w:rFonts w:hint="eastAsia" w:ascii="宋体" w:eastAsia="宋体"/>
          <w:sz w:val="36"/>
        </w:rPr>
        <w:t>验收监测期间生产工况说明</w:t>
      </w:r>
    </w:p>
    <w:p>
      <w:pPr>
        <w:spacing w:after="0"/>
        <w:jc w:val="left"/>
        <w:rPr>
          <w:rFonts w:hint="eastAsia" w:ascii="宋体" w:eastAsia="宋体"/>
          <w:sz w:val="36"/>
        </w:rPr>
        <w:sectPr>
          <w:pgSz w:w="11910" w:h="16840"/>
          <w:pgMar w:top="1460" w:right="1040" w:bottom="880" w:left="1040" w:header="0" w:footer="683" w:gutter="0"/>
          <w:pgBorders>
            <w:top w:val="none" w:sz="0" w:space="0"/>
            <w:left w:val="none" w:sz="0" w:space="0"/>
            <w:bottom w:val="none" w:sz="0" w:space="0"/>
            <w:right w:val="none" w:sz="0" w:space="0"/>
          </w:pgBorders>
          <w:pgNumType w:fmt="decimal"/>
          <w:cols w:equalWidth="0" w:num="2">
            <w:col w:w="2443" w:space="40"/>
            <w:col w:w="7347"/>
          </w:cols>
        </w:sectPr>
      </w:pPr>
    </w:p>
    <w:p>
      <w:pPr>
        <w:pStyle w:val="7"/>
        <w:spacing w:before="1"/>
        <w:rPr>
          <w:rFonts w:ascii="宋体"/>
          <w:sz w:val="14"/>
        </w:rPr>
      </w:pPr>
    </w:p>
    <w:p>
      <w:pPr>
        <w:spacing w:before="62"/>
        <w:ind w:left="1319" w:right="0" w:firstLine="0"/>
        <w:jc w:val="left"/>
        <w:rPr>
          <w:rFonts w:hint="eastAsia" w:ascii="宋体" w:eastAsia="宋体"/>
          <w:sz w:val="28"/>
        </w:rPr>
      </w:pPr>
      <w:r>
        <w:rPr>
          <w:rFonts w:hint="eastAsia" w:ascii="宋体" w:eastAsia="宋体"/>
          <w:sz w:val="28"/>
        </w:rPr>
        <w:t>江西</w:t>
      </w:r>
      <w:r>
        <w:rPr>
          <w:rFonts w:hint="eastAsia" w:ascii="宋体" w:eastAsia="宋体"/>
          <w:sz w:val="28"/>
          <w:lang w:eastAsia="zh-CN"/>
        </w:rPr>
        <w:t>中明环境检测</w:t>
      </w:r>
      <w:r>
        <w:rPr>
          <w:rFonts w:hint="eastAsia" w:ascii="宋体" w:eastAsia="宋体"/>
          <w:sz w:val="28"/>
        </w:rPr>
        <w:t>有限公司：</w:t>
      </w:r>
    </w:p>
    <w:p>
      <w:pPr>
        <w:pStyle w:val="7"/>
        <w:spacing w:before="12"/>
        <w:rPr>
          <w:rFonts w:ascii="宋体"/>
          <w:sz w:val="22"/>
        </w:rPr>
      </w:pPr>
    </w:p>
    <w:p>
      <w:pPr>
        <w:spacing w:before="0"/>
        <w:ind w:left="1319" w:right="0" w:firstLine="0"/>
        <w:jc w:val="left"/>
        <w:rPr>
          <w:rFonts w:hint="eastAsia" w:ascii="宋体" w:eastAsia="宋体"/>
          <w:sz w:val="28"/>
        </w:rPr>
      </w:pPr>
      <w:r>
        <w:rPr>
          <w:rFonts w:hint="eastAsia" w:ascii="宋体" w:eastAsia="宋体"/>
          <w:sz w:val="28"/>
        </w:rPr>
        <w:t>我单位对监测期间生产工况说明做如下说明：</w:t>
      </w:r>
    </w:p>
    <w:p>
      <w:pPr>
        <w:pStyle w:val="7"/>
        <w:rPr>
          <w:rFonts w:ascii="宋体"/>
          <w:sz w:val="28"/>
        </w:rPr>
      </w:pPr>
    </w:p>
    <w:p>
      <w:pPr>
        <w:pStyle w:val="7"/>
        <w:rPr>
          <w:rFonts w:ascii="宋体"/>
          <w:sz w:val="28"/>
        </w:rPr>
      </w:pPr>
    </w:p>
    <w:p>
      <w:pPr>
        <w:spacing w:before="227"/>
        <w:ind w:left="4470" w:right="3913" w:firstLine="0"/>
        <w:jc w:val="center"/>
        <w:rPr>
          <w:rFonts w:hint="eastAsia" w:ascii="宋体" w:eastAsia="宋体"/>
          <w:b/>
          <w:sz w:val="28"/>
        </w:rPr>
      </w:pPr>
      <w:r>
        <w:rPr>
          <w:rFonts w:hint="eastAsia" w:ascii="宋体" w:eastAsia="宋体"/>
          <w:b/>
          <w:sz w:val="28"/>
        </w:rPr>
        <w:t>生产负荷表</w:t>
      </w:r>
    </w:p>
    <w:p>
      <w:pPr>
        <w:pStyle w:val="7"/>
        <w:spacing w:before="5"/>
        <w:rPr>
          <w:rFonts w:ascii="宋体"/>
          <w:b/>
          <w:sz w:val="11"/>
        </w:rPr>
      </w:pPr>
    </w:p>
    <w:tbl>
      <w:tblPr>
        <w:tblStyle w:val="16"/>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4"/>
        <w:gridCol w:w="1433"/>
        <w:gridCol w:w="1995"/>
        <w:gridCol w:w="2010"/>
        <w:gridCol w:w="1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2554"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rPr>
            </w:pPr>
            <w:r>
              <w:rPr>
                <w:rFonts w:hint="eastAsia" w:ascii="宋体" w:eastAsia="宋体"/>
                <w:sz w:val="24"/>
                <w:szCs w:val="24"/>
              </w:rPr>
              <w:t>时间</w:t>
            </w:r>
          </w:p>
        </w:tc>
        <w:tc>
          <w:tcPr>
            <w:tcW w:w="1433"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rPr>
            </w:pPr>
            <w:r>
              <w:rPr>
                <w:rFonts w:hint="eastAsia" w:ascii="宋体" w:eastAsia="宋体"/>
                <w:sz w:val="24"/>
                <w:szCs w:val="24"/>
              </w:rPr>
              <w:t>物料名称</w:t>
            </w:r>
          </w:p>
        </w:tc>
        <w:tc>
          <w:tcPr>
            <w:tcW w:w="1995"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rPr>
            </w:pPr>
            <w:r>
              <w:rPr>
                <w:rFonts w:hint="eastAsia" w:ascii="宋体" w:eastAsia="宋体"/>
                <w:sz w:val="24"/>
                <w:szCs w:val="24"/>
              </w:rPr>
              <w:t>设计产量</w:t>
            </w: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pacing w:val="69"/>
                <w:sz w:val="24"/>
                <w:szCs w:val="24"/>
              </w:rPr>
              <w:t>万</w:t>
            </w:r>
            <w:r>
              <w:rPr>
                <w:rFonts w:ascii="Times New Roman" w:hAnsi="Times New Roman" w:eastAsia="Times New Roman"/>
                <w:sz w:val="24"/>
                <w:szCs w:val="24"/>
              </w:rPr>
              <w:t>kw·h/</w:t>
            </w:r>
            <w:r>
              <w:rPr>
                <w:rFonts w:hint="eastAsia" w:ascii="宋体" w:hAnsi="宋体" w:eastAsia="宋体"/>
                <w:spacing w:val="-3"/>
                <w:sz w:val="24"/>
                <w:szCs w:val="24"/>
              </w:rPr>
              <w:t>天</w:t>
            </w:r>
            <w:r>
              <w:rPr>
                <w:rFonts w:hint="eastAsia" w:ascii="宋体" w:hAnsi="宋体" w:eastAsia="宋体"/>
                <w:sz w:val="24"/>
                <w:szCs w:val="24"/>
              </w:rPr>
              <w:t>）</w:t>
            </w:r>
          </w:p>
        </w:tc>
        <w:tc>
          <w:tcPr>
            <w:tcW w:w="2010"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rPr>
            </w:pPr>
            <w:r>
              <w:rPr>
                <w:rFonts w:hint="eastAsia" w:ascii="宋体" w:eastAsia="宋体"/>
                <w:sz w:val="24"/>
                <w:szCs w:val="24"/>
              </w:rPr>
              <w:t>实际产量</w:t>
            </w: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pacing w:val="69"/>
                <w:sz w:val="24"/>
                <w:szCs w:val="24"/>
              </w:rPr>
              <w:t>万</w:t>
            </w:r>
            <w:r>
              <w:rPr>
                <w:rFonts w:ascii="Times New Roman" w:hAnsi="Times New Roman" w:eastAsia="Times New Roman"/>
                <w:sz w:val="24"/>
                <w:szCs w:val="24"/>
              </w:rPr>
              <w:t>kw·h</w:t>
            </w:r>
            <w:r>
              <w:rPr>
                <w:rFonts w:hint="eastAsia" w:ascii="宋体" w:hAnsi="宋体" w:eastAsia="宋体"/>
                <w:sz w:val="24"/>
                <w:szCs w:val="24"/>
              </w:rPr>
              <w:t>/天</w:t>
            </w:r>
            <w:r>
              <w:rPr>
                <w:rFonts w:hint="eastAsia" w:ascii="宋体" w:hAnsi="宋体" w:eastAsia="宋体"/>
                <w:spacing w:val="-13"/>
                <w:sz w:val="24"/>
                <w:szCs w:val="24"/>
              </w:rPr>
              <w:t>）</w:t>
            </w:r>
          </w:p>
        </w:tc>
        <w:tc>
          <w:tcPr>
            <w:tcW w:w="15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rPr>
            </w:pPr>
            <w:r>
              <w:rPr>
                <w:rFonts w:hint="eastAsia" w:ascii="宋体" w:eastAsia="宋体"/>
                <w:sz w:val="24"/>
                <w:szCs w:val="24"/>
              </w:rPr>
              <w:t>生产负荷</w:t>
            </w: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rPr>
            </w:pPr>
            <w:r>
              <w:rPr>
                <w:rFonts w:hint="eastAsia" w:ascii="宋体" w:eastAsia="宋体"/>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trPr>
        <w:tc>
          <w:tcPr>
            <w:tcW w:w="2554"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highlight w:val="none"/>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highlight w:val="none"/>
              </w:rPr>
            </w:pPr>
            <w:r>
              <w:rPr>
                <w:rFonts w:hint="eastAsia" w:ascii="宋体" w:eastAsia="宋体"/>
                <w:sz w:val="24"/>
                <w:szCs w:val="24"/>
                <w:highlight w:val="none"/>
              </w:rPr>
              <w:t>2020</w:t>
            </w:r>
            <w:r>
              <w:rPr>
                <w:rFonts w:hint="eastAsia" w:ascii="宋体" w:eastAsia="宋体"/>
                <w:spacing w:val="-47"/>
                <w:sz w:val="24"/>
                <w:szCs w:val="24"/>
                <w:highlight w:val="none"/>
              </w:rPr>
              <w:t xml:space="preserve"> 年 </w:t>
            </w:r>
            <w:r>
              <w:rPr>
                <w:rFonts w:hint="eastAsia" w:ascii="宋体" w:eastAsia="宋体"/>
                <w:sz w:val="24"/>
                <w:szCs w:val="24"/>
                <w:highlight w:val="none"/>
                <w:lang w:val="en-US" w:eastAsia="zh-CN"/>
              </w:rPr>
              <w:t>09</w:t>
            </w:r>
            <w:r>
              <w:rPr>
                <w:rFonts w:hint="eastAsia" w:ascii="宋体" w:eastAsia="宋体"/>
                <w:spacing w:val="-48"/>
                <w:sz w:val="24"/>
                <w:szCs w:val="24"/>
                <w:highlight w:val="none"/>
              </w:rPr>
              <w:t xml:space="preserve">月 </w:t>
            </w:r>
            <w:r>
              <w:rPr>
                <w:rFonts w:hint="eastAsia" w:ascii="宋体" w:eastAsia="宋体"/>
                <w:sz w:val="24"/>
                <w:szCs w:val="24"/>
                <w:highlight w:val="none"/>
                <w:lang w:val="en-US" w:eastAsia="zh-CN"/>
              </w:rPr>
              <w:t>07</w:t>
            </w:r>
            <w:r>
              <w:rPr>
                <w:rFonts w:hint="eastAsia" w:ascii="宋体" w:eastAsia="宋体"/>
                <w:spacing w:val="-36"/>
                <w:sz w:val="24"/>
                <w:szCs w:val="24"/>
                <w:highlight w:val="none"/>
              </w:rPr>
              <w:t>日</w:t>
            </w:r>
          </w:p>
        </w:tc>
        <w:tc>
          <w:tcPr>
            <w:tcW w:w="1433"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highlight w:val="none"/>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highlight w:val="none"/>
              </w:rPr>
            </w:pPr>
            <w:r>
              <w:rPr>
                <w:rFonts w:hint="eastAsia" w:ascii="宋体" w:eastAsia="宋体"/>
                <w:w w:val="100"/>
                <w:sz w:val="24"/>
                <w:szCs w:val="24"/>
                <w:highlight w:val="none"/>
              </w:rPr>
              <w:t>电</w:t>
            </w:r>
          </w:p>
        </w:tc>
        <w:tc>
          <w:tcPr>
            <w:tcW w:w="1995"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宋体" w:eastAsia="仿宋"/>
                <w:sz w:val="24"/>
                <w:szCs w:val="24"/>
                <w:highlight w:val="none"/>
                <w:lang w:val="en-US" w:eastAsia="zh-CN"/>
              </w:rPr>
            </w:pPr>
            <w:r>
              <w:rPr>
                <w:rFonts w:hint="eastAsia" w:ascii="宋体"/>
                <w:sz w:val="24"/>
                <w:szCs w:val="24"/>
                <w:highlight w:val="none"/>
                <w:lang w:val="en-US" w:eastAsia="zh-CN"/>
              </w:rPr>
              <w:t>1.26</w:t>
            </w:r>
          </w:p>
        </w:tc>
        <w:tc>
          <w:tcPr>
            <w:tcW w:w="2010"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宋体" w:eastAsia="仿宋"/>
                <w:sz w:val="24"/>
                <w:szCs w:val="24"/>
                <w:highlight w:val="none"/>
                <w:lang w:val="en-US" w:eastAsia="zh-CN"/>
              </w:rPr>
            </w:pPr>
            <w:r>
              <w:rPr>
                <w:rFonts w:hint="eastAsia" w:ascii="宋体"/>
                <w:sz w:val="24"/>
                <w:szCs w:val="24"/>
                <w:highlight w:val="none"/>
                <w:lang w:val="en-US" w:eastAsia="zh-CN"/>
              </w:rPr>
              <w:t>1.00</w:t>
            </w:r>
          </w:p>
        </w:tc>
        <w:tc>
          <w:tcPr>
            <w:tcW w:w="15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宋体" w:eastAsia="仿宋"/>
                <w:sz w:val="24"/>
                <w:szCs w:val="24"/>
                <w:highlight w:val="none"/>
                <w:lang w:val="en-US" w:eastAsia="zh-CN"/>
              </w:rPr>
            </w:pPr>
            <w:r>
              <w:rPr>
                <w:rFonts w:hint="eastAsia" w:ascii="宋体"/>
                <w:sz w:val="24"/>
                <w:szCs w:val="24"/>
                <w:highlight w:val="none"/>
                <w:lang w:val="en-US" w:eastAsia="zh-CN"/>
              </w:rPr>
              <w:t>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2554"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highlight w:val="none"/>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highlight w:val="none"/>
              </w:rPr>
            </w:pPr>
            <w:r>
              <w:rPr>
                <w:rFonts w:hint="eastAsia" w:ascii="宋体" w:eastAsia="宋体"/>
                <w:spacing w:val="0"/>
                <w:sz w:val="24"/>
                <w:szCs w:val="24"/>
                <w:highlight w:val="none"/>
              </w:rPr>
              <w:t>2020年</w:t>
            </w:r>
            <w:r>
              <w:rPr>
                <w:rFonts w:hint="eastAsia" w:ascii="宋体" w:eastAsia="宋体"/>
                <w:spacing w:val="0"/>
                <w:sz w:val="24"/>
                <w:szCs w:val="24"/>
                <w:highlight w:val="none"/>
                <w:lang w:val="en-US" w:eastAsia="zh-CN"/>
              </w:rPr>
              <w:t>09</w:t>
            </w:r>
            <w:r>
              <w:rPr>
                <w:rFonts w:hint="eastAsia" w:ascii="宋体" w:eastAsia="宋体"/>
                <w:spacing w:val="0"/>
                <w:sz w:val="24"/>
                <w:szCs w:val="24"/>
                <w:highlight w:val="none"/>
              </w:rPr>
              <w:t>月</w:t>
            </w:r>
            <w:r>
              <w:rPr>
                <w:rFonts w:hint="eastAsia" w:ascii="宋体" w:eastAsia="宋体"/>
                <w:spacing w:val="0"/>
                <w:sz w:val="24"/>
                <w:szCs w:val="24"/>
                <w:highlight w:val="none"/>
                <w:lang w:val="en-US" w:eastAsia="zh-CN"/>
              </w:rPr>
              <w:t>08</w:t>
            </w:r>
            <w:r>
              <w:rPr>
                <w:rFonts w:hint="eastAsia" w:ascii="宋体" w:eastAsia="宋体"/>
                <w:spacing w:val="0"/>
                <w:sz w:val="24"/>
                <w:szCs w:val="24"/>
                <w:highlight w:val="none"/>
              </w:rPr>
              <w:t>日</w:t>
            </w:r>
          </w:p>
        </w:tc>
        <w:tc>
          <w:tcPr>
            <w:tcW w:w="1433"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宋体"/>
                <w:b/>
                <w:sz w:val="24"/>
                <w:szCs w:val="24"/>
                <w:highlight w:val="none"/>
              </w:rPr>
            </w:pPr>
          </w:p>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eastAsia="宋体"/>
                <w:sz w:val="24"/>
                <w:szCs w:val="24"/>
                <w:highlight w:val="none"/>
              </w:rPr>
            </w:pPr>
            <w:r>
              <w:rPr>
                <w:rFonts w:hint="eastAsia" w:ascii="宋体" w:eastAsia="宋体"/>
                <w:w w:val="100"/>
                <w:sz w:val="24"/>
                <w:szCs w:val="24"/>
                <w:highlight w:val="none"/>
              </w:rPr>
              <w:t>电</w:t>
            </w:r>
          </w:p>
        </w:tc>
        <w:tc>
          <w:tcPr>
            <w:tcW w:w="1995"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宋体" w:eastAsia="仿宋"/>
                <w:sz w:val="24"/>
                <w:szCs w:val="24"/>
                <w:highlight w:val="none"/>
                <w:lang w:val="en-US" w:eastAsia="zh-CN"/>
              </w:rPr>
            </w:pPr>
            <w:r>
              <w:rPr>
                <w:rFonts w:hint="eastAsia" w:ascii="宋体"/>
                <w:sz w:val="24"/>
                <w:szCs w:val="24"/>
                <w:highlight w:val="none"/>
                <w:lang w:val="en-US" w:eastAsia="zh-CN"/>
              </w:rPr>
              <w:t>1.26</w:t>
            </w:r>
          </w:p>
        </w:tc>
        <w:tc>
          <w:tcPr>
            <w:tcW w:w="2010"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宋体" w:eastAsia="仿宋"/>
                <w:sz w:val="24"/>
                <w:szCs w:val="24"/>
                <w:highlight w:val="none"/>
                <w:lang w:val="en-US" w:eastAsia="zh-CN"/>
              </w:rPr>
            </w:pPr>
            <w:r>
              <w:rPr>
                <w:rFonts w:hint="eastAsia" w:ascii="宋体"/>
                <w:sz w:val="24"/>
                <w:szCs w:val="24"/>
                <w:highlight w:val="none"/>
                <w:lang w:val="en-US" w:eastAsia="zh-CN"/>
              </w:rPr>
              <w:t>1.00</w:t>
            </w:r>
          </w:p>
        </w:tc>
        <w:tc>
          <w:tcPr>
            <w:tcW w:w="1588" w:type="dxa"/>
            <w:vAlign w:val="center"/>
          </w:tcPr>
          <w:p>
            <w:pPr>
              <w:pStyle w:val="21"/>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宋体" w:eastAsia="仿宋"/>
                <w:sz w:val="24"/>
                <w:szCs w:val="24"/>
                <w:highlight w:val="none"/>
                <w:lang w:val="en-US" w:eastAsia="zh-CN"/>
              </w:rPr>
            </w:pPr>
            <w:r>
              <w:rPr>
                <w:rFonts w:hint="eastAsia" w:ascii="宋体"/>
                <w:sz w:val="24"/>
                <w:szCs w:val="24"/>
                <w:highlight w:val="none"/>
                <w:lang w:val="en-US" w:eastAsia="zh-CN"/>
              </w:rPr>
              <w:t>79.4</w:t>
            </w:r>
          </w:p>
        </w:tc>
      </w:tr>
    </w:tbl>
    <w:p>
      <w:pPr>
        <w:pStyle w:val="7"/>
        <w:rPr>
          <w:rFonts w:ascii="宋体"/>
          <w:b/>
          <w:sz w:val="28"/>
        </w:rPr>
      </w:pPr>
    </w:p>
    <w:p>
      <w:pPr>
        <w:pStyle w:val="7"/>
        <w:rPr>
          <w:rFonts w:ascii="宋体"/>
          <w:b/>
          <w:sz w:val="28"/>
        </w:rPr>
      </w:pPr>
    </w:p>
    <w:p>
      <w:pPr>
        <w:pStyle w:val="7"/>
        <w:rPr>
          <w:rFonts w:ascii="宋体"/>
          <w:b/>
          <w:sz w:val="28"/>
        </w:rPr>
      </w:pPr>
    </w:p>
    <w:p>
      <w:pPr>
        <w:pStyle w:val="7"/>
        <w:rPr>
          <w:rFonts w:ascii="宋体"/>
          <w:b/>
          <w:sz w:val="28"/>
        </w:rPr>
      </w:pPr>
    </w:p>
    <w:p>
      <w:pPr>
        <w:pStyle w:val="7"/>
        <w:rPr>
          <w:rFonts w:ascii="宋体"/>
          <w:b/>
          <w:sz w:val="28"/>
        </w:rPr>
      </w:pPr>
    </w:p>
    <w:p>
      <w:pPr>
        <w:pStyle w:val="7"/>
        <w:rPr>
          <w:rFonts w:ascii="宋体"/>
          <w:b/>
          <w:sz w:val="28"/>
        </w:rPr>
      </w:pPr>
    </w:p>
    <w:p>
      <w:pPr>
        <w:pStyle w:val="7"/>
        <w:spacing w:before="8"/>
        <w:rPr>
          <w:rFonts w:ascii="宋体"/>
          <w:b/>
          <w:sz w:val="21"/>
        </w:rPr>
      </w:pPr>
    </w:p>
    <w:p>
      <w:pPr>
        <w:spacing w:before="0"/>
        <w:ind w:left="5893" w:right="0" w:firstLine="0"/>
        <w:jc w:val="left"/>
        <w:rPr>
          <w:rFonts w:hint="eastAsia" w:ascii="宋体" w:eastAsia="宋体"/>
          <w:sz w:val="28"/>
          <w:highlight w:val="yellow"/>
        </w:rPr>
      </w:pPr>
      <w:r>
        <w:rPr>
          <w:rFonts w:hint="eastAsia" w:ascii="宋体" w:eastAsia="宋体"/>
          <w:sz w:val="28"/>
        </w:rPr>
        <w:t>日期：</w:t>
      </w:r>
      <w:r>
        <w:rPr>
          <w:rFonts w:hint="eastAsia" w:ascii="宋体" w:eastAsia="宋体"/>
          <w:sz w:val="28"/>
          <w:highlight w:val="none"/>
        </w:rPr>
        <w:t>2020.0</w:t>
      </w:r>
      <w:r>
        <w:rPr>
          <w:rFonts w:hint="eastAsia" w:ascii="宋体" w:eastAsia="宋体"/>
          <w:sz w:val="28"/>
          <w:highlight w:val="none"/>
          <w:lang w:val="en-US" w:eastAsia="zh-CN"/>
        </w:rPr>
        <w:t>9</w:t>
      </w:r>
      <w:r>
        <w:rPr>
          <w:rFonts w:hint="eastAsia" w:ascii="宋体" w:eastAsia="宋体"/>
          <w:sz w:val="28"/>
          <w:highlight w:val="none"/>
        </w:rPr>
        <w:t>.13</w:t>
      </w:r>
    </w:p>
    <w:p>
      <w:pPr>
        <w:pStyle w:val="7"/>
        <w:spacing w:before="10"/>
        <w:rPr>
          <w:rFonts w:ascii="宋体"/>
          <w:sz w:val="22"/>
        </w:rPr>
      </w:pPr>
    </w:p>
    <w:p>
      <w:pPr>
        <w:spacing w:before="0"/>
        <w:ind w:left="6313" w:right="0" w:firstLine="0"/>
        <w:jc w:val="left"/>
        <w:rPr>
          <w:rFonts w:hint="eastAsia" w:ascii="宋体" w:eastAsia="宋体"/>
          <w:sz w:val="28"/>
        </w:rPr>
      </w:pPr>
      <w:r>
        <w:rPr>
          <w:rFonts w:hint="eastAsia" w:ascii="宋体" w:eastAsia="宋体"/>
          <w:sz w:val="28"/>
        </w:rPr>
        <w:t>（建设单位盖章）</w:t>
      </w:r>
    </w:p>
    <w:p>
      <w:pPr>
        <w:spacing w:after="0"/>
        <w:jc w:val="left"/>
        <w:rPr>
          <w:rFonts w:hint="eastAsia" w:ascii="宋体" w:eastAsia="宋体"/>
          <w:sz w:val="28"/>
        </w:rPr>
        <w:sectPr>
          <w:type w:val="continuous"/>
          <w:pgSz w:w="11910" w:h="16840"/>
          <w:pgMar w:top="1580" w:right="1040" w:bottom="280" w:left="1040" w:header="720" w:footer="720" w:gutter="0"/>
          <w:pgBorders>
            <w:top w:val="none" w:sz="0" w:space="0"/>
            <w:left w:val="none" w:sz="0" w:space="0"/>
            <w:bottom w:val="none" w:sz="0" w:space="0"/>
            <w:right w:val="none" w:sz="0" w:space="0"/>
          </w:pgBorders>
          <w:pgNumType w:fmt="decimal"/>
        </w:sect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pPr>
      <w:bookmarkStart w:id="210" w:name="附件4检测报告"/>
      <w:bookmarkEnd w:id="210"/>
      <w:bookmarkStart w:id="211" w:name="_bookmark40"/>
      <w:bookmarkEnd w:id="211"/>
      <w:r>
        <w:rPr>
          <w:rFonts w:hint="eastAsia" w:eastAsia="仿宋"/>
          <w:lang w:eastAsia="zh-CN"/>
        </w:rPr>
        <w:drawing>
          <wp:anchor distT="0" distB="0" distL="114300" distR="114300" simplePos="0" relativeHeight="251675648" behindDoc="0" locked="0" layoutInCell="1" allowOverlap="1">
            <wp:simplePos x="0" y="0"/>
            <wp:positionH relativeFrom="column">
              <wp:posOffset>-29845</wp:posOffset>
            </wp:positionH>
            <wp:positionV relativeFrom="paragraph">
              <wp:posOffset>262255</wp:posOffset>
            </wp:positionV>
            <wp:extent cx="6233795" cy="8808085"/>
            <wp:effectExtent l="0" t="0" r="14605" b="12065"/>
            <wp:wrapNone/>
            <wp:docPr id="2" name="图片 2" descr="9b39d7e92133f18803c532c4f532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39d7e92133f18803c532c4f532b48"/>
                    <pic:cNvPicPr>
                      <a:picLocks noChangeAspect="1"/>
                    </pic:cNvPicPr>
                  </pic:nvPicPr>
                  <pic:blipFill>
                    <a:blip r:embed="rId23"/>
                    <a:stretch>
                      <a:fillRect/>
                    </a:stretch>
                  </pic:blipFill>
                  <pic:spPr>
                    <a:xfrm>
                      <a:off x="0" y="0"/>
                      <a:ext cx="6233795" cy="8808085"/>
                    </a:xfrm>
                    <a:prstGeom prst="rect">
                      <a:avLst/>
                    </a:prstGeom>
                  </pic:spPr>
                </pic:pic>
              </a:graphicData>
            </a:graphic>
          </wp:anchor>
        </w:drawing>
      </w:r>
      <w:r>
        <w:rPr>
          <w:rFonts w:hint="eastAsia" w:ascii="宋体" w:hAnsi="宋体" w:eastAsia="宋体" w:cs="宋体"/>
          <w:b/>
          <w:sz w:val="24"/>
        </w:rPr>
        <w:t>附件 4 检测报</w:t>
      </w:r>
      <w:r>
        <w:rPr>
          <w:rFonts w:hint="eastAsia" w:ascii="宋体" w:hAnsi="宋体" w:eastAsia="宋体" w:cs="宋体"/>
          <w:b/>
          <w:sz w:val="24"/>
          <w:lang w:eastAsia="zh-CN"/>
        </w:rPr>
        <w:t>告</w:t>
      </w:r>
      <w:r>
        <w:rPr>
          <w:rFonts w:hint="eastAsia"/>
          <w:b/>
          <w:sz w:val="24"/>
          <w:lang w:eastAsia="zh-CN"/>
        </w:rPr>
        <w:br w:type="textWrapping"/>
      </w:r>
      <w:bookmarkStart w:id="212" w:name="_bookmark41"/>
      <w:bookmarkEnd w:id="212"/>
    </w:p>
    <w:p/>
    <w:p>
      <w:pPr>
        <w:pStyle w:val="9"/>
        <w:rPr>
          <w:rFonts w:hint="eastAsia" w:eastAsia="仿宋"/>
          <w:lang w:eastAsia="zh-CN"/>
        </w:rPr>
        <w:sectPr>
          <w:footerReference r:id="rId13" w:type="default"/>
          <w:pgSz w:w="11910" w:h="16840"/>
          <w:pgMar w:top="1440" w:right="1040" w:bottom="880" w:left="1040" w:header="0" w:footer="683" w:gutter="0"/>
          <w:pgBorders>
            <w:top w:val="none" w:sz="0" w:space="0"/>
            <w:left w:val="none" w:sz="0" w:space="0"/>
            <w:bottom w:val="none" w:sz="0" w:space="0"/>
            <w:right w:val="none" w:sz="0" w:space="0"/>
          </w:pgBorders>
          <w:pgNumType w:fmt="decimal"/>
        </w:sectPr>
      </w:pPr>
    </w:p>
    <w:p>
      <w:pPr>
        <w:rPr>
          <w:rFonts w:hint="eastAsia" w:eastAsia="仿宋"/>
          <w:lang w:eastAsia="zh-CN"/>
        </w:rPr>
      </w:pPr>
      <w:r>
        <w:rPr>
          <w:rFonts w:hint="eastAsia" w:eastAsia="仿宋"/>
          <w:lang w:eastAsia="zh-CN"/>
        </w:rPr>
        <w:drawing>
          <wp:anchor distT="0" distB="0" distL="114300" distR="114300" simplePos="0" relativeHeight="251676672" behindDoc="0" locked="0" layoutInCell="1" allowOverlap="1">
            <wp:simplePos x="0" y="0"/>
            <wp:positionH relativeFrom="column">
              <wp:posOffset>22860</wp:posOffset>
            </wp:positionH>
            <wp:positionV relativeFrom="paragraph">
              <wp:posOffset>-38735</wp:posOffset>
            </wp:positionV>
            <wp:extent cx="6233795" cy="8808085"/>
            <wp:effectExtent l="0" t="0" r="14605" b="12065"/>
            <wp:wrapNone/>
            <wp:docPr id="16" name="图片 16" descr="4cfa62a8579cd9891587cd913414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fa62a8579cd9891587cd913414c51"/>
                    <pic:cNvPicPr>
                      <a:picLocks noChangeAspect="1"/>
                    </pic:cNvPicPr>
                  </pic:nvPicPr>
                  <pic:blipFill>
                    <a:blip r:embed="rId24"/>
                    <a:stretch>
                      <a:fillRect/>
                    </a:stretch>
                  </pic:blipFill>
                  <pic:spPr>
                    <a:xfrm>
                      <a:off x="0" y="0"/>
                      <a:ext cx="6233795" cy="8808085"/>
                    </a:xfrm>
                    <a:prstGeom prst="rect">
                      <a:avLst/>
                    </a:prstGeom>
                  </pic:spPr>
                </pic:pic>
              </a:graphicData>
            </a:graphic>
          </wp:anchor>
        </w:drawing>
      </w:r>
      <w:r>
        <w:rPr>
          <w:rFonts w:hint="eastAsia" w:eastAsia="仿宋"/>
          <w:lang w:eastAsia="zh-CN"/>
        </w:rPr>
        <w:br w:type="page"/>
      </w:r>
    </w:p>
    <w:p>
      <w:pPr>
        <w:rPr>
          <w:rFonts w:hint="eastAsia" w:eastAsia="仿宋"/>
          <w:lang w:eastAsia="zh-CN"/>
        </w:rPr>
      </w:pPr>
      <w:r>
        <w:rPr>
          <w:rFonts w:hint="eastAsia" w:eastAsia="仿宋"/>
          <w:lang w:eastAsia="zh-CN"/>
        </w:rPr>
        <w:drawing>
          <wp:anchor distT="0" distB="0" distL="114300" distR="114300" simplePos="0" relativeHeight="251677696" behindDoc="0" locked="0" layoutInCell="1" allowOverlap="1">
            <wp:simplePos x="0" y="0"/>
            <wp:positionH relativeFrom="column">
              <wp:posOffset>-19050</wp:posOffset>
            </wp:positionH>
            <wp:positionV relativeFrom="paragraph">
              <wp:posOffset>45085</wp:posOffset>
            </wp:positionV>
            <wp:extent cx="6233795" cy="8808085"/>
            <wp:effectExtent l="0" t="0" r="14605" b="12065"/>
            <wp:wrapNone/>
            <wp:docPr id="17" name="图片 17" descr="91826869c09e71502ef15a685f8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826869c09e71502ef15a685f81431"/>
                    <pic:cNvPicPr>
                      <a:picLocks noChangeAspect="1"/>
                    </pic:cNvPicPr>
                  </pic:nvPicPr>
                  <pic:blipFill>
                    <a:blip r:embed="rId25"/>
                    <a:stretch>
                      <a:fillRect/>
                    </a:stretch>
                  </pic:blipFill>
                  <pic:spPr>
                    <a:xfrm>
                      <a:off x="0" y="0"/>
                      <a:ext cx="6233795" cy="8808085"/>
                    </a:xfrm>
                    <a:prstGeom prst="rect">
                      <a:avLst/>
                    </a:prstGeom>
                  </pic:spPr>
                </pic:pic>
              </a:graphicData>
            </a:graphic>
          </wp:anchor>
        </w:drawing>
      </w:r>
      <w:r>
        <w:rPr>
          <w:rFonts w:hint="eastAsia" w:eastAsia="仿宋"/>
          <w:lang w:eastAsia="zh-CN"/>
        </w:rPr>
        <w:br w:type="page"/>
      </w:r>
    </w:p>
    <w:p>
      <w:pPr>
        <w:pStyle w:val="9"/>
        <w:rPr>
          <w:rFonts w:hint="eastAsia" w:eastAsia="仿宋"/>
          <w:lang w:eastAsia="zh-CN"/>
        </w:rPr>
      </w:pPr>
      <w:r>
        <w:rPr>
          <w:rFonts w:hint="eastAsia" w:eastAsia="仿宋"/>
          <w:lang w:eastAsia="zh-CN"/>
        </w:rPr>
        <w:drawing>
          <wp:anchor distT="0" distB="0" distL="114300" distR="114300" simplePos="0" relativeHeight="251678720" behindDoc="0" locked="0" layoutInCell="1" allowOverlap="1">
            <wp:simplePos x="0" y="0"/>
            <wp:positionH relativeFrom="column">
              <wp:posOffset>-29845</wp:posOffset>
            </wp:positionH>
            <wp:positionV relativeFrom="paragraph">
              <wp:posOffset>20955</wp:posOffset>
            </wp:positionV>
            <wp:extent cx="6233795" cy="8808085"/>
            <wp:effectExtent l="0" t="0" r="14605" b="12065"/>
            <wp:wrapNone/>
            <wp:docPr id="18" name="图片 18" descr="1fb2d85aea3c063bc055686fbd8a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fb2d85aea3c063bc055686fbd8a631"/>
                    <pic:cNvPicPr>
                      <a:picLocks noChangeAspect="1"/>
                    </pic:cNvPicPr>
                  </pic:nvPicPr>
                  <pic:blipFill>
                    <a:blip r:embed="rId26"/>
                    <a:stretch>
                      <a:fillRect/>
                    </a:stretch>
                  </pic:blipFill>
                  <pic:spPr>
                    <a:xfrm>
                      <a:off x="0" y="0"/>
                      <a:ext cx="6233795" cy="8808085"/>
                    </a:xfrm>
                    <a:prstGeom prst="rect">
                      <a:avLst/>
                    </a:prstGeom>
                  </pic:spPr>
                </pic:pic>
              </a:graphicData>
            </a:graphic>
          </wp:anchor>
        </w:drawing>
      </w:r>
    </w:p>
    <w:p>
      <w:pPr>
        <w:rPr>
          <w:rFonts w:hint="eastAsia" w:eastAsia="仿宋"/>
          <w:lang w:eastAsia="zh-CN"/>
        </w:rPr>
      </w:pPr>
      <w:r>
        <w:rPr>
          <w:rFonts w:hint="eastAsia" w:eastAsia="仿宋"/>
          <w:lang w:eastAsia="zh-CN"/>
        </w:rPr>
        <w:br w:type="page"/>
      </w:r>
    </w:p>
    <w:p>
      <w:pPr>
        <w:pStyle w:val="9"/>
        <w:rPr>
          <w:rFonts w:hint="eastAsia" w:eastAsia="仿宋"/>
          <w:lang w:eastAsia="zh-CN"/>
        </w:rPr>
        <w:sectPr>
          <w:pgSz w:w="11910" w:h="16840"/>
          <w:pgMar w:top="1440" w:right="1040" w:bottom="880" w:left="1040" w:header="0" w:footer="683" w:gutter="0"/>
          <w:pgBorders>
            <w:top w:val="none" w:sz="0" w:space="0"/>
            <w:left w:val="none" w:sz="0" w:space="0"/>
            <w:bottom w:val="none" w:sz="0" w:space="0"/>
            <w:right w:val="none" w:sz="0" w:space="0"/>
          </w:pgBorders>
          <w:pgNumType w:fmt="decimal"/>
        </w:sectPr>
      </w:pPr>
      <w:r>
        <w:rPr>
          <w:rFonts w:hint="eastAsia" w:eastAsia="仿宋"/>
          <w:lang w:eastAsia="zh-CN"/>
        </w:rPr>
        <w:drawing>
          <wp:anchor distT="0" distB="0" distL="114300" distR="114300" simplePos="0" relativeHeight="251679744" behindDoc="0" locked="0" layoutInCell="1" allowOverlap="1">
            <wp:simplePos x="0" y="0"/>
            <wp:positionH relativeFrom="column">
              <wp:posOffset>1905</wp:posOffset>
            </wp:positionH>
            <wp:positionV relativeFrom="paragraph">
              <wp:posOffset>-635</wp:posOffset>
            </wp:positionV>
            <wp:extent cx="6233795" cy="8808085"/>
            <wp:effectExtent l="0" t="0" r="14605" b="12065"/>
            <wp:wrapNone/>
            <wp:docPr id="19" name="图片 19" descr="7e5902184fe4194b6d55862f0a1c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e5902184fe4194b6d55862f0a1c564"/>
                    <pic:cNvPicPr>
                      <a:picLocks noChangeAspect="1"/>
                    </pic:cNvPicPr>
                  </pic:nvPicPr>
                  <pic:blipFill>
                    <a:blip r:embed="rId27"/>
                    <a:stretch>
                      <a:fillRect/>
                    </a:stretch>
                  </pic:blipFill>
                  <pic:spPr>
                    <a:xfrm>
                      <a:off x="0" y="0"/>
                      <a:ext cx="6233795" cy="8808085"/>
                    </a:xfrm>
                    <a:prstGeom prst="rect">
                      <a:avLst/>
                    </a:prstGeom>
                  </pic:spPr>
                </pic:pic>
              </a:graphicData>
            </a:graphic>
          </wp:anchor>
        </w:drawing>
      </w:r>
    </w:p>
    <w:p>
      <w:pPr>
        <w:pStyle w:val="9"/>
        <w:rPr>
          <w:rFonts w:hint="eastAsia" w:eastAsia="仿宋"/>
          <w:lang w:eastAsia="zh-CN"/>
        </w:rPr>
      </w:pPr>
      <w:r>
        <w:rPr>
          <w:rFonts w:hint="eastAsia" w:eastAsia="仿宋"/>
          <w:lang w:eastAsia="zh-CN"/>
        </w:rPr>
        <w:drawing>
          <wp:anchor distT="0" distB="0" distL="114300" distR="114300" simplePos="0" relativeHeight="251680768" behindDoc="0" locked="0" layoutInCell="1" allowOverlap="1">
            <wp:simplePos x="0" y="0"/>
            <wp:positionH relativeFrom="column">
              <wp:posOffset>-8890</wp:posOffset>
            </wp:positionH>
            <wp:positionV relativeFrom="paragraph">
              <wp:posOffset>30480</wp:posOffset>
            </wp:positionV>
            <wp:extent cx="6233795" cy="8808085"/>
            <wp:effectExtent l="0" t="0" r="14605" b="12065"/>
            <wp:wrapNone/>
            <wp:docPr id="20" name="图片 20" descr="29ae24175cfab2196610ee8ead84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9ae24175cfab2196610ee8ead84fc9"/>
                    <pic:cNvPicPr>
                      <a:picLocks noChangeAspect="1"/>
                    </pic:cNvPicPr>
                  </pic:nvPicPr>
                  <pic:blipFill>
                    <a:blip r:embed="rId28"/>
                    <a:stretch>
                      <a:fillRect/>
                    </a:stretch>
                  </pic:blipFill>
                  <pic:spPr>
                    <a:xfrm>
                      <a:off x="0" y="0"/>
                      <a:ext cx="6233795" cy="8808085"/>
                    </a:xfrm>
                    <a:prstGeom prst="rect">
                      <a:avLst/>
                    </a:prstGeom>
                  </pic:spPr>
                </pic:pic>
              </a:graphicData>
            </a:graphic>
          </wp:anchor>
        </w:drawing>
      </w:r>
    </w:p>
    <w:p>
      <w:pPr>
        <w:rPr>
          <w:rFonts w:hint="eastAsia" w:eastAsia="仿宋"/>
          <w:lang w:eastAsia="zh-CN"/>
        </w:rPr>
      </w:pPr>
      <w:r>
        <w:rPr>
          <w:rFonts w:hint="eastAsia" w:eastAsia="仿宋"/>
          <w:lang w:eastAsia="zh-CN"/>
        </w:rPr>
        <w:br w:type="page"/>
      </w:r>
    </w:p>
    <w:p>
      <w:pPr>
        <w:pStyle w:val="9"/>
        <w:rPr>
          <w:rFonts w:hint="eastAsia" w:eastAsia="仿宋"/>
          <w:lang w:eastAsia="zh-CN"/>
        </w:rPr>
        <w:sectPr>
          <w:pgSz w:w="11910" w:h="16840"/>
          <w:pgMar w:top="1440" w:right="1040" w:bottom="880" w:left="1040" w:header="0" w:footer="683" w:gutter="0"/>
          <w:pgBorders>
            <w:top w:val="none" w:sz="0" w:space="0"/>
            <w:left w:val="none" w:sz="0" w:space="0"/>
            <w:bottom w:val="none" w:sz="0" w:space="0"/>
            <w:right w:val="none" w:sz="0" w:space="0"/>
          </w:pgBorders>
          <w:pgNumType w:fmt="decimal"/>
        </w:sectPr>
      </w:pPr>
      <w:r>
        <w:rPr>
          <w:rFonts w:hint="eastAsia" w:eastAsia="仿宋"/>
          <w:lang w:eastAsia="zh-CN"/>
        </w:rPr>
        <w:drawing>
          <wp:anchor distT="0" distB="0" distL="114300" distR="114300" simplePos="0" relativeHeight="251681792" behindDoc="0" locked="0" layoutInCell="1" allowOverlap="1">
            <wp:simplePos x="0" y="0"/>
            <wp:positionH relativeFrom="column">
              <wp:posOffset>-29210</wp:posOffset>
            </wp:positionH>
            <wp:positionV relativeFrom="paragraph">
              <wp:posOffset>9525</wp:posOffset>
            </wp:positionV>
            <wp:extent cx="6233795" cy="8808085"/>
            <wp:effectExtent l="0" t="0" r="14605" b="12065"/>
            <wp:wrapNone/>
            <wp:docPr id="21" name="图片 21" descr="e864ef980275cfa5afb6ebe0d540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864ef980275cfa5afb6ebe0d54096b"/>
                    <pic:cNvPicPr>
                      <a:picLocks noChangeAspect="1"/>
                    </pic:cNvPicPr>
                  </pic:nvPicPr>
                  <pic:blipFill>
                    <a:blip r:embed="rId29"/>
                    <a:stretch>
                      <a:fillRect/>
                    </a:stretch>
                  </pic:blipFill>
                  <pic:spPr>
                    <a:xfrm>
                      <a:off x="0" y="0"/>
                      <a:ext cx="6233795" cy="8808085"/>
                    </a:xfrm>
                    <a:prstGeom prst="rect">
                      <a:avLst/>
                    </a:prstGeom>
                  </pic:spPr>
                </pic:pic>
              </a:graphicData>
            </a:graphic>
          </wp:anchor>
        </w:drawing>
      </w:r>
    </w:p>
    <w:p>
      <w:pPr>
        <w:pStyle w:val="7"/>
        <w:jc w:val="center"/>
        <w:rPr>
          <w:b/>
          <w:sz w:val="20"/>
        </w:rPr>
      </w:pPr>
      <w:bookmarkStart w:id="213" w:name="_bookmark42"/>
      <w:bookmarkEnd w:id="213"/>
      <w:bookmarkStart w:id="214" w:name="附件5：项目被淹没农田不属于基本农田证明     "/>
      <w:bookmarkEnd w:id="214"/>
      <w:bookmarkStart w:id="215" w:name="附图1项目地理位置图"/>
      <w:bookmarkEnd w:id="215"/>
      <w:r>
        <w:drawing>
          <wp:inline distT="0" distB="0" distL="114300" distR="114300">
            <wp:extent cx="9286875" cy="6362700"/>
            <wp:effectExtent l="0" t="0" r="952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0"/>
                    <a:stretch>
                      <a:fillRect/>
                    </a:stretch>
                  </pic:blipFill>
                  <pic:spPr>
                    <a:xfrm>
                      <a:off x="0" y="0"/>
                      <a:ext cx="9286875" cy="6362700"/>
                    </a:xfrm>
                    <a:prstGeom prst="rect">
                      <a:avLst/>
                    </a:prstGeom>
                    <a:noFill/>
                    <a:ln>
                      <a:noFill/>
                    </a:ln>
                  </pic:spPr>
                </pic:pic>
              </a:graphicData>
            </a:graphic>
          </wp:inline>
        </w:drawing>
      </w:r>
    </w:p>
    <w:p>
      <w:pPr>
        <w:rPr>
          <w:b/>
          <w:sz w:val="20"/>
        </w:rPr>
      </w:pPr>
      <w:r>
        <w:rPr>
          <w:b/>
          <w:sz w:val="20"/>
        </w:rPr>
        <w:br w:type="page"/>
      </w:r>
    </w:p>
    <w:p>
      <w:pPr>
        <w:pStyle w:val="7"/>
        <w:spacing w:before="10"/>
        <w:jc w:val="center"/>
        <w:rPr>
          <w:b/>
          <w:sz w:val="11"/>
        </w:rPr>
      </w:pPr>
      <w:bookmarkStart w:id="216" w:name="附图2项目工程总体平面布置图"/>
      <w:bookmarkEnd w:id="216"/>
      <w:bookmarkStart w:id="217" w:name="_bookmark43"/>
      <w:bookmarkEnd w:id="217"/>
      <w:r>
        <w:drawing>
          <wp:inline distT="0" distB="0" distL="114300" distR="114300">
            <wp:extent cx="8267700" cy="6390640"/>
            <wp:effectExtent l="0" t="0" r="0" b="1016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1"/>
                    <a:stretch>
                      <a:fillRect/>
                    </a:stretch>
                  </pic:blipFill>
                  <pic:spPr>
                    <a:xfrm>
                      <a:off x="0" y="0"/>
                      <a:ext cx="8267700" cy="6390640"/>
                    </a:xfrm>
                    <a:prstGeom prst="rect">
                      <a:avLst/>
                    </a:prstGeom>
                    <a:noFill/>
                    <a:ln>
                      <a:noFill/>
                    </a:ln>
                  </pic:spPr>
                </pic:pic>
              </a:graphicData>
            </a:graphic>
          </wp:inline>
        </w:drawing>
      </w:r>
    </w:p>
    <w:p>
      <w:pPr>
        <w:spacing w:after="0"/>
        <w:rPr>
          <w:sz w:val="11"/>
        </w:rPr>
        <w:sectPr>
          <w:footerReference r:id="rId14" w:type="default"/>
          <w:pgSz w:w="16840" w:h="11910" w:orient="landscape"/>
          <w:pgMar w:top="880" w:right="560" w:bottom="960" w:left="460" w:header="0" w:footer="771" w:gutter="0"/>
          <w:pgBorders>
            <w:top w:val="none" w:sz="0" w:space="0"/>
            <w:left w:val="none" w:sz="0" w:space="0"/>
            <w:bottom w:val="none" w:sz="0" w:space="0"/>
            <w:right w:val="none" w:sz="0" w:space="0"/>
          </w:pgBorders>
          <w:pgNumType w:fmt="decimal"/>
        </w:sectPr>
      </w:pPr>
    </w:p>
    <w:p>
      <w:pPr>
        <w:pStyle w:val="7"/>
        <w:jc w:val="center"/>
        <w:rPr>
          <w:b/>
          <w:sz w:val="15"/>
        </w:rPr>
      </w:pPr>
      <w:bookmarkStart w:id="218" w:name="_bookmark45"/>
      <w:bookmarkEnd w:id="218"/>
      <w:bookmarkStart w:id="219" w:name="附图3项目周边敏感点分布图"/>
      <w:bookmarkEnd w:id="219"/>
      <w:bookmarkStart w:id="220" w:name="_bookmark44"/>
      <w:bookmarkEnd w:id="220"/>
      <w:bookmarkStart w:id="221" w:name="附图4项目土地利用规划图"/>
      <w:bookmarkEnd w:id="221"/>
      <w:r>
        <w:drawing>
          <wp:inline distT="0" distB="0" distL="114300" distR="114300">
            <wp:extent cx="8724900" cy="6200775"/>
            <wp:effectExtent l="0" t="0" r="0"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2"/>
                    <a:stretch>
                      <a:fillRect/>
                    </a:stretch>
                  </pic:blipFill>
                  <pic:spPr>
                    <a:xfrm>
                      <a:off x="0" y="0"/>
                      <a:ext cx="8724900" cy="6200775"/>
                    </a:xfrm>
                    <a:prstGeom prst="rect">
                      <a:avLst/>
                    </a:prstGeom>
                    <a:noFill/>
                    <a:ln>
                      <a:noFill/>
                    </a:ln>
                  </pic:spPr>
                </pic:pic>
              </a:graphicData>
            </a:graphic>
          </wp:inline>
        </w:drawing>
      </w:r>
    </w:p>
    <w:p>
      <w:pPr>
        <w:jc w:val="center"/>
        <w:sectPr>
          <w:pgSz w:w="16840" w:h="11910" w:orient="landscape"/>
          <w:pgMar w:top="880" w:right="560" w:bottom="1000" w:left="460" w:header="0" w:footer="771" w:gutter="0"/>
          <w:pgBorders>
            <w:top w:val="none" w:sz="0" w:space="0"/>
            <w:left w:val="none" w:sz="0" w:space="0"/>
            <w:bottom w:val="none" w:sz="0" w:space="0"/>
            <w:right w:val="none" w:sz="0" w:space="0"/>
          </w:pgBorders>
          <w:pgNumType w:fmt="decimal"/>
        </w:sectPr>
      </w:pPr>
    </w:p>
    <w:p>
      <w:pPr>
        <w:rPr>
          <w:rFonts w:hint="eastAsia" w:ascii="宋体" w:hAnsi="宋体" w:eastAsia="宋体" w:cs="宋体"/>
          <w:b/>
          <w:sz w:val="24"/>
        </w:rPr>
      </w:pPr>
      <w:bookmarkStart w:id="222" w:name="附图5项目所在地现状图"/>
      <w:bookmarkEnd w:id="222"/>
      <w:bookmarkStart w:id="223" w:name="_bookmark46"/>
      <w:bookmarkEnd w:id="223"/>
      <w:r>
        <w:drawing>
          <wp:inline distT="0" distB="0" distL="114300" distR="114300">
            <wp:extent cx="5518150" cy="8648700"/>
            <wp:effectExtent l="0" t="0" r="635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3"/>
                    <a:stretch>
                      <a:fillRect/>
                    </a:stretch>
                  </pic:blipFill>
                  <pic:spPr>
                    <a:xfrm>
                      <a:off x="0" y="0"/>
                      <a:ext cx="5518150" cy="8648700"/>
                    </a:xfrm>
                    <a:prstGeom prst="rect">
                      <a:avLst/>
                    </a:prstGeom>
                    <a:noFill/>
                    <a:ln>
                      <a:noFill/>
                    </a:ln>
                  </pic:spPr>
                </pic:pic>
              </a:graphicData>
            </a:graphic>
          </wp:inline>
        </w:drawing>
      </w:r>
    </w:p>
    <w:p>
      <w:pPr>
        <w:spacing w:before="52"/>
        <w:ind w:left="217" w:right="0" w:firstLine="0"/>
        <w:jc w:val="center"/>
        <w:rPr>
          <w:rFonts w:hint="eastAsia" w:ascii="宋体" w:hAnsi="宋体" w:eastAsia="宋体" w:cs="宋体"/>
          <w:b/>
          <w:sz w:val="24"/>
        </w:rPr>
      </w:pPr>
    </w:p>
    <w:p>
      <w:pPr>
        <w:spacing w:before="52"/>
        <w:ind w:left="217" w:right="0" w:firstLine="0"/>
        <w:jc w:val="center"/>
        <w:rPr>
          <w:rFonts w:hint="eastAsia" w:ascii="宋体" w:hAnsi="宋体" w:eastAsia="宋体" w:cs="宋体"/>
          <w:b/>
          <w:sz w:val="24"/>
        </w:rPr>
        <w:sectPr>
          <w:footerReference r:id="rId15" w:type="default"/>
          <w:pgSz w:w="11910" w:h="16840"/>
          <w:pgMar w:top="1460" w:right="1560" w:bottom="880" w:left="1580" w:header="0" w:footer="683" w:gutter="0"/>
          <w:pgBorders>
            <w:top w:val="none" w:sz="0" w:space="0"/>
            <w:left w:val="none" w:sz="0" w:space="0"/>
            <w:bottom w:val="none" w:sz="0" w:space="0"/>
            <w:right w:val="none" w:sz="0" w:space="0"/>
          </w:pgBorders>
          <w:pgNumType w:fmt="decimal"/>
        </w:sectPr>
      </w:pPr>
    </w:p>
    <w:p>
      <w:pPr>
        <w:spacing w:before="52"/>
        <w:ind w:left="217" w:right="0" w:firstLine="0"/>
        <w:jc w:val="center"/>
        <w:rPr>
          <w:rFonts w:hint="eastAsia" w:ascii="宋体" w:hAnsi="宋体" w:eastAsia="宋体" w:cs="宋体"/>
          <w:b/>
          <w:sz w:val="24"/>
        </w:rPr>
      </w:pPr>
      <w:r>
        <w:rPr>
          <w:rFonts w:hint="eastAsia" w:ascii="宋体" w:hAnsi="宋体" w:eastAsia="宋体" w:cs="宋体"/>
          <w:b/>
          <w:sz w:val="24"/>
        </w:rPr>
        <w:t>附图 5 项目所在地现状图</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8"/>
        <w:gridCol w:w="7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trPr>
        <w:tc>
          <w:tcPr>
            <w:tcW w:w="7030" w:type="dxa"/>
          </w:tcPr>
          <w:p>
            <w:pPr>
              <w:pStyle w:val="8"/>
              <w:jc w:val="center"/>
              <w:rPr>
                <w:rFonts w:hint="eastAsia" w:eastAsia="宋体"/>
                <w:vertAlign w:val="baseline"/>
                <w:lang w:eastAsia="zh-CN"/>
              </w:rPr>
            </w:pPr>
            <w:r>
              <w:rPr>
                <w:rFonts w:hint="eastAsia" w:eastAsia="宋体"/>
                <w:vertAlign w:val="baseline"/>
                <w:lang w:eastAsia="zh-CN"/>
              </w:rPr>
              <w:drawing>
                <wp:inline distT="0" distB="0" distL="114300" distR="114300">
                  <wp:extent cx="2476500" cy="2328545"/>
                  <wp:effectExtent l="0" t="0" r="0" b="14605"/>
                  <wp:docPr id="1" name="图片 1" descr="90ec3da0d34ae6ef5dcc017a96f6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0ec3da0d34ae6ef5dcc017a96f6a40"/>
                          <pic:cNvPicPr>
                            <a:picLocks noChangeAspect="1"/>
                          </pic:cNvPicPr>
                        </pic:nvPicPr>
                        <pic:blipFill>
                          <a:blip r:embed="rId34"/>
                          <a:stretch>
                            <a:fillRect/>
                          </a:stretch>
                        </pic:blipFill>
                        <pic:spPr>
                          <a:xfrm>
                            <a:off x="0" y="0"/>
                            <a:ext cx="2476500" cy="2328545"/>
                          </a:xfrm>
                          <a:prstGeom prst="rect">
                            <a:avLst/>
                          </a:prstGeom>
                        </pic:spPr>
                      </pic:pic>
                    </a:graphicData>
                  </a:graphic>
                </wp:inline>
              </w:drawing>
            </w:r>
          </w:p>
        </w:tc>
        <w:tc>
          <w:tcPr>
            <w:tcW w:w="7030" w:type="dxa"/>
          </w:tcPr>
          <w:p>
            <w:pPr>
              <w:pStyle w:val="8"/>
              <w:jc w:val="center"/>
              <w:rPr>
                <w:rFonts w:hint="eastAsia" w:eastAsia="宋体"/>
                <w:vertAlign w:val="baseline"/>
                <w:lang w:eastAsia="zh-CN"/>
              </w:rPr>
            </w:pPr>
            <w:r>
              <w:rPr>
                <w:rFonts w:hint="eastAsia" w:eastAsia="宋体"/>
                <w:vertAlign w:val="baseline"/>
                <w:lang w:eastAsia="zh-CN"/>
              </w:rPr>
              <w:drawing>
                <wp:inline distT="0" distB="0" distL="114300" distR="114300">
                  <wp:extent cx="2443480" cy="3072765"/>
                  <wp:effectExtent l="0" t="0" r="13335" b="13970"/>
                  <wp:docPr id="7" name="图片 7" descr="261f459b6a7b1c44da3c77c6f4d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1f459b6a7b1c44da3c77c6f4d211b"/>
                          <pic:cNvPicPr>
                            <a:picLocks noChangeAspect="1"/>
                          </pic:cNvPicPr>
                        </pic:nvPicPr>
                        <pic:blipFill>
                          <a:blip r:embed="rId35"/>
                          <a:stretch>
                            <a:fillRect/>
                          </a:stretch>
                        </pic:blipFill>
                        <pic:spPr>
                          <a:xfrm rot="5400000">
                            <a:off x="0" y="0"/>
                            <a:ext cx="2443480" cy="3072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0" w:type="dxa"/>
          </w:tcPr>
          <w:p>
            <w:pPr>
              <w:pStyle w:val="8"/>
              <w:jc w:val="center"/>
              <w:rPr>
                <w:rFonts w:hint="eastAsia" w:eastAsia="宋体"/>
                <w:vertAlign w:val="baseline"/>
                <w:lang w:eastAsia="zh-CN"/>
              </w:rPr>
            </w:pPr>
            <w:r>
              <w:rPr>
                <w:rFonts w:hint="eastAsia" w:eastAsia="宋体"/>
                <w:vertAlign w:val="baseline"/>
                <w:lang w:eastAsia="zh-CN"/>
              </w:rPr>
              <w:drawing>
                <wp:inline distT="0" distB="0" distL="114300" distR="114300">
                  <wp:extent cx="4301490" cy="2106930"/>
                  <wp:effectExtent l="0" t="0" r="3810" b="7620"/>
                  <wp:docPr id="8" name="图片 8" descr="dd29c46ff0876e3cc36a6b6fec16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29c46ff0876e3cc36a6b6fec1650c"/>
                          <pic:cNvPicPr>
                            <a:picLocks noChangeAspect="1"/>
                          </pic:cNvPicPr>
                        </pic:nvPicPr>
                        <pic:blipFill>
                          <a:blip r:embed="rId36"/>
                          <a:stretch>
                            <a:fillRect/>
                          </a:stretch>
                        </pic:blipFill>
                        <pic:spPr>
                          <a:xfrm>
                            <a:off x="0" y="0"/>
                            <a:ext cx="4301490" cy="2106930"/>
                          </a:xfrm>
                          <a:prstGeom prst="rect">
                            <a:avLst/>
                          </a:prstGeom>
                        </pic:spPr>
                      </pic:pic>
                    </a:graphicData>
                  </a:graphic>
                </wp:inline>
              </w:drawing>
            </w:r>
          </w:p>
        </w:tc>
        <w:tc>
          <w:tcPr>
            <w:tcW w:w="7030" w:type="dxa"/>
          </w:tcPr>
          <w:p>
            <w:pPr>
              <w:pStyle w:val="8"/>
              <w:jc w:val="center"/>
              <w:rPr>
                <w:rFonts w:hint="eastAsia" w:eastAsia="宋体"/>
                <w:vertAlign w:val="baseline"/>
                <w:lang w:eastAsia="zh-CN"/>
              </w:rPr>
            </w:pPr>
            <w:r>
              <w:rPr>
                <w:rFonts w:hint="eastAsia" w:eastAsia="宋体"/>
                <w:vertAlign w:val="baseline"/>
                <w:lang w:eastAsia="zh-CN"/>
              </w:rPr>
              <w:drawing>
                <wp:inline distT="0" distB="0" distL="114300" distR="114300">
                  <wp:extent cx="4301490" cy="2157095"/>
                  <wp:effectExtent l="0" t="0" r="3810" b="14605"/>
                  <wp:docPr id="9" name="图片 9" descr="e77c22f98a9fffa592cbdd678eb7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7c22f98a9fffa592cbdd678eb7f95"/>
                          <pic:cNvPicPr>
                            <a:picLocks noChangeAspect="1"/>
                          </pic:cNvPicPr>
                        </pic:nvPicPr>
                        <pic:blipFill>
                          <a:blip r:embed="rId37"/>
                          <a:stretch>
                            <a:fillRect/>
                          </a:stretch>
                        </pic:blipFill>
                        <pic:spPr>
                          <a:xfrm>
                            <a:off x="0" y="0"/>
                            <a:ext cx="4301490" cy="2157095"/>
                          </a:xfrm>
                          <a:prstGeom prst="rect">
                            <a:avLst/>
                          </a:prstGeom>
                        </pic:spPr>
                      </pic:pic>
                    </a:graphicData>
                  </a:graphic>
                </wp:inline>
              </w:drawing>
            </w:r>
          </w:p>
        </w:tc>
      </w:tr>
    </w:tbl>
    <w:p>
      <w:pPr>
        <w:pStyle w:val="5"/>
        <w:jc w:val="center"/>
        <w:rPr>
          <w:rFonts w:hint="eastAsia" w:eastAsia="宋体"/>
          <w:lang w:eastAsia="zh-CN"/>
        </w:rPr>
        <w:sectPr>
          <w:pgSz w:w="16840" w:h="11910" w:orient="landscape"/>
          <w:pgMar w:top="1580" w:right="1460" w:bottom="1560" w:left="880" w:header="0" w:footer="683" w:gutter="0"/>
          <w:pgBorders>
            <w:top w:val="none" w:sz="0" w:space="0"/>
            <w:left w:val="none" w:sz="0" w:space="0"/>
            <w:bottom w:val="none" w:sz="0" w:space="0"/>
            <w:right w:val="none" w:sz="0" w:space="0"/>
          </w:pgBorders>
          <w:pgNumType w:fmt="decimal"/>
        </w:sectPr>
      </w:pPr>
    </w:p>
    <w:p>
      <w:pPr>
        <w:spacing w:before="52"/>
        <w:ind w:left="217" w:right="0" w:firstLine="0"/>
        <w:jc w:val="center"/>
        <w:rPr>
          <w:rFonts w:hint="eastAsia" w:ascii="宋体" w:hAnsi="宋体" w:eastAsia="宋体" w:cs="宋体"/>
          <w:b/>
          <w:sz w:val="24"/>
          <w:lang w:eastAsia="zh-CN"/>
        </w:rPr>
      </w:pPr>
      <w:bookmarkStart w:id="224" w:name="附件：验收专家意见及签到表"/>
      <w:bookmarkEnd w:id="224"/>
      <w:r>
        <w:rPr>
          <w:rFonts w:hint="eastAsia" w:ascii="宋体" w:hAnsi="宋体" w:eastAsia="宋体" w:cs="宋体"/>
          <w:b/>
          <w:sz w:val="24"/>
        </w:rPr>
        <w:t>附件：验收专家意见及签到表</w:t>
      </w:r>
      <w:r>
        <w:rPr>
          <w:rFonts w:hint="eastAsia" w:ascii="宋体" w:hAnsi="宋体" w:eastAsia="宋体" w:cs="宋体"/>
          <w:b/>
          <w:sz w:val="24"/>
        </w:rPr>
        <w:br w:type="textWrapping"/>
      </w:r>
      <w:r>
        <w:rPr>
          <w:rFonts w:hint="eastAsia" w:ascii="宋体" w:hAnsi="宋体" w:eastAsia="宋体" w:cs="宋体"/>
          <w:b/>
          <w:sz w:val="24"/>
          <w:lang w:eastAsia="zh-CN"/>
        </w:rPr>
        <w:drawing>
          <wp:inline distT="0" distB="0" distL="114300" distR="114300">
            <wp:extent cx="5565140" cy="8358505"/>
            <wp:effectExtent l="0" t="0" r="16510" b="4445"/>
            <wp:docPr id="22" name="图片 22" descr="d6b730f52b74d545412e1c741b5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6b730f52b74d545412e1c741b50332"/>
                    <pic:cNvPicPr>
                      <a:picLocks noChangeAspect="1"/>
                    </pic:cNvPicPr>
                  </pic:nvPicPr>
                  <pic:blipFill>
                    <a:blip r:embed="rId38"/>
                    <a:stretch>
                      <a:fillRect/>
                    </a:stretch>
                  </pic:blipFill>
                  <pic:spPr>
                    <a:xfrm>
                      <a:off x="0" y="0"/>
                      <a:ext cx="5565140" cy="8358505"/>
                    </a:xfrm>
                    <a:prstGeom prst="rect">
                      <a:avLst/>
                    </a:prstGeom>
                  </pic:spPr>
                </pic:pic>
              </a:graphicData>
            </a:graphic>
          </wp:inline>
        </w:drawing>
      </w:r>
    </w:p>
    <w:p>
      <w:pPr>
        <w:rPr>
          <w:rFonts w:hint="eastAsia" w:ascii="宋体" w:hAnsi="宋体" w:eastAsia="宋体" w:cs="宋体"/>
          <w:b/>
          <w:sz w:val="24"/>
          <w:lang w:eastAsia="zh-CN"/>
        </w:rPr>
      </w:pPr>
      <w:r>
        <w:rPr>
          <w:rFonts w:hint="eastAsia" w:ascii="宋体" w:hAnsi="宋体" w:eastAsia="宋体" w:cs="宋体"/>
          <w:b/>
          <w:sz w:val="24"/>
          <w:lang w:eastAsia="zh-CN"/>
        </w:rPr>
        <w:br w:type="page"/>
      </w:r>
    </w:p>
    <w:p>
      <w:pPr>
        <w:pStyle w:val="2"/>
        <w:ind w:left="0" w:leftChars="0" w:firstLine="0" w:firstLineChars="0"/>
        <w:rPr>
          <w:rFonts w:hint="eastAsia"/>
          <w:lang w:eastAsia="zh-CN"/>
        </w:rPr>
      </w:pPr>
      <w:r>
        <w:rPr>
          <w:rFonts w:hint="eastAsia"/>
          <w:lang w:eastAsia="zh-CN"/>
        </w:rPr>
        <w:drawing>
          <wp:inline distT="0" distB="0" distL="114300" distR="114300">
            <wp:extent cx="5565140" cy="8244840"/>
            <wp:effectExtent l="0" t="0" r="16510" b="3810"/>
            <wp:docPr id="23" name="图片 23" descr="628fb30d76593a9e814a9457a95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8fb30d76593a9e814a9457a95e878"/>
                    <pic:cNvPicPr>
                      <a:picLocks noChangeAspect="1"/>
                    </pic:cNvPicPr>
                  </pic:nvPicPr>
                  <pic:blipFill>
                    <a:blip r:embed="rId39"/>
                    <a:stretch>
                      <a:fillRect/>
                    </a:stretch>
                  </pic:blipFill>
                  <pic:spPr>
                    <a:xfrm>
                      <a:off x="0" y="0"/>
                      <a:ext cx="5565140" cy="8244840"/>
                    </a:xfrm>
                    <a:prstGeom prst="rect">
                      <a:avLst/>
                    </a:prstGeom>
                  </pic:spPr>
                </pic:pic>
              </a:graphicData>
            </a:graphic>
          </wp:inline>
        </w:drawing>
      </w:r>
    </w:p>
    <w:p>
      <w:pPr>
        <w:rPr>
          <w:rFonts w:hint="eastAsia"/>
          <w:lang w:eastAsia="zh-CN"/>
        </w:rPr>
      </w:pPr>
      <w:r>
        <w:rPr>
          <w:rFonts w:hint="eastAsia"/>
          <w:lang w:eastAsia="zh-CN"/>
        </w:rPr>
        <w:br w:type="page"/>
      </w:r>
    </w:p>
    <w:p>
      <w:pPr>
        <w:pStyle w:val="2"/>
        <w:ind w:left="0" w:leftChars="0" w:firstLine="0" w:firstLineChars="0"/>
        <w:rPr>
          <w:rFonts w:hint="eastAsia"/>
          <w:lang w:eastAsia="zh-CN"/>
        </w:rPr>
      </w:pPr>
      <w:r>
        <w:rPr>
          <w:rFonts w:hint="eastAsia"/>
          <w:lang w:eastAsia="zh-CN"/>
        </w:rPr>
        <w:drawing>
          <wp:inline distT="0" distB="0" distL="114300" distR="114300">
            <wp:extent cx="5565140" cy="8399145"/>
            <wp:effectExtent l="0" t="0" r="16510" b="1905"/>
            <wp:docPr id="24" name="图片 24" descr="9f508ec9ece23abe8c61c3ee344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f508ec9ece23abe8c61c3ee3446272"/>
                    <pic:cNvPicPr>
                      <a:picLocks noChangeAspect="1"/>
                    </pic:cNvPicPr>
                  </pic:nvPicPr>
                  <pic:blipFill>
                    <a:blip r:embed="rId40"/>
                    <a:stretch>
                      <a:fillRect/>
                    </a:stretch>
                  </pic:blipFill>
                  <pic:spPr>
                    <a:xfrm>
                      <a:off x="0" y="0"/>
                      <a:ext cx="5565140" cy="8399145"/>
                    </a:xfrm>
                    <a:prstGeom prst="rect">
                      <a:avLst/>
                    </a:prstGeom>
                  </pic:spPr>
                </pic:pic>
              </a:graphicData>
            </a:graphic>
          </wp:inline>
        </w:drawing>
      </w:r>
    </w:p>
    <w:p>
      <w:pPr>
        <w:rPr>
          <w:rFonts w:hint="eastAsia"/>
          <w:lang w:eastAsia="zh-CN"/>
        </w:rPr>
        <w:sectPr>
          <w:pgSz w:w="11910" w:h="16840"/>
          <w:pgMar w:top="1560" w:right="1560" w:bottom="880" w:left="1580" w:header="0" w:footer="683" w:gutter="0"/>
          <w:pgBorders>
            <w:top w:val="none" w:sz="0" w:space="0"/>
            <w:left w:val="none" w:sz="0" w:space="0"/>
            <w:bottom w:val="none" w:sz="0" w:space="0"/>
            <w:right w:val="none" w:sz="0" w:space="0"/>
          </w:pgBorders>
          <w:pgNumType w:fmt="decimal"/>
        </w:sectPr>
      </w:pPr>
    </w:p>
    <w:p>
      <w:pPr>
        <w:pStyle w:val="2"/>
        <w:jc w:val="center"/>
        <w:rPr>
          <w:rFonts w:hint="eastAsia"/>
          <w:lang w:eastAsia="zh-CN"/>
        </w:rPr>
      </w:pPr>
      <w:r>
        <w:rPr>
          <w:rFonts w:hint="eastAsia"/>
          <w:lang w:eastAsia="zh-CN"/>
        </w:rPr>
        <w:drawing>
          <wp:inline distT="0" distB="0" distL="114300" distR="114300">
            <wp:extent cx="5435600" cy="7946390"/>
            <wp:effectExtent l="0" t="0" r="16510" b="12700"/>
            <wp:docPr id="25" name="图片 25" descr="bcc4a789d33877c8a6e8edcdaf4e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cc4a789d33877c8a6e8edcdaf4e0c0"/>
                    <pic:cNvPicPr>
                      <a:picLocks noChangeAspect="1"/>
                    </pic:cNvPicPr>
                  </pic:nvPicPr>
                  <pic:blipFill>
                    <a:blip r:embed="rId41"/>
                    <a:stretch>
                      <a:fillRect/>
                    </a:stretch>
                  </pic:blipFill>
                  <pic:spPr>
                    <a:xfrm rot="5400000">
                      <a:off x="0" y="0"/>
                      <a:ext cx="5435600" cy="7946390"/>
                    </a:xfrm>
                    <a:prstGeom prst="rect">
                      <a:avLst/>
                    </a:prstGeom>
                  </pic:spPr>
                </pic:pic>
              </a:graphicData>
            </a:graphic>
          </wp:inline>
        </w:drawing>
      </w:r>
    </w:p>
    <w:sectPr>
      <w:pgSz w:w="16840" w:h="11910" w:orient="landscape"/>
      <w:pgMar w:top="1580" w:right="1560" w:bottom="1560" w:left="880" w:header="0" w:footer="683"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p>
    <w:pPr>
      <w:pStyle w:val="7"/>
      <w:spacing w:line="14" w:lineRule="auto"/>
      <w:rPr>
        <w:sz w:val="20"/>
      </w:rPr>
    </w:pPr>
    <w:r>
      <mc:AlternateContent>
        <mc:Choice Requires="wps">
          <w:drawing>
            <wp:anchor distT="0" distB="0" distL="114300" distR="114300" simplePos="0" relativeHeight="247460864" behindDoc="1" locked="0" layoutInCell="1" allowOverlap="1">
              <wp:simplePos x="0" y="0"/>
              <wp:positionH relativeFrom="page">
                <wp:posOffset>1140460</wp:posOffset>
              </wp:positionH>
              <wp:positionV relativeFrom="page">
                <wp:posOffset>9938385</wp:posOffset>
              </wp:positionV>
              <wp:extent cx="5278120" cy="0"/>
              <wp:effectExtent l="0" t="0" r="0" b="0"/>
              <wp:wrapNone/>
              <wp:docPr id="93" name="直线 1"/>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89.8pt;margin-top:782.55pt;height:0pt;width:415.6pt;mso-position-horizontal-relative:page;mso-position-vertical-relative:page;z-index:-255855616;mso-width-relative:page;mso-height-relative:page;" filled="f" stroked="t" coordsize="21600,21600" o:gfxdata="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O8tuvZAAAADgEAAA8AAAAAAAAAAQAgAAAAIgAA&#10;AGRycy9kb3ducmV2LnhtbFBLAQIUABQAAAAIAIdO4kDFD5oLzgEAAI4DAAAOAAAAAAAAAAEAIAAA&#10;ACgBAABkcnMvZTJvRG9jLnhtbFBLBQYAAAAABgAGAFkBAABo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61888" behindDoc="1" locked="0" layoutInCell="1" allowOverlap="1">
              <wp:simplePos x="0" y="0"/>
              <wp:positionH relativeFrom="page">
                <wp:posOffset>3840480</wp:posOffset>
              </wp:positionH>
              <wp:positionV relativeFrom="page">
                <wp:posOffset>9945370</wp:posOffset>
              </wp:positionV>
              <wp:extent cx="107950" cy="152400"/>
              <wp:effectExtent l="0" t="0" r="0" b="0"/>
              <wp:wrapNone/>
              <wp:docPr id="94" name="文本框 2"/>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2" o:spid="_x0000_s1026" o:spt="202" type="#_x0000_t202" style="position:absolute;left:0pt;margin-left:302.4pt;margin-top:783.1pt;height:12pt;width:8.5pt;mso-position-horizontal-relative:page;mso-position-vertical-relative:page;z-index:-255854592;mso-width-relative:page;mso-height-relative:page;" filled="f" stroked="f" coordsize="21600,21600" o:gfxdata="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x7jH82QAAAA0BAAAPAAAAAAAA&#10;AAEAIAAAACIAAABkcnMvZG93bnJldi54bWxQSwECFAAUAAAACACHTuJAxjLtmp8BAAAkAwAADgAA&#10;AAAAAAABACAAAAAo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mc:AlternateContent>
        <mc:Choice Requires="wps">
          <w:drawing>
            <wp:anchor distT="0" distB="0" distL="114300" distR="114300" simplePos="0" relativeHeight="247484416" behindDoc="1" locked="0" layoutInCell="1" allowOverlap="1">
              <wp:simplePos x="0" y="0"/>
              <wp:positionH relativeFrom="page">
                <wp:posOffset>3608070</wp:posOffset>
              </wp:positionH>
              <wp:positionV relativeFrom="page">
                <wp:posOffset>10059670</wp:posOffset>
              </wp:positionV>
              <wp:extent cx="342900" cy="0"/>
              <wp:effectExtent l="0" t="0" r="0" b="0"/>
              <wp:wrapNone/>
              <wp:docPr id="116" name="直线 24"/>
              <wp:cNvGraphicFramePr/>
              <a:graphic xmlns:a="http://schemas.openxmlformats.org/drawingml/2006/main">
                <a:graphicData uri="http://schemas.microsoft.com/office/word/2010/wordprocessingShape">
                  <wps:wsp>
                    <wps:cNvCnPr/>
                    <wps:spPr>
                      <a:xfrm>
                        <a:off x="0" y="0"/>
                        <a:ext cx="3429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4" o:spid="_x0000_s1026" o:spt="20" style="position:absolute;left:0pt;margin-left:284.1pt;margin-top:792.1pt;height:0pt;width:27pt;mso-position-horizontal-relative:page;mso-position-vertical-relative:page;z-index:-255832064;mso-width-relative:page;mso-height-relative:page;" filled="f" stroked="t" coordsize="21600,21600" o:gfxdata="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mXlDYAAAADQEAAA8AAAAAAAAAAQAgAAAAIgAA&#10;AGRycy9kb3ducmV2LnhtbFBLAQIUABQAAAAIAIdO4kB6BWYKzwEAAI8DAAAOAAAAAAAAAAEAIAAA&#10;ACcBAABkcnMvZTJvRG9jLnhtbFBLBQYAAAAABgAGAFkBAABo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85440" behindDoc="1" locked="0" layoutInCell="1" allowOverlap="1">
              <wp:simplePos x="0" y="0"/>
              <wp:positionH relativeFrom="page">
                <wp:posOffset>3811905</wp:posOffset>
              </wp:positionH>
              <wp:positionV relativeFrom="page">
                <wp:posOffset>10067290</wp:posOffset>
              </wp:positionV>
              <wp:extent cx="166370" cy="152400"/>
              <wp:effectExtent l="0" t="0" r="0" b="0"/>
              <wp:wrapNone/>
              <wp:docPr id="117" name="文本框 2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55</w:t>
                          </w:r>
                          <w:r>
                            <w:fldChar w:fldCharType="end"/>
                          </w:r>
                        </w:p>
                      </w:txbxContent>
                    </wps:txbx>
                    <wps:bodyPr lIns="0" tIns="0" rIns="0" bIns="0" upright="1"/>
                  </wps:wsp>
                </a:graphicData>
              </a:graphic>
            </wp:anchor>
          </w:drawing>
        </mc:Choice>
        <mc:Fallback>
          <w:pict>
            <v:shape id="文本框 25" o:spid="_x0000_s1026" o:spt="202" type="#_x0000_t202" style="position:absolute;left:0pt;margin-left:300.15pt;margin-top:792.7pt;height:12pt;width:13.1pt;mso-position-horizontal-relative:page;mso-position-vertical-relative:page;z-index:-255831040;mso-width-relative:page;mso-height-relative:page;" filled="f" stroked="f" coordsize="21600,21600" o:gfxdata="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B5why2wAAAA0BAAAPAAAA&#10;AAAAAAEAIAAAACIAAABkcnMvZG93bnJldi54bWxQSwECFAAUAAAACACHTuJAO22Fsq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86464" behindDoc="1" locked="0" layoutInCell="1" allowOverlap="1">
              <wp:simplePos x="0" y="0"/>
              <wp:positionH relativeFrom="page">
                <wp:posOffset>3608070</wp:posOffset>
              </wp:positionH>
              <wp:positionV relativeFrom="page">
                <wp:posOffset>10059670</wp:posOffset>
              </wp:positionV>
              <wp:extent cx="342900" cy="0"/>
              <wp:effectExtent l="0" t="0" r="0" b="0"/>
              <wp:wrapNone/>
              <wp:docPr id="118" name="直线 26"/>
              <wp:cNvGraphicFramePr/>
              <a:graphic xmlns:a="http://schemas.openxmlformats.org/drawingml/2006/main">
                <a:graphicData uri="http://schemas.microsoft.com/office/word/2010/wordprocessingShape">
                  <wps:wsp>
                    <wps:cNvCnPr/>
                    <wps:spPr>
                      <a:xfrm>
                        <a:off x="0" y="0"/>
                        <a:ext cx="3429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284.1pt;margin-top:792.1pt;height:0pt;width:27pt;mso-position-horizontal-relative:page;mso-position-vertical-relative:page;z-index:-255830016;mso-width-relative:page;mso-height-relative:page;" filled="f" stroked="t" coordsize="21600,21600" o:gfxdata="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CZeUNgAAAANAQAADwAAAAAAAAABACAAAAAiAAAA&#10;ZHJzL2Rvd25yZXYueG1sUEsBAhQAFAAAAAgAh07iQFKv+2/OAQAAjwMAAA4AAAAAAAAAAQAgAAAA&#10;JwEAAGRycy9lMm9Eb2MueG1sUEsFBgAAAAAGAAYAWQEAAGc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87488" behindDoc="1" locked="0" layoutInCell="1" allowOverlap="1">
              <wp:simplePos x="0" y="0"/>
              <wp:positionH relativeFrom="page">
                <wp:posOffset>3811905</wp:posOffset>
              </wp:positionH>
              <wp:positionV relativeFrom="page">
                <wp:posOffset>10067290</wp:posOffset>
              </wp:positionV>
              <wp:extent cx="166370" cy="152400"/>
              <wp:effectExtent l="0" t="0" r="0" b="0"/>
              <wp:wrapNone/>
              <wp:docPr id="119" name="文本框 2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27" o:spid="_x0000_s1026" o:spt="202" type="#_x0000_t202" style="position:absolute;left:0pt;margin-left:300.15pt;margin-top:792.7pt;height:12pt;width:13.1pt;mso-position-horizontal-relative:page;mso-position-vertical-relative:page;z-index:-255828992;mso-width-relative:page;mso-height-relative:page;" filled="f" stroked="f" coordsize="21600,21600" o:gfxdata="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B5why2wAAAA0BAAAPAAAA&#10;AAAAAAEAIAAAACIAAABkcnMvZG93bnJldi54bWxQSwECFAAUAAAACACHTuJAQfTOEa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88512" behindDoc="1" locked="0" layoutInCell="1" allowOverlap="1">
              <wp:simplePos x="0" y="0"/>
              <wp:positionH relativeFrom="page">
                <wp:posOffset>5174615</wp:posOffset>
              </wp:positionH>
              <wp:positionV relativeFrom="page">
                <wp:posOffset>6927850</wp:posOffset>
              </wp:positionV>
              <wp:extent cx="342900" cy="0"/>
              <wp:effectExtent l="0" t="0" r="0" b="0"/>
              <wp:wrapNone/>
              <wp:docPr id="120" name="直线 28"/>
              <wp:cNvGraphicFramePr/>
              <a:graphic xmlns:a="http://schemas.openxmlformats.org/drawingml/2006/main">
                <a:graphicData uri="http://schemas.microsoft.com/office/word/2010/wordprocessingShape">
                  <wps:wsp>
                    <wps:cNvCnPr/>
                    <wps:spPr>
                      <a:xfrm>
                        <a:off x="0" y="0"/>
                        <a:ext cx="3429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407.45pt;margin-top:545.5pt;height:0pt;width:27pt;mso-position-horizontal-relative:page;mso-position-vertical-relative:page;z-index:-255827968;mso-width-relative:page;mso-height-relative:page;" filled="f" stroked="t" coordsize="21600,21600" o:gfxdata="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&#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Une8n1wAAAA0BAAAPAAAAAAAAAAEAIAAAACIAAABk&#10;cnMvZG93bnJldi54bWxQSwECFAAUAAAACACHTuJAxA6SuM4BAACPAwAADgAAAAAAAAABACAAAAAm&#10;AQAAZHJzL2Uyb0RvYy54bWxQSwUGAAAAAAYABgBZAQAAZg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89536" behindDoc="1" locked="0" layoutInCell="1" allowOverlap="1">
              <wp:simplePos x="0" y="0"/>
              <wp:positionH relativeFrom="page">
                <wp:posOffset>5376545</wp:posOffset>
              </wp:positionH>
              <wp:positionV relativeFrom="page">
                <wp:posOffset>6935470</wp:posOffset>
              </wp:positionV>
              <wp:extent cx="166370" cy="152400"/>
              <wp:effectExtent l="0" t="0" r="0" b="0"/>
              <wp:wrapNone/>
              <wp:docPr id="121" name="文本框 2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67</w:t>
                          </w:r>
                          <w:r>
                            <w:fldChar w:fldCharType="end"/>
                          </w:r>
                        </w:p>
                      </w:txbxContent>
                    </wps:txbx>
                    <wps:bodyPr lIns="0" tIns="0" rIns="0" bIns="0" upright="1"/>
                  </wps:wsp>
                </a:graphicData>
              </a:graphic>
            </wp:anchor>
          </w:drawing>
        </mc:Choice>
        <mc:Fallback>
          <w:pict>
            <v:shape id="文本框 29" o:spid="_x0000_s1026" o:spt="202" type="#_x0000_t202" style="position:absolute;left:0pt;margin-left:423.35pt;margin-top:546.1pt;height:12pt;width:13.1pt;mso-position-horizontal-relative:page;mso-position-vertical-relative:page;z-index:-255826944;mso-width-relative:page;mso-height-relative:page;" filled="f" stroked="f" coordsize="21600,21600" o:gfxdata="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bil4u2wAAAA0BAAAPAAAA&#10;AAAAAAEAIAAAACIAAABkcnMvZG93bnJldi54bWxQSwECFAAUAAAACACHTuJAVgwufa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mc:AlternateContent>
        <mc:Choice Requires="wps">
          <w:drawing>
            <wp:anchor distT="0" distB="0" distL="114300" distR="114300" simplePos="0" relativeHeight="247490560" behindDoc="1" locked="0" layoutInCell="1" allowOverlap="1">
              <wp:simplePos x="0" y="0"/>
              <wp:positionH relativeFrom="page">
                <wp:posOffset>3608070</wp:posOffset>
              </wp:positionH>
              <wp:positionV relativeFrom="page">
                <wp:posOffset>10059670</wp:posOffset>
              </wp:positionV>
              <wp:extent cx="342900" cy="0"/>
              <wp:effectExtent l="0" t="0" r="0" b="0"/>
              <wp:wrapNone/>
              <wp:docPr id="122" name="直线 30"/>
              <wp:cNvGraphicFramePr/>
              <a:graphic xmlns:a="http://schemas.openxmlformats.org/drawingml/2006/main">
                <a:graphicData uri="http://schemas.microsoft.com/office/word/2010/wordprocessingShape">
                  <wps:wsp>
                    <wps:cNvCnPr/>
                    <wps:spPr>
                      <a:xfrm>
                        <a:off x="0" y="0"/>
                        <a:ext cx="3429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margin-left:284.1pt;margin-top:792.1pt;height:0pt;width:27pt;mso-position-horizontal-relative:page;mso-position-vertical-relative:page;z-index:-255825920;mso-width-relative:page;mso-height-relative:page;" filled="f" stroked="t" coordsize="21600,21600" o:gfxdata="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&#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Jl5Q2AAAAA0BAAAPAAAAAAAAAAEAIAAAACIAAABk&#10;cnMvZG93bnJldi54bWxQSwECFAAUAAAACACHTuJAUrqa+M0BAACPAwAADgAAAAAAAAABACAAAAAn&#10;AQAAZHJzL2Uyb0RvYy54bWxQSwUGAAAAAAYABgBZAQAAZg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91584" behindDoc="1" locked="0" layoutInCell="1" allowOverlap="1">
              <wp:simplePos x="0" y="0"/>
              <wp:positionH relativeFrom="page">
                <wp:posOffset>3811905</wp:posOffset>
              </wp:positionH>
              <wp:positionV relativeFrom="page">
                <wp:posOffset>10067290</wp:posOffset>
              </wp:positionV>
              <wp:extent cx="166370" cy="152400"/>
              <wp:effectExtent l="0" t="0" r="0" b="0"/>
              <wp:wrapNone/>
              <wp:docPr id="123" name="文本框 3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73</w:t>
                          </w:r>
                          <w:r>
                            <w:fldChar w:fldCharType="end"/>
                          </w:r>
                        </w:p>
                      </w:txbxContent>
                    </wps:txbx>
                    <wps:bodyPr lIns="0" tIns="0" rIns="0" bIns="0" upright="1"/>
                  </wps:wsp>
                </a:graphicData>
              </a:graphic>
            </wp:anchor>
          </w:drawing>
        </mc:Choice>
        <mc:Fallback>
          <w:pict>
            <v:shape id="文本框 31" o:spid="_x0000_s1026" o:spt="202" type="#_x0000_t202" style="position:absolute;left:0pt;margin-left:300.15pt;margin-top:792.7pt;height:12pt;width:13.1pt;mso-position-horizontal-relative:page;mso-position-vertical-relative:page;z-index:-255824896;mso-width-relative:page;mso-height-relative:page;" filled="f" stroked="f" coordsize="21600,21600" o:gfxdata="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B5why2wAAAA0BAAAPAAAA&#10;AAAAAAEAIAAAACIAAABkcnMvZG93bnJldi54bWxQSwECFAAUAAAACACHTuJAu0ZVDK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62912" behindDoc="1" locked="0" layoutInCell="1" allowOverlap="1">
              <wp:simplePos x="0" y="0"/>
              <wp:positionH relativeFrom="page">
                <wp:posOffset>1140460</wp:posOffset>
              </wp:positionH>
              <wp:positionV relativeFrom="page">
                <wp:posOffset>9938385</wp:posOffset>
              </wp:positionV>
              <wp:extent cx="5278120" cy="0"/>
              <wp:effectExtent l="0" t="0" r="0" b="0"/>
              <wp:wrapNone/>
              <wp:docPr id="95" name="直线 3"/>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9.8pt;margin-top:782.55pt;height:0pt;width:415.6pt;mso-position-horizontal-relative:page;mso-position-vertical-relative:page;z-index:-255853568;mso-width-relative:page;mso-height-relative:page;" filled="f" stroked="t" coordsize="21600,21600" o:gfxdata="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vLbr2QAAAA4BAAAPAAAAAAAAAAEAIAAAACIA&#10;AABkcnMvZG93bnJldi54bWxQSwECFAAUAAAACACHTuJASto4988BAACOAwAADgAAAAAAAAABACAA&#10;AAAoAQAAZHJzL2Uyb0RvYy54bWxQSwUGAAAAAAYABgBZAQAAa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63936" behindDoc="1" locked="0" layoutInCell="1" allowOverlap="1">
              <wp:simplePos x="0" y="0"/>
              <wp:positionH relativeFrom="page">
                <wp:posOffset>3811905</wp:posOffset>
              </wp:positionH>
              <wp:positionV relativeFrom="page">
                <wp:posOffset>9945370</wp:posOffset>
              </wp:positionV>
              <wp:extent cx="166370" cy="152400"/>
              <wp:effectExtent l="0" t="0" r="0" b="0"/>
              <wp:wrapNone/>
              <wp:docPr id="96"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4" o:spid="_x0000_s1026" o:spt="202" type="#_x0000_t202" style="position:absolute;left:0pt;margin-left:300.15pt;margin-top:783.1pt;height:12pt;width:13.1pt;mso-position-horizontal-relative:page;mso-position-vertical-relative:page;z-index:-255852544;mso-width-relative:page;mso-height-relative:page;" filled="f" stroked="f" coordsize="21600,21600" o:gfxdata="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U2nnz2QAAAA0BAAAPAAAAAAAA&#10;AAEAIAAAACIAAABkcnMvZG93bnJldi54bWxQSwECFAAUAAAACACHTuJAgfjipZ8BAAAkAwAADgAA&#10;AAAAAAABACAAAAAo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6"/>
      </w:rPr>
    </w:pPr>
    <w:r>
      <mc:AlternateContent>
        <mc:Choice Requires="wps">
          <w:drawing>
            <wp:anchor distT="0" distB="0" distL="114300" distR="114300" simplePos="0" relativeHeight="247467008" behindDoc="1" locked="0" layoutInCell="1" allowOverlap="1">
              <wp:simplePos x="0" y="0"/>
              <wp:positionH relativeFrom="page">
                <wp:posOffset>1143000</wp:posOffset>
              </wp:positionH>
              <wp:positionV relativeFrom="page">
                <wp:posOffset>6806565</wp:posOffset>
              </wp:positionV>
              <wp:extent cx="8406130" cy="0"/>
              <wp:effectExtent l="0" t="0" r="0" b="0"/>
              <wp:wrapNone/>
              <wp:docPr id="99" name="直线 7"/>
              <wp:cNvGraphicFramePr/>
              <a:graphic xmlns:a="http://schemas.openxmlformats.org/drawingml/2006/main">
                <a:graphicData uri="http://schemas.microsoft.com/office/word/2010/wordprocessingShape">
                  <wps:wsp>
                    <wps:cNvCnPr/>
                    <wps:spPr>
                      <a:xfrm>
                        <a:off x="0" y="0"/>
                        <a:ext cx="84061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90pt;margin-top:535.95pt;height:0pt;width:661.9pt;mso-position-horizontal-relative:page;mso-position-vertical-relative:page;z-index:-255849472;mso-width-relative:page;mso-height-relative:page;" filled="f" stroked="t" coordsize="21600,21600" o:gfxdata="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It6zNgAAAAOAQAADwAAAAAAAAABACAAAAAiAAAA&#10;ZHJzL2Rvd25yZXYueG1sUEsBAhQAFAAAAAgAh07iQORvYr/OAQAAjgMAAA4AAAAAAAAAAQAgAAAA&#10;JwEAAGRycy9lMm9Eb2MueG1sUEsFBgAAAAAGAAYAWQEAAGc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68032" behindDoc="1" locked="0" layoutInCell="1" allowOverlap="1">
              <wp:simplePos x="0" y="0"/>
              <wp:positionH relativeFrom="page">
                <wp:posOffset>5376545</wp:posOffset>
              </wp:positionH>
              <wp:positionV relativeFrom="page">
                <wp:posOffset>6813550</wp:posOffset>
              </wp:positionV>
              <wp:extent cx="166370" cy="152400"/>
              <wp:effectExtent l="0" t="0" r="0" b="0"/>
              <wp:wrapNone/>
              <wp:docPr id="100"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wps:txbx>
                    <wps:bodyPr lIns="0" tIns="0" rIns="0" bIns="0" upright="1"/>
                  </wps:wsp>
                </a:graphicData>
              </a:graphic>
            </wp:anchor>
          </w:drawing>
        </mc:Choice>
        <mc:Fallback>
          <w:pict>
            <v:shape id="文本框 8" o:spid="_x0000_s1026" o:spt="202" type="#_x0000_t202" style="position:absolute;left:0pt;margin-left:423.35pt;margin-top:536.5pt;height:12pt;width:13.1pt;mso-position-horizontal-relative:page;mso-position-vertical-relative:page;z-index:-255848448;mso-width-relative:page;mso-height-relative:page;" filled="f" stroked="f" coordsize="21600,21600" o:gfxdata="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zLSs2gAAAA0BAAAPAAAAAAAA&#10;AAEAIAAAACIAAABkcnMvZG93bnJldi54bWxQSwECFAAUAAAACACHTuJA4xDtzp4BAAAl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69056" behindDoc="1" locked="0" layoutInCell="1" allowOverlap="1">
              <wp:simplePos x="0" y="0"/>
              <wp:positionH relativeFrom="page">
                <wp:posOffset>1140460</wp:posOffset>
              </wp:positionH>
              <wp:positionV relativeFrom="page">
                <wp:posOffset>9938385</wp:posOffset>
              </wp:positionV>
              <wp:extent cx="5278120" cy="0"/>
              <wp:effectExtent l="0" t="0" r="0" b="0"/>
              <wp:wrapNone/>
              <wp:docPr id="101" name="直线 9"/>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89.8pt;margin-top:782.55pt;height:0pt;width:415.6pt;mso-position-horizontal-relative:page;mso-position-vertical-relative:page;z-index:-255847424;mso-width-relative:page;mso-height-relative:page;" filled="f" stroked="t" coordsize="21600,21600" o:gfxdata="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vLbr2QAAAA4BAAAPAAAAAAAAAAEAIAAAACIA&#10;AABkcnMvZG93bnJldi54bWxQSwECFAAUAAAACACHTuJAc28Ubs8BAACPAwAADgAAAAAAAAABACAA&#10;AAAoAQAAZHJzL2Uyb0RvYy54bWxQSwUGAAAAAAYABgBZAQAAa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70080" behindDoc="1" locked="0" layoutInCell="1" allowOverlap="1">
              <wp:simplePos x="0" y="0"/>
              <wp:positionH relativeFrom="page">
                <wp:posOffset>3811905</wp:posOffset>
              </wp:positionH>
              <wp:positionV relativeFrom="page">
                <wp:posOffset>9945370</wp:posOffset>
              </wp:positionV>
              <wp:extent cx="166370" cy="152400"/>
              <wp:effectExtent l="0" t="0" r="0" b="0"/>
              <wp:wrapNone/>
              <wp:docPr id="102"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wps:txbx>
                    <wps:bodyPr lIns="0" tIns="0" rIns="0" bIns="0" upright="1"/>
                  </wps:wsp>
                </a:graphicData>
              </a:graphic>
            </wp:anchor>
          </w:drawing>
        </mc:Choice>
        <mc:Fallback>
          <w:pict>
            <v:shape id="文本框 10" o:spid="_x0000_s1026" o:spt="202" type="#_x0000_t202" style="position:absolute;left:0pt;margin-left:300.15pt;margin-top:783.1pt;height:12pt;width:13.1pt;mso-position-horizontal-relative:page;mso-position-vertical-relative:page;z-index:-255846400;mso-width-relative:page;mso-height-relative:page;" filled="f" stroked="f" coordsize="21600,21600" o:gfxdata="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TaefPZAAAADQEAAA8AAAAAAAAA&#10;AQAgAAAAIgAAAGRycy9kb3ducmV2LnhtbFBLAQIUABQAAAAIAIdO4kC5LLbYngEAACYDAAAOAAAA&#10;AAAAAAEAIAAAACg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71104" behindDoc="1" locked="0" layoutInCell="1" allowOverlap="1">
              <wp:simplePos x="0" y="0"/>
              <wp:positionH relativeFrom="page">
                <wp:posOffset>1140460</wp:posOffset>
              </wp:positionH>
              <wp:positionV relativeFrom="page">
                <wp:posOffset>9938385</wp:posOffset>
              </wp:positionV>
              <wp:extent cx="5278120" cy="0"/>
              <wp:effectExtent l="0" t="0" r="0" b="0"/>
              <wp:wrapNone/>
              <wp:docPr id="103" name="直线 11"/>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89.8pt;margin-top:782.55pt;height:0pt;width:415.6pt;mso-position-horizontal-relative:page;mso-position-vertical-relative:page;z-index:-255845376;mso-width-relative:page;mso-height-relative:page;" filled="f" stroked="t" coordsize="21600,21600" o:gfxdata="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vLbr2QAAAA4BAAAPAAAAAAAAAAEAIAAAACIA&#10;AABkcnMvZG93bnJldi54bWxQSwECFAAUAAAACACHTuJA3b0Ta88BAACQAwAADgAAAAAAAAABACAA&#10;AAAoAQAAZHJzL2Uyb0RvYy54bWxQSwUGAAAAAAYABgBZAQAAa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72128" behindDoc="1" locked="0" layoutInCell="1" allowOverlap="1">
              <wp:simplePos x="0" y="0"/>
              <wp:positionH relativeFrom="page">
                <wp:posOffset>3811905</wp:posOffset>
              </wp:positionH>
              <wp:positionV relativeFrom="page">
                <wp:posOffset>9945370</wp:posOffset>
              </wp:positionV>
              <wp:extent cx="166370" cy="152400"/>
              <wp:effectExtent l="0" t="0" r="0" b="0"/>
              <wp:wrapNone/>
              <wp:docPr id="104"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300.15pt;margin-top:783.1pt;height:12pt;width:13.1pt;mso-position-horizontal-relative:page;mso-position-vertical-relative:page;z-index:-255844352;mso-width-relative:page;mso-height-relative:page;" filled="f" stroked="f" coordsize="21600,21600" o:gfxdata="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Np589kAAAANAQAADwAAAAAA&#10;AAABACAAAAAiAAAAZHJzL2Rvd25yZXYueG1sUEsBAhQAFAAAAAgAh07iQB3xefSgAQAAJgMAAA4A&#10;AAAAAAAAAQAgAAAAKA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74176" behindDoc="1" locked="0" layoutInCell="1" allowOverlap="1">
              <wp:simplePos x="0" y="0"/>
              <wp:positionH relativeFrom="page">
                <wp:posOffset>1143000</wp:posOffset>
              </wp:positionH>
              <wp:positionV relativeFrom="page">
                <wp:posOffset>6806565</wp:posOffset>
              </wp:positionV>
              <wp:extent cx="8406130" cy="0"/>
              <wp:effectExtent l="0" t="0" r="0" b="0"/>
              <wp:wrapNone/>
              <wp:docPr id="106" name="直线 14"/>
              <wp:cNvGraphicFramePr/>
              <a:graphic xmlns:a="http://schemas.openxmlformats.org/drawingml/2006/main">
                <a:graphicData uri="http://schemas.microsoft.com/office/word/2010/wordprocessingShape">
                  <wps:wsp>
                    <wps:cNvCnPr/>
                    <wps:spPr>
                      <a:xfrm>
                        <a:off x="0" y="0"/>
                        <a:ext cx="84061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4" o:spid="_x0000_s1026" o:spt="20" style="position:absolute;left:0pt;margin-left:90pt;margin-top:535.95pt;height:0pt;width:661.9pt;mso-position-horizontal-relative:page;mso-position-vertical-relative:page;z-index:-255842304;mso-width-relative:page;mso-height-relative:page;" filled="f" stroked="t" coordsize="21600,21600" o:gfxdata="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i3rM2AAAAA4BAAAPAAAAAAAAAAEAIAAAACIA&#10;AABkcnMvZG93bnJldi54bWxQSwECFAAUAAAACACHTuJAM+o2KNABAACQAwAADgAAAAAAAAABACAA&#10;AAAnAQAAZHJzL2Uyb0RvYy54bWxQSwUGAAAAAAYABgBZAQAAa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75200" behindDoc="1" locked="0" layoutInCell="1" allowOverlap="1">
              <wp:simplePos x="0" y="0"/>
              <wp:positionH relativeFrom="page">
                <wp:posOffset>5389245</wp:posOffset>
              </wp:positionH>
              <wp:positionV relativeFrom="page">
                <wp:posOffset>6813550</wp:posOffset>
              </wp:positionV>
              <wp:extent cx="140970" cy="152400"/>
              <wp:effectExtent l="0" t="0" r="0" b="0"/>
              <wp:wrapNone/>
              <wp:docPr id="107" name="文本框 15"/>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36</w:t>
                          </w:r>
                        </w:p>
                      </w:txbxContent>
                    </wps:txbx>
                    <wps:bodyPr lIns="0" tIns="0" rIns="0" bIns="0" upright="1"/>
                  </wps:wsp>
                </a:graphicData>
              </a:graphic>
            </wp:anchor>
          </w:drawing>
        </mc:Choice>
        <mc:Fallback>
          <w:pict>
            <v:shape id="文本框 15" o:spid="_x0000_s1026" o:spt="202" type="#_x0000_t202" style="position:absolute;left:0pt;margin-left:424.35pt;margin-top:536.5pt;height:12pt;width:11.1pt;mso-position-horizontal-relative:page;mso-position-vertical-relative:page;z-index:-255841280;mso-width-relative:page;mso-height-relative:page;" filled="f" stroked="f" coordsize="21600,21600" o:gfxdata="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oODaAAAADQEAAA8AAAAA&#10;AAAAAQAgAAAAIgAAAGRycy9kb3ducmV2LnhtbFBLAQIUABQAAAAIAIdO4kDtx9ZboAEAACYDAAAO&#10;AAAAAAAAAAEAIAAAACk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36</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78272" behindDoc="1" locked="0" layoutInCell="1" allowOverlap="1">
              <wp:simplePos x="0" y="0"/>
              <wp:positionH relativeFrom="page">
                <wp:posOffset>1140460</wp:posOffset>
              </wp:positionH>
              <wp:positionV relativeFrom="page">
                <wp:posOffset>9938385</wp:posOffset>
              </wp:positionV>
              <wp:extent cx="5278120" cy="0"/>
              <wp:effectExtent l="0" t="0" r="0" b="0"/>
              <wp:wrapNone/>
              <wp:docPr id="110" name="直线 18"/>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89.8pt;margin-top:782.55pt;height:0pt;width:415.6pt;mso-position-horizontal-relative:page;mso-position-vertical-relative:page;z-index:-255838208;mso-width-relative:page;mso-height-relative:page;" filled="f" stroked="t" coordsize="21600,21600" o:gfxdata="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O8tuvZAAAADgEAAA8AAAAAAAAAAQAgAAAAIgAA&#10;AGRycy9kb3ducmV2LnhtbFBLAQIUABQAAAAIAIdO4kATgheIzgEAAJADAAAOAAAAAAAAAAEAIAAA&#10;ACgBAABkcnMvZTJvRG9jLnhtbFBLBQYAAAAABgAGAFkBAABo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79296" behindDoc="1" locked="0" layoutInCell="1" allowOverlap="1">
              <wp:simplePos x="0" y="0"/>
              <wp:positionH relativeFrom="page">
                <wp:posOffset>3811905</wp:posOffset>
              </wp:positionH>
              <wp:positionV relativeFrom="page">
                <wp:posOffset>9945370</wp:posOffset>
              </wp:positionV>
              <wp:extent cx="166370" cy="152400"/>
              <wp:effectExtent l="0" t="0" r="0" b="0"/>
              <wp:wrapNone/>
              <wp:docPr id="111" name="文本框 1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19" o:spid="_x0000_s1026" o:spt="202" type="#_x0000_t202" style="position:absolute;left:0pt;margin-left:300.15pt;margin-top:783.1pt;height:12pt;width:13.1pt;mso-position-horizontal-relative:page;mso-position-vertical-relative:page;z-index:-255837184;mso-width-relative:page;mso-height-relative:page;" filled="f" stroked="f" coordsize="21600,21600" o:gfxdata="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Np589kAAAANAQAADwAAAAAA&#10;AAABACAAAAAiAAAAZHJzL2Rvd25yZXYueG1sUEsBAhQAFAAAAAgAh07iQNISJZqgAQAAJgMAAA4A&#10;AAAAAAAAAQAgAAAAKA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47482368" behindDoc="1" locked="0" layoutInCell="1" allowOverlap="1">
              <wp:simplePos x="0" y="0"/>
              <wp:positionH relativeFrom="page">
                <wp:posOffset>1140460</wp:posOffset>
              </wp:positionH>
              <wp:positionV relativeFrom="page">
                <wp:posOffset>9848850</wp:posOffset>
              </wp:positionV>
              <wp:extent cx="5278120" cy="0"/>
              <wp:effectExtent l="0" t="0" r="0" b="0"/>
              <wp:wrapNone/>
              <wp:docPr id="114" name="直线 22"/>
              <wp:cNvGraphicFramePr/>
              <a:graphic xmlns:a="http://schemas.openxmlformats.org/drawingml/2006/main">
                <a:graphicData uri="http://schemas.microsoft.com/office/word/2010/wordprocessingShape">
                  <wps:wsp>
                    <wps:cNvCnPr/>
                    <wps:spPr>
                      <a:xfrm>
                        <a:off x="0" y="0"/>
                        <a:ext cx="527812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89.8pt;margin-top:775.5pt;height:0pt;width:415.6pt;mso-position-horizontal-relative:page;mso-position-vertical-relative:page;z-index:-255834112;mso-width-relative:page;mso-height-relative:page;" filled="f" stroked="t" coordsize="21600,21600" o:gfxdata="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1quZ02QAAAA4BAAAPAAAAAAAAAAEAIAAAACIA&#10;AABkcnMvZG93bnJldi54bWxQSwECFAAUAAAACACHTuJATgKy1s8BAACQAwAADgAAAAAAAAABACAA&#10;AAAoAQAAZHJzL2Uyb0RvYy54bWxQSwUGAAAAAAYABgBZAQAAa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47483392" behindDoc="1" locked="0" layoutInCell="1" allowOverlap="1">
              <wp:simplePos x="0" y="0"/>
              <wp:positionH relativeFrom="page">
                <wp:posOffset>3811905</wp:posOffset>
              </wp:positionH>
              <wp:positionV relativeFrom="page">
                <wp:posOffset>9855835</wp:posOffset>
              </wp:positionV>
              <wp:extent cx="166370" cy="152400"/>
              <wp:effectExtent l="0" t="0" r="0" b="0"/>
              <wp:wrapNone/>
              <wp:docPr id="115" name="文本框 2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23" o:spid="_x0000_s1026" o:spt="202" type="#_x0000_t202" style="position:absolute;left:0pt;margin-left:300.15pt;margin-top:776.05pt;height:12pt;width:13.1pt;mso-position-horizontal-relative:page;mso-position-vertical-relative:page;z-index:-255833088;mso-width-relative:page;mso-height-relative:page;" filled="f" stroked="f" coordsize="21600,21600" o:gfxdata="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lXCgdkAAAANAQAADwAAAAAA&#10;AAABACAAAAAiAAAAZHJzL2Rvd25yZXYueG1sUEsBAhQAFAAAAAgAh07iQAlPUUigAQAAJgMAAA4A&#10;AAAAAAAAAQAgAAAAKA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6"/>
      <w:numFmt w:val="decimal"/>
      <w:lvlText w:val="%1"/>
      <w:lvlJc w:val="left"/>
      <w:pPr>
        <w:ind w:left="497" w:hanging="360"/>
        <w:jc w:val="left"/>
      </w:pPr>
      <w:rPr>
        <w:rFonts w:hint="default" w:ascii="Times New Roman" w:hAnsi="Times New Roman" w:eastAsia="Times New Roman" w:cs="Times New Roman"/>
        <w:b/>
        <w:bCs/>
        <w:w w:val="99"/>
        <w:sz w:val="36"/>
        <w:szCs w:val="36"/>
        <w:lang w:val="zh-CN" w:eastAsia="zh-CN" w:bidi="zh-CN"/>
      </w:rPr>
    </w:lvl>
    <w:lvl w:ilvl="1" w:tentative="0">
      <w:start w:val="1"/>
      <w:numFmt w:val="decimal"/>
      <w:lvlText w:val="%1.%2"/>
      <w:lvlJc w:val="left"/>
      <w:pPr>
        <w:ind w:left="740" w:hanging="603"/>
        <w:jc w:val="left"/>
      </w:pPr>
      <w:rPr>
        <w:rFonts w:hint="default" w:ascii="Arial" w:hAnsi="Arial" w:eastAsia="Arial" w:cs="Arial"/>
        <w:b/>
        <w:bCs/>
        <w:w w:val="99"/>
        <w:sz w:val="32"/>
        <w:szCs w:val="32"/>
        <w:lang w:val="zh-CN" w:eastAsia="zh-CN" w:bidi="zh-CN"/>
      </w:rPr>
    </w:lvl>
    <w:lvl w:ilvl="2" w:tentative="0">
      <w:start w:val="1"/>
      <w:numFmt w:val="decimal"/>
      <w:lvlText w:val="（%3）"/>
      <w:lvlJc w:val="left"/>
      <w:pPr>
        <w:ind w:left="1192" w:hanging="601"/>
        <w:jc w:val="left"/>
      </w:pPr>
      <w:rPr>
        <w:rFonts w:hint="default" w:ascii="仿宋" w:hAnsi="仿宋" w:eastAsia="仿宋" w:cs="仿宋"/>
        <w:w w:val="100"/>
        <w:sz w:val="22"/>
        <w:szCs w:val="22"/>
        <w:lang w:val="zh-CN" w:eastAsia="zh-CN" w:bidi="zh-CN"/>
      </w:rPr>
    </w:lvl>
    <w:lvl w:ilvl="3" w:tentative="0">
      <w:start w:val="0"/>
      <w:numFmt w:val="bullet"/>
      <w:lvlText w:val="•"/>
      <w:lvlJc w:val="left"/>
      <w:pPr>
        <w:ind w:left="2135" w:hanging="601"/>
      </w:pPr>
      <w:rPr>
        <w:rFonts w:hint="default"/>
        <w:lang w:val="zh-CN" w:eastAsia="zh-CN" w:bidi="zh-CN"/>
      </w:rPr>
    </w:lvl>
    <w:lvl w:ilvl="4" w:tentative="0">
      <w:start w:val="0"/>
      <w:numFmt w:val="bullet"/>
      <w:lvlText w:val="•"/>
      <w:lvlJc w:val="left"/>
      <w:pPr>
        <w:ind w:left="3071" w:hanging="601"/>
      </w:pPr>
      <w:rPr>
        <w:rFonts w:hint="default"/>
        <w:lang w:val="zh-CN" w:eastAsia="zh-CN" w:bidi="zh-CN"/>
      </w:rPr>
    </w:lvl>
    <w:lvl w:ilvl="5" w:tentative="0">
      <w:start w:val="0"/>
      <w:numFmt w:val="bullet"/>
      <w:lvlText w:val="•"/>
      <w:lvlJc w:val="left"/>
      <w:pPr>
        <w:ind w:left="4007" w:hanging="601"/>
      </w:pPr>
      <w:rPr>
        <w:rFonts w:hint="default"/>
        <w:lang w:val="zh-CN" w:eastAsia="zh-CN" w:bidi="zh-CN"/>
      </w:rPr>
    </w:lvl>
    <w:lvl w:ilvl="6" w:tentative="0">
      <w:start w:val="0"/>
      <w:numFmt w:val="bullet"/>
      <w:lvlText w:val="•"/>
      <w:lvlJc w:val="left"/>
      <w:pPr>
        <w:ind w:left="4943" w:hanging="601"/>
      </w:pPr>
      <w:rPr>
        <w:rFonts w:hint="default"/>
        <w:lang w:val="zh-CN" w:eastAsia="zh-CN" w:bidi="zh-CN"/>
      </w:rPr>
    </w:lvl>
    <w:lvl w:ilvl="7" w:tentative="0">
      <w:start w:val="0"/>
      <w:numFmt w:val="bullet"/>
      <w:lvlText w:val="•"/>
      <w:lvlJc w:val="left"/>
      <w:pPr>
        <w:ind w:left="5878" w:hanging="601"/>
      </w:pPr>
      <w:rPr>
        <w:rFonts w:hint="default"/>
        <w:lang w:val="zh-CN" w:eastAsia="zh-CN" w:bidi="zh-CN"/>
      </w:rPr>
    </w:lvl>
    <w:lvl w:ilvl="8" w:tentative="0">
      <w:start w:val="0"/>
      <w:numFmt w:val="bullet"/>
      <w:lvlText w:val="•"/>
      <w:lvlJc w:val="left"/>
      <w:pPr>
        <w:ind w:left="6814" w:hanging="601"/>
      </w:pPr>
      <w:rPr>
        <w:rFonts w:hint="default"/>
        <w:lang w:val="zh-CN" w:eastAsia="zh-CN" w:bidi="zh-CN"/>
      </w:rPr>
    </w:lvl>
  </w:abstractNum>
  <w:abstractNum w:abstractNumId="1">
    <w:nsid w:val="9288B902"/>
    <w:multiLevelType w:val="multilevel"/>
    <w:tmpl w:val="9288B902"/>
    <w:lvl w:ilvl="0" w:tentative="0">
      <w:start w:val="1"/>
      <w:numFmt w:val="decimal"/>
      <w:lvlText w:val="（%1）"/>
      <w:lvlJc w:val="left"/>
      <w:pPr>
        <w:ind w:left="13" w:hanging="601"/>
        <w:jc w:val="left"/>
      </w:pPr>
      <w:rPr>
        <w:rFonts w:hint="default" w:ascii="仿宋" w:hAnsi="仿宋" w:eastAsia="仿宋" w:cs="仿宋"/>
        <w:spacing w:val="-29"/>
        <w:w w:val="100"/>
        <w:sz w:val="22"/>
        <w:szCs w:val="22"/>
        <w:lang w:val="zh-CN" w:eastAsia="zh-CN" w:bidi="zh-CN"/>
      </w:rPr>
    </w:lvl>
    <w:lvl w:ilvl="1" w:tentative="0">
      <w:start w:val="0"/>
      <w:numFmt w:val="bullet"/>
      <w:lvlText w:val="•"/>
      <w:lvlJc w:val="left"/>
      <w:pPr>
        <w:ind w:left="597" w:hanging="601"/>
      </w:pPr>
      <w:rPr>
        <w:rFonts w:hint="default"/>
        <w:lang w:val="zh-CN" w:eastAsia="zh-CN" w:bidi="zh-CN"/>
      </w:rPr>
    </w:lvl>
    <w:lvl w:ilvl="2" w:tentative="0">
      <w:start w:val="0"/>
      <w:numFmt w:val="bullet"/>
      <w:lvlText w:val="•"/>
      <w:lvlJc w:val="left"/>
      <w:pPr>
        <w:ind w:left="1174" w:hanging="601"/>
      </w:pPr>
      <w:rPr>
        <w:rFonts w:hint="default"/>
        <w:lang w:val="zh-CN" w:eastAsia="zh-CN" w:bidi="zh-CN"/>
      </w:rPr>
    </w:lvl>
    <w:lvl w:ilvl="3" w:tentative="0">
      <w:start w:val="0"/>
      <w:numFmt w:val="bullet"/>
      <w:lvlText w:val="•"/>
      <w:lvlJc w:val="left"/>
      <w:pPr>
        <w:ind w:left="1752" w:hanging="601"/>
      </w:pPr>
      <w:rPr>
        <w:rFonts w:hint="default"/>
        <w:lang w:val="zh-CN" w:eastAsia="zh-CN" w:bidi="zh-CN"/>
      </w:rPr>
    </w:lvl>
    <w:lvl w:ilvl="4" w:tentative="0">
      <w:start w:val="0"/>
      <w:numFmt w:val="bullet"/>
      <w:lvlText w:val="•"/>
      <w:lvlJc w:val="left"/>
      <w:pPr>
        <w:ind w:left="2329" w:hanging="601"/>
      </w:pPr>
      <w:rPr>
        <w:rFonts w:hint="default"/>
        <w:lang w:val="zh-CN" w:eastAsia="zh-CN" w:bidi="zh-CN"/>
      </w:rPr>
    </w:lvl>
    <w:lvl w:ilvl="5" w:tentative="0">
      <w:start w:val="0"/>
      <w:numFmt w:val="bullet"/>
      <w:lvlText w:val="•"/>
      <w:lvlJc w:val="left"/>
      <w:pPr>
        <w:ind w:left="2907" w:hanging="601"/>
      </w:pPr>
      <w:rPr>
        <w:rFonts w:hint="default"/>
        <w:lang w:val="zh-CN" w:eastAsia="zh-CN" w:bidi="zh-CN"/>
      </w:rPr>
    </w:lvl>
    <w:lvl w:ilvl="6" w:tentative="0">
      <w:start w:val="0"/>
      <w:numFmt w:val="bullet"/>
      <w:lvlText w:val="•"/>
      <w:lvlJc w:val="left"/>
      <w:pPr>
        <w:ind w:left="3484" w:hanging="601"/>
      </w:pPr>
      <w:rPr>
        <w:rFonts w:hint="default"/>
        <w:lang w:val="zh-CN" w:eastAsia="zh-CN" w:bidi="zh-CN"/>
      </w:rPr>
    </w:lvl>
    <w:lvl w:ilvl="7" w:tentative="0">
      <w:start w:val="0"/>
      <w:numFmt w:val="bullet"/>
      <w:lvlText w:val="•"/>
      <w:lvlJc w:val="left"/>
      <w:pPr>
        <w:ind w:left="4061" w:hanging="601"/>
      </w:pPr>
      <w:rPr>
        <w:rFonts w:hint="default"/>
        <w:lang w:val="zh-CN" w:eastAsia="zh-CN" w:bidi="zh-CN"/>
      </w:rPr>
    </w:lvl>
    <w:lvl w:ilvl="8" w:tentative="0">
      <w:start w:val="0"/>
      <w:numFmt w:val="bullet"/>
      <w:lvlText w:val="•"/>
      <w:lvlJc w:val="left"/>
      <w:pPr>
        <w:ind w:left="4639" w:hanging="601"/>
      </w:pPr>
      <w:rPr>
        <w:rFonts w:hint="default"/>
        <w:lang w:val="zh-CN" w:eastAsia="zh-CN" w:bidi="zh-CN"/>
      </w:rPr>
    </w:lvl>
  </w:abstractNum>
  <w:abstractNum w:abstractNumId="2">
    <w:nsid w:val="B3A59149"/>
    <w:multiLevelType w:val="singleLevel"/>
    <w:tmpl w:val="B3A59149"/>
    <w:lvl w:ilvl="0" w:tentative="0">
      <w:start w:val="2"/>
      <w:numFmt w:val="decimal"/>
      <w:suff w:val="nothing"/>
      <w:lvlText w:val="%1、"/>
      <w:lvlJc w:val="left"/>
    </w:lvl>
  </w:abstractNum>
  <w:abstractNum w:abstractNumId="3">
    <w:nsid w:val="BE923771"/>
    <w:multiLevelType w:val="multilevel"/>
    <w:tmpl w:val="BE923771"/>
    <w:lvl w:ilvl="0" w:tentative="0">
      <w:start w:val="4"/>
      <w:numFmt w:val="decimal"/>
      <w:lvlText w:val="%1"/>
      <w:lvlJc w:val="left"/>
      <w:pPr>
        <w:ind w:left="740" w:hanging="603"/>
        <w:jc w:val="left"/>
      </w:pPr>
      <w:rPr>
        <w:rFonts w:hint="default"/>
        <w:lang w:val="zh-CN" w:eastAsia="zh-CN" w:bidi="zh-CN"/>
      </w:rPr>
    </w:lvl>
    <w:lvl w:ilvl="1" w:tentative="0">
      <w:start w:val="2"/>
      <w:numFmt w:val="decimal"/>
      <w:lvlText w:val="%1.%2"/>
      <w:lvlJc w:val="left"/>
      <w:pPr>
        <w:ind w:left="740" w:hanging="603"/>
        <w:jc w:val="left"/>
      </w:pPr>
      <w:rPr>
        <w:rFonts w:hint="default" w:ascii="Arial" w:hAnsi="Arial" w:eastAsia="Arial" w:cs="Arial"/>
        <w:b/>
        <w:bCs/>
        <w:w w:val="99"/>
        <w:sz w:val="32"/>
        <w:szCs w:val="32"/>
        <w:lang w:val="zh-CN" w:eastAsia="zh-CN" w:bidi="zh-CN"/>
      </w:rPr>
    </w:lvl>
    <w:lvl w:ilvl="2" w:tentative="0">
      <w:start w:val="1"/>
      <w:numFmt w:val="decimal"/>
      <w:lvlText w:val="（%3）"/>
      <w:lvlJc w:val="left"/>
      <w:pPr>
        <w:ind w:left="1192" w:hanging="601"/>
        <w:jc w:val="left"/>
      </w:pPr>
      <w:rPr>
        <w:rFonts w:hint="default" w:ascii="仿宋" w:hAnsi="仿宋" w:eastAsia="仿宋" w:cs="仿宋"/>
        <w:w w:val="100"/>
        <w:sz w:val="22"/>
        <w:szCs w:val="22"/>
        <w:lang w:val="zh-CN" w:eastAsia="zh-CN" w:bidi="zh-CN"/>
      </w:rPr>
    </w:lvl>
    <w:lvl w:ilvl="3" w:tentative="0">
      <w:start w:val="0"/>
      <w:numFmt w:val="bullet"/>
      <w:lvlText w:val="•"/>
      <w:lvlJc w:val="left"/>
      <w:pPr>
        <w:ind w:left="3085" w:hanging="601"/>
      </w:pPr>
      <w:rPr>
        <w:rFonts w:hint="default"/>
        <w:lang w:val="zh-CN" w:eastAsia="zh-CN" w:bidi="zh-CN"/>
      </w:rPr>
    </w:lvl>
    <w:lvl w:ilvl="4" w:tentative="0">
      <w:start w:val="0"/>
      <w:numFmt w:val="bullet"/>
      <w:lvlText w:val="•"/>
      <w:lvlJc w:val="left"/>
      <w:pPr>
        <w:ind w:left="4028" w:hanging="601"/>
      </w:pPr>
      <w:rPr>
        <w:rFonts w:hint="default"/>
        <w:lang w:val="zh-CN" w:eastAsia="zh-CN" w:bidi="zh-CN"/>
      </w:rPr>
    </w:lvl>
    <w:lvl w:ilvl="5" w:tentative="0">
      <w:start w:val="0"/>
      <w:numFmt w:val="bullet"/>
      <w:lvlText w:val="•"/>
      <w:lvlJc w:val="left"/>
      <w:pPr>
        <w:ind w:left="4971" w:hanging="601"/>
      </w:pPr>
      <w:rPr>
        <w:rFonts w:hint="default"/>
        <w:lang w:val="zh-CN" w:eastAsia="zh-CN" w:bidi="zh-CN"/>
      </w:rPr>
    </w:lvl>
    <w:lvl w:ilvl="6" w:tentative="0">
      <w:start w:val="0"/>
      <w:numFmt w:val="bullet"/>
      <w:lvlText w:val="•"/>
      <w:lvlJc w:val="left"/>
      <w:pPr>
        <w:ind w:left="5914" w:hanging="601"/>
      </w:pPr>
      <w:rPr>
        <w:rFonts w:hint="default"/>
        <w:lang w:val="zh-CN" w:eastAsia="zh-CN" w:bidi="zh-CN"/>
      </w:rPr>
    </w:lvl>
    <w:lvl w:ilvl="7" w:tentative="0">
      <w:start w:val="0"/>
      <w:numFmt w:val="bullet"/>
      <w:lvlText w:val="•"/>
      <w:lvlJc w:val="left"/>
      <w:pPr>
        <w:ind w:left="6857" w:hanging="601"/>
      </w:pPr>
      <w:rPr>
        <w:rFonts w:hint="default"/>
        <w:lang w:val="zh-CN" w:eastAsia="zh-CN" w:bidi="zh-CN"/>
      </w:rPr>
    </w:lvl>
    <w:lvl w:ilvl="8" w:tentative="0">
      <w:start w:val="0"/>
      <w:numFmt w:val="bullet"/>
      <w:lvlText w:val="•"/>
      <w:lvlJc w:val="left"/>
      <w:pPr>
        <w:ind w:left="7800" w:hanging="601"/>
      </w:pPr>
      <w:rPr>
        <w:rFonts w:hint="default"/>
        <w:lang w:val="zh-CN" w:eastAsia="zh-CN" w:bidi="zh-CN"/>
      </w:rPr>
    </w:lvl>
  </w:abstractNum>
  <w:abstractNum w:abstractNumId="4">
    <w:nsid w:val="CF092B84"/>
    <w:multiLevelType w:val="multilevel"/>
    <w:tmpl w:val="CF092B84"/>
    <w:lvl w:ilvl="0" w:tentative="0">
      <w:start w:val="1"/>
      <w:numFmt w:val="decimal"/>
      <w:lvlText w:val="%1"/>
      <w:lvlJc w:val="left"/>
      <w:pPr>
        <w:ind w:left="977" w:hanging="360"/>
        <w:jc w:val="left"/>
      </w:pPr>
      <w:rPr>
        <w:rFonts w:hint="default" w:ascii="Times New Roman" w:hAnsi="Times New Roman" w:eastAsia="Times New Roman" w:cs="Times New Roman"/>
        <w:b/>
        <w:bCs/>
        <w:w w:val="99"/>
        <w:sz w:val="36"/>
        <w:szCs w:val="36"/>
        <w:lang w:val="zh-CN" w:eastAsia="zh-CN" w:bidi="zh-CN"/>
      </w:rPr>
    </w:lvl>
    <w:lvl w:ilvl="1" w:tentative="0">
      <w:start w:val="1"/>
      <w:numFmt w:val="decimal"/>
      <w:lvlText w:val="%1.%2"/>
      <w:lvlJc w:val="left"/>
      <w:pPr>
        <w:ind w:left="1220" w:hanging="603"/>
        <w:jc w:val="left"/>
      </w:pPr>
      <w:rPr>
        <w:rFonts w:hint="default" w:ascii="Arial" w:hAnsi="Arial" w:eastAsia="Arial" w:cs="Arial"/>
        <w:b/>
        <w:bCs/>
        <w:w w:val="99"/>
        <w:sz w:val="32"/>
        <w:szCs w:val="32"/>
        <w:lang w:val="zh-CN" w:eastAsia="zh-CN" w:bidi="zh-CN"/>
      </w:rPr>
    </w:lvl>
    <w:lvl w:ilvl="2" w:tentative="0">
      <w:start w:val="1"/>
      <w:numFmt w:val="decimal"/>
      <w:lvlText w:val="%1.%2.%3"/>
      <w:lvlJc w:val="left"/>
      <w:pPr>
        <w:ind w:left="131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617"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2498" w:hanging="601"/>
      </w:pPr>
      <w:rPr>
        <w:rFonts w:hint="default"/>
        <w:lang w:val="zh-CN" w:eastAsia="zh-CN" w:bidi="zh-CN"/>
      </w:rPr>
    </w:lvl>
    <w:lvl w:ilvl="5" w:tentative="0">
      <w:start w:val="0"/>
      <w:numFmt w:val="bullet"/>
      <w:lvlText w:val="•"/>
      <w:lvlJc w:val="left"/>
      <w:pPr>
        <w:ind w:left="3676" w:hanging="601"/>
      </w:pPr>
      <w:rPr>
        <w:rFonts w:hint="default"/>
        <w:lang w:val="zh-CN" w:eastAsia="zh-CN" w:bidi="zh-CN"/>
      </w:rPr>
    </w:lvl>
    <w:lvl w:ilvl="6" w:tentative="0">
      <w:start w:val="0"/>
      <w:numFmt w:val="bullet"/>
      <w:lvlText w:val="•"/>
      <w:lvlJc w:val="left"/>
      <w:pPr>
        <w:ind w:left="4854" w:hanging="601"/>
      </w:pPr>
      <w:rPr>
        <w:rFonts w:hint="default"/>
        <w:lang w:val="zh-CN" w:eastAsia="zh-CN" w:bidi="zh-CN"/>
      </w:rPr>
    </w:lvl>
    <w:lvl w:ilvl="7" w:tentative="0">
      <w:start w:val="0"/>
      <w:numFmt w:val="bullet"/>
      <w:lvlText w:val="•"/>
      <w:lvlJc w:val="left"/>
      <w:pPr>
        <w:ind w:left="6032" w:hanging="601"/>
      </w:pPr>
      <w:rPr>
        <w:rFonts w:hint="default"/>
        <w:lang w:val="zh-CN" w:eastAsia="zh-CN" w:bidi="zh-CN"/>
      </w:rPr>
    </w:lvl>
    <w:lvl w:ilvl="8" w:tentative="0">
      <w:start w:val="0"/>
      <w:numFmt w:val="bullet"/>
      <w:lvlText w:val="•"/>
      <w:lvlJc w:val="left"/>
      <w:pPr>
        <w:ind w:left="7210" w:hanging="601"/>
      </w:pPr>
      <w:rPr>
        <w:rFonts w:hint="default"/>
        <w:lang w:val="zh-CN" w:eastAsia="zh-CN" w:bidi="zh-CN"/>
      </w:rPr>
    </w:lvl>
  </w:abstractNum>
  <w:abstractNum w:abstractNumId="5">
    <w:nsid w:val="D7F9FE59"/>
    <w:multiLevelType w:val="multilevel"/>
    <w:tmpl w:val="D7F9FE59"/>
    <w:lvl w:ilvl="0" w:tentative="0">
      <w:start w:val="1"/>
      <w:numFmt w:val="decimal"/>
      <w:lvlText w:val="(%1)"/>
      <w:lvlJc w:val="left"/>
      <w:pPr>
        <w:ind w:left="137" w:hanging="399"/>
        <w:jc w:val="right"/>
      </w:pPr>
      <w:rPr>
        <w:rFonts w:hint="default" w:ascii="Times New Roman" w:hAnsi="Times New Roman" w:eastAsia="Times New Roman" w:cs="Times New Roman"/>
        <w:spacing w:val="-16"/>
        <w:w w:val="100"/>
        <w:sz w:val="24"/>
        <w:szCs w:val="24"/>
        <w:lang w:val="zh-CN" w:eastAsia="zh-CN" w:bidi="zh-CN"/>
      </w:rPr>
    </w:lvl>
    <w:lvl w:ilvl="1" w:tentative="0">
      <w:start w:val="0"/>
      <w:numFmt w:val="bullet"/>
      <w:lvlText w:val="•"/>
      <w:lvlJc w:val="left"/>
      <w:pPr>
        <w:ind w:left="1094" w:hanging="399"/>
      </w:pPr>
      <w:rPr>
        <w:rFonts w:hint="default"/>
        <w:lang w:val="zh-CN" w:eastAsia="zh-CN" w:bidi="zh-CN"/>
      </w:rPr>
    </w:lvl>
    <w:lvl w:ilvl="2" w:tentative="0">
      <w:start w:val="0"/>
      <w:numFmt w:val="bullet"/>
      <w:lvlText w:val="•"/>
      <w:lvlJc w:val="left"/>
      <w:pPr>
        <w:ind w:left="2049" w:hanging="399"/>
      </w:pPr>
      <w:rPr>
        <w:rFonts w:hint="default"/>
        <w:lang w:val="zh-CN" w:eastAsia="zh-CN" w:bidi="zh-CN"/>
      </w:rPr>
    </w:lvl>
    <w:lvl w:ilvl="3" w:tentative="0">
      <w:start w:val="0"/>
      <w:numFmt w:val="bullet"/>
      <w:lvlText w:val="•"/>
      <w:lvlJc w:val="left"/>
      <w:pPr>
        <w:ind w:left="3003" w:hanging="399"/>
      </w:pPr>
      <w:rPr>
        <w:rFonts w:hint="default"/>
        <w:lang w:val="zh-CN" w:eastAsia="zh-CN" w:bidi="zh-CN"/>
      </w:rPr>
    </w:lvl>
    <w:lvl w:ilvl="4" w:tentative="0">
      <w:start w:val="0"/>
      <w:numFmt w:val="bullet"/>
      <w:lvlText w:val="•"/>
      <w:lvlJc w:val="left"/>
      <w:pPr>
        <w:ind w:left="3958" w:hanging="399"/>
      </w:pPr>
      <w:rPr>
        <w:rFonts w:hint="default"/>
        <w:lang w:val="zh-CN" w:eastAsia="zh-CN" w:bidi="zh-CN"/>
      </w:rPr>
    </w:lvl>
    <w:lvl w:ilvl="5" w:tentative="0">
      <w:start w:val="0"/>
      <w:numFmt w:val="bullet"/>
      <w:lvlText w:val="•"/>
      <w:lvlJc w:val="left"/>
      <w:pPr>
        <w:ind w:left="4913" w:hanging="399"/>
      </w:pPr>
      <w:rPr>
        <w:rFonts w:hint="default"/>
        <w:lang w:val="zh-CN" w:eastAsia="zh-CN" w:bidi="zh-CN"/>
      </w:rPr>
    </w:lvl>
    <w:lvl w:ilvl="6" w:tentative="0">
      <w:start w:val="0"/>
      <w:numFmt w:val="bullet"/>
      <w:lvlText w:val="•"/>
      <w:lvlJc w:val="left"/>
      <w:pPr>
        <w:ind w:left="5867" w:hanging="399"/>
      </w:pPr>
      <w:rPr>
        <w:rFonts w:hint="default"/>
        <w:lang w:val="zh-CN" w:eastAsia="zh-CN" w:bidi="zh-CN"/>
      </w:rPr>
    </w:lvl>
    <w:lvl w:ilvl="7" w:tentative="0">
      <w:start w:val="0"/>
      <w:numFmt w:val="bullet"/>
      <w:lvlText w:val="•"/>
      <w:lvlJc w:val="left"/>
      <w:pPr>
        <w:ind w:left="6822" w:hanging="399"/>
      </w:pPr>
      <w:rPr>
        <w:rFonts w:hint="default"/>
        <w:lang w:val="zh-CN" w:eastAsia="zh-CN" w:bidi="zh-CN"/>
      </w:rPr>
    </w:lvl>
    <w:lvl w:ilvl="8" w:tentative="0">
      <w:start w:val="0"/>
      <w:numFmt w:val="bullet"/>
      <w:lvlText w:val="•"/>
      <w:lvlJc w:val="left"/>
      <w:pPr>
        <w:ind w:left="7776" w:hanging="399"/>
      </w:pPr>
      <w:rPr>
        <w:rFonts w:hint="default"/>
        <w:lang w:val="zh-CN" w:eastAsia="zh-CN" w:bidi="zh-CN"/>
      </w:rPr>
    </w:lvl>
  </w:abstractNum>
  <w:abstractNum w:abstractNumId="6">
    <w:nsid w:val="F4B5D9F5"/>
    <w:multiLevelType w:val="multilevel"/>
    <w:tmpl w:val="F4B5D9F5"/>
    <w:lvl w:ilvl="0" w:tentative="0">
      <w:start w:val="3"/>
      <w:numFmt w:val="decimal"/>
      <w:lvlText w:val="%1"/>
      <w:lvlJc w:val="left"/>
      <w:pPr>
        <w:ind w:left="497" w:hanging="360"/>
        <w:jc w:val="left"/>
      </w:pPr>
      <w:rPr>
        <w:rFonts w:hint="default" w:ascii="Times New Roman" w:hAnsi="Times New Roman" w:eastAsia="Times New Roman" w:cs="Times New Roman"/>
        <w:b/>
        <w:bCs/>
        <w:w w:val="99"/>
        <w:sz w:val="36"/>
        <w:szCs w:val="36"/>
        <w:lang w:val="zh-CN" w:eastAsia="zh-CN" w:bidi="zh-CN"/>
      </w:rPr>
    </w:lvl>
    <w:lvl w:ilvl="1" w:tentative="0">
      <w:start w:val="1"/>
      <w:numFmt w:val="decimal"/>
      <w:lvlText w:val="%1.%2"/>
      <w:lvlJc w:val="left"/>
      <w:pPr>
        <w:ind w:left="740" w:hanging="603"/>
        <w:jc w:val="left"/>
      </w:pPr>
      <w:rPr>
        <w:rFonts w:hint="default" w:ascii="Arial" w:hAnsi="Arial" w:eastAsia="Arial" w:cs="Arial"/>
        <w:b/>
        <w:bCs/>
        <w:w w:val="99"/>
        <w:sz w:val="32"/>
        <w:szCs w:val="32"/>
        <w:lang w:val="zh-CN" w:eastAsia="zh-CN" w:bidi="zh-CN"/>
      </w:rPr>
    </w:lvl>
    <w:lvl w:ilvl="2" w:tentative="0">
      <w:start w:val="1"/>
      <w:numFmt w:val="decimal"/>
      <w:lvlText w:val="%1.%2.%3"/>
      <w:lvlJc w:val="left"/>
      <w:pPr>
        <w:ind w:left="836" w:hanging="699"/>
        <w:jc w:val="left"/>
      </w:pPr>
      <w:rPr>
        <w:rFonts w:hint="default"/>
        <w:b/>
        <w:bCs/>
        <w:spacing w:val="-2"/>
        <w:w w:val="100"/>
        <w:lang w:val="zh-CN" w:eastAsia="zh-CN" w:bidi="zh-CN"/>
      </w:rPr>
    </w:lvl>
    <w:lvl w:ilvl="3" w:tentative="0">
      <w:start w:val="1"/>
      <w:numFmt w:val="decimal"/>
      <w:lvlText w:val="%1.%2.%3.%4"/>
      <w:lvlJc w:val="left"/>
      <w:pPr>
        <w:ind w:left="1397" w:hanging="699"/>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017" w:hanging="699"/>
        <w:jc w:val="right"/>
      </w:pPr>
      <w:rPr>
        <w:rFonts w:hint="default" w:ascii="Times New Roman" w:hAnsi="Times New Roman" w:eastAsia="Times New Roman" w:cs="Times New Roman"/>
        <w:spacing w:val="-1"/>
        <w:w w:val="100"/>
        <w:sz w:val="22"/>
        <w:szCs w:val="22"/>
        <w:lang w:val="zh-CN" w:eastAsia="zh-CN" w:bidi="zh-CN"/>
      </w:rPr>
    </w:lvl>
    <w:lvl w:ilvl="5" w:tentative="0">
      <w:start w:val="0"/>
      <w:numFmt w:val="bullet"/>
      <w:lvlText w:val="•"/>
      <w:lvlJc w:val="left"/>
      <w:pPr>
        <w:ind w:left="1340" w:hanging="699"/>
      </w:pPr>
      <w:rPr>
        <w:rFonts w:hint="default"/>
        <w:lang w:val="zh-CN" w:eastAsia="zh-CN" w:bidi="zh-CN"/>
      </w:rPr>
    </w:lvl>
    <w:lvl w:ilvl="6" w:tentative="0">
      <w:start w:val="0"/>
      <w:numFmt w:val="bullet"/>
      <w:lvlText w:val="•"/>
      <w:lvlJc w:val="left"/>
      <w:pPr>
        <w:ind w:left="1400" w:hanging="699"/>
      </w:pPr>
      <w:rPr>
        <w:rFonts w:hint="default"/>
        <w:lang w:val="zh-CN" w:eastAsia="zh-CN" w:bidi="zh-CN"/>
      </w:rPr>
    </w:lvl>
    <w:lvl w:ilvl="7" w:tentative="0">
      <w:start w:val="0"/>
      <w:numFmt w:val="bullet"/>
      <w:lvlText w:val="•"/>
      <w:lvlJc w:val="left"/>
      <w:pPr>
        <w:ind w:left="3221" w:hanging="699"/>
      </w:pPr>
      <w:rPr>
        <w:rFonts w:hint="default"/>
        <w:lang w:val="zh-CN" w:eastAsia="zh-CN" w:bidi="zh-CN"/>
      </w:rPr>
    </w:lvl>
    <w:lvl w:ilvl="8" w:tentative="0">
      <w:start w:val="0"/>
      <w:numFmt w:val="bullet"/>
      <w:lvlText w:val="•"/>
      <w:lvlJc w:val="left"/>
      <w:pPr>
        <w:ind w:left="5043" w:hanging="699"/>
      </w:pPr>
      <w:rPr>
        <w:rFonts w:hint="default"/>
        <w:lang w:val="zh-CN" w:eastAsia="zh-CN" w:bidi="zh-CN"/>
      </w:rPr>
    </w:lvl>
  </w:abstractNum>
  <w:abstractNum w:abstractNumId="7">
    <w:nsid w:val="0053208E"/>
    <w:multiLevelType w:val="multilevel"/>
    <w:tmpl w:val="0053208E"/>
    <w:lvl w:ilvl="0" w:tentative="0">
      <w:start w:val="1"/>
      <w:numFmt w:val="decimal"/>
      <w:lvlText w:val="%1"/>
      <w:lvlJc w:val="left"/>
      <w:pPr>
        <w:ind w:left="1217" w:hanging="202"/>
        <w:jc w:val="left"/>
      </w:pPr>
      <w:rPr>
        <w:rFonts w:hint="default" w:ascii="Times New Roman" w:hAnsi="Times New Roman" w:eastAsia="Times New Roman" w:cs="Times New Roman"/>
        <w:b/>
        <w:bCs/>
        <w:w w:val="99"/>
        <w:sz w:val="20"/>
        <w:szCs w:val="20"/>
        <w:lang w:val="zh-CN" w:eastAsia="zh-CN" w:bidi="zh-CN"/>
      </w:rPr>
    </w:lvl>
    <w:lvl w:ilvl="1" w:tentative="0">
      <w:start w:val="1"/>
      <w:numFmt w:val="decimal"/>
      <w:lvlText w:val="%1.%2"/>
      <w:lvlJc w:val="left"/>
      <w:pPr>
        <w:ind w:left="1366" w:hanging="351"/>
        <w:jc w:val="left"/>
      </w:pPr>
      <w:rPr>
        <w:rFonts w:hint="default" w:ascii="Times New Roman" w:hAnsi="Times New Roman" w:eastAsia="Times New Roman" w:cs="Times New Roman"/>
        <w:spacing w:val="0"/>
        <w:w w:val="99"/>
        <w:sz w:val="20"/>
        <w:szCs w:val="20"/>
        <w:lang w:val="zh-CN" w:eastAsia="zh-CN" w:bidi="zh-CN"/>
      </w:rPr>
    </w:lvl>
    <w:lvl w:ilvl="2" w:tentative="0">
      <w:start w:val="0"/>
      <w:numFmt w:val="bullet"/>
      <w:lvlText w:val="•"/>
      <w:lvlJc w:val="left"/>
      <w:pPr>
        <w:ind w:left="2271" w:hanging="351"/>
      </w:pPr>
      <w:rPr>
        <w:rFonts w:hint="default"/>
        <w:lang w:val="zh-CN" w:eastAsia="zh-CN" w:bidi="zh-CN"/>
      </w:rPr>
    </w:lvl>
    <w:lvl w:ilvl="3" w:tentative="0">
      <w:start w:val="0"/>
      <w:numFmt w:val="bullet"/>
      <w:lvlText w:val="•"/>
      <w:lvlJc w:val="left"/>
      <w:pPr>
        <w:ind w:left="3183" w:hanging="351"/>
      </w:pPr>
      <w:rPr>
        <w:rFonts w:hint="default"/>
        <w:lang w:val="zh-CN" w:eastAsia="zh-CN" w:bidi="zh-CN"/>
      </w:rPr>
    </w:lvl>
    <w:lvl w:ilvl="4" w:tentative="0">
      <w:start w:val="0"/>
      <w:numFmt w:val="bullet"/>
      <w:lvlText w:val="•"/>
      <w:lvlJc w:val="left"/>
      <w:pPr>
        <w:ind w:left="4095" w:hanging="351"/>
      </w:pPr>
      <w:rPr>
        <w:rFonts w:hint="default"/>
        <w:lang w:val="zh-CN" w:eastAsia="zh-CN" w:bidi="zh-CN"/>
      </w:rPr>
    </w:lvl>
    <w:lvl w:ilvl="5" w:tentative="0">
      <w:start w:val="0"/>
      <w:numFmt w:val="bullet"/>
      <w:lvlText w:val="•"/>
      <w:lvlJc w:val="left"/>
      <w:pPr>
        <w:ind w:left="5007" w:hanging="351"/>
      </w:pPr>
      <w:rPr>
        <w:rFonts w:hint="default"/>
        <w:lang w:val="zh-CN" w:eastAsia="zh-CN" w:bidi="zh-CN"/>
      </w:rPr>
    </w:lvl>
    <w:lvl w:ilvl="6" w:tentative="0">
      <w:start w:val="0"/>
      <w:numFmt w:val="bullet"/>
      <w:lvlText w:val="•"/>
      <w:lvlJc w:val="left"/>
      <w:pPr>
        <w:ind w:left="5918" w:hanging="351"/>
      </w:pPr>
      <w:rPr>
        <w:rFonts w:hint="default"/>
        <w:lang w:val="zh-CN" w:eastAsia="zh-CN" w:bidi="zh-CN"/>
      </w:rPr>
    </w:lvl>
    <w:lvl w:ilvl="7" w:tentative="0">
      <w:start w:val="0"/>
      <w:numFmt w:val="bullet"/>
      <w:lvlText w:val="•"/>
      <w:lvlJc w:val="left"/>
      <w:pPr>
        <w:ind w:left="6830" w:hanging="351"/>
      </w:pPr>
      <w:rPr>
        <w:rFonts w:hint="default"/>
        <w:lang w:val="zh-CN" w:eastAsia="zh-CN" w:bidi="zh-CN"/>
      </w:rPr>
    </w:lvl>
    <w:lvl w:ilvl="8" w:tentative="0">
      <w:start w:val="0"/>
      <w:numFmt w:val="bullet"/>
      <w:lvlText w:val="•"/>
      <w:lvlJc w:val="left"/>
      <w:pPr>
        <w:ind w:left="7742" w:hanging="351"/>
      </w:pPr>
      <w:rPr>
        <w:rFonts w:hint="default"/>
        <w:lang w:val="zh-CN" w:eastAsia="zh-CN" w:bidi="zh-CN"/>
      </w:rPr>
    </w:lvl>
  </w:abstractNum>
  <w:abstractNum w:abstractNumId="8">
    <w:nsid w:val="243FCF68"/>
    <w:multiLevelType w:val="multilevel"/>
    <w:tmpl w:val="243FCF68"/>
    <w:lvl w:ilvl="0" w:tentative="0">
      <w:start w:val="3"/>
      <w:numFmt w:val="decimal"/>
      <w:lvlText w:val="（%1）"/>
      <w:lvlJc w:val="left"/>
      <w:pPr>
        <w:ind w:left="1192"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948" w:hanging="601"/>
      </w:pPr>
      <w:rPr>
        <w:rFonts w:hint="default"/>
        <w:lang w:val="zh-CN" w:eastAsia="zh-CN" w:bidi="zh-CN"/>
      </w:rPr>
    </w:lvl>
    <w:lvl w:ilvl="2" w:tentative="0">
      <w:start w:val="0"/>
      <w:numFmt w:val="bullet"/>
      <w:lvlText w:val="•"/>
      <w:lvlJc w:val="left"/>
      <w:pPr>
        <w:ind w:left="2697" w:hanging="601"/>
      </w:pPr>
      <w:rPr>
        <w:rFonts w:hint="default"/>
        <w:lang w:val="zh-CN" w:eastAsia="zh-CN" w:bidi="zh-CN"/>
      </w:rPr>
    </w:lvl>
    <w:lvl w:ilvl="3" w:tentative="0">
      <w:start w:val="0"/>
      <w:numFmt w:val="bullet"/>
      <w:lvlText w:val="•"/>
      <w:lvlJc w:val="left"/>
      <w:pPr>
        <w:ind w:left="3445" w:hanging="601"/>
      </w:pPr>
      <w:rPr>
        <w:rFonts w:hint="default"/>
        <w:lang w:val="zh-CN" w:eastAsia="zh-CN" w:bidi="zh-CN"/>
      </w:rPr>
    </w:lvl>
    <w:lvl w:ilvl="4" w:tentative="0">
      <w:start w:val="0"/>
      <w:numFmt w:val="bullet"/>
      <w:lvlText w:val="•"/>
      <w:lvlJc w:val="left"/>
      <w:pPr>
        <w:ind w:left="4194" w:hanging="601"/>
      </w:pPr>
      <w:rPr>
        <w:rFonts w:hint="default"/>
        <w:lang w:val="zh-CN" w:eastAsia="zh-CN" w:bidi="zh-CN"/>
      </w:rPr>
    </w:lvl>
    <w:lvl w:ilvl="5" w:tentative="0">
      <w:start w:val="0"/>
      <w:numFmt w:val="bullet"/>
      <w:lvlText w:val="•"/>
      <w:lvlJc w:val="left"/>
      <w:pPr>
        <w:ind w:left="4943" w:hanging="601"/>
      </w:pPr>
      <w:rPr>
        <w:rFonts w:hint="default"/>
        <w:lang w:val="zh-CN" w:eastAsia="zh-CN" w:bidi="zh-CN"/>
      </w:rPr>
    </w:lvl>
    <w:lvl w:ilvl="6" w:tentative="0">
      <w:start w:val="0"/>
      <w:numFmt w:val="bullet"/>
      <w:lvlText w:val="•"/>
      <w:lvlJc w:val="left"/>
      <w:pPr>
        <w:ind w:left="5691" w:hanging="601"/>
      </w:pPr>
      <w:rPr>
        <w:rFonts w:hint="default"/>
        <w:lang w:val="zh-CN" w:eastAsia="zh-CN" w:bidi="zh-CN"/>
      </w:rPr>
    </w:lvl>
    <w:lvl w:ilvl="7" w:tentative="0">
      <w:start w:val="0"/>
      <w:numFmt w:val="bullet"/>
      <w:lvlText w:val="•"/>
      <w:lvlJc w:val="left"/>
      <w:pPr>
        <w:ind w:left="6440" w:hanging="601"/>
      </w:pPr>
      <w:rPr>
        <w:rFonts w:hint="default"/>
        <w:lang w:val="zh-CN" w:eastAsia="zh-CN" w:bidi="zh-CN"/>
      </w:rPr>
    </w:lvl>
    <w:lvl w:ilvl="8" w:tentative="0">
      <w:start w:val="0"/>
      <w:numFmt w:val="bullet"/>
      <w:lvlText w:val="•"/>
      <w:lvlJc w:val="left"/>
      <w:pPr>
        <w:ind w:left="7188" w:hanging="601"/>
      </w:pPr>
      <w:rPr>
        <w:rFonts w:hint="default"/>
        <w:lang w:val="zh-CN" w:eastAsia="zh-CN" w:bidi="zh-CN"/>
      </w:rPr>
    </w:lvl>
  </w:abstractNum>
  <w:abstractNum w:abstractNumId="9">
    <w:nsid w:val="30FC5B15"/>
    <w:multiLevelType w:val="multilevel"/>
    <w:tmpl w:val="30FC5B15"/>
    <w:lvl w:ilvl="0" w:tentative="0">
      <w:start w:val="1"/>
      <w:numFmt w:val="decimal"/>
      <w:lvlText w:val="（%1）"/>
      <w:lvlJc w:val="left"/>
      <w:pPr>
        <w:ind w:left="1218" w:hanging="601"/>
        <w:jc w:val="right"/>
      </w:pPr>
      <w:rPr>
        <w:rFonts w:hint="default"/>
        <w:w w:val="100"/>
        <w:lang w:val="zh-CN" w:eastAsia="zh-CN" w:bidi="zh-CN"/>
      </w:rPr>
    </w:lvl>
    <w:lvl w:ilvl="1" w:tentative="0">
      <w:start w:val="0"/>
      <w:numFmt w:val="bullet"/>
      <w:lvlText w:val="•"/>
      <w:lvlJc w:val="left"/>
      <w:pPr>
        <w:ind w:left="1966" w:hanging="601"/>
      </w:pPr>
      <w:rPr>
        <w:rFonts w:hint="default"/>
        <w:lang w:val="zh-CN" w:eastAsia="zh-CN" w:bidi="zh-CN"/>
      </w:rPr>
    </w:lvl>
    <w:lvl w:ilvl="2" w:tentative="0">
      <w:start w:val="0"/>
      <w:numFmt w:val="bullet"/>
      <w:lvlText w:val="•"/>
      <w:lvlJc w:val="left"/>
      <w:pPr>
        <w:ind w:left="2713" w:hanging="601"/>
      </w:pPr>
      <w:rPr>
        <w:rFonts w:hint="default"/>
        <w:lang w:val="zh-CN" w:eastAsia="zh-CN" w:bidi="zh-CN"/>
      </w:rPr>
    </w:lvl>
    <w:lvl w:ilvl="3" w:tentative="0">
      <w:start w:val="0"/>
      <w:numFmt w:val="bullet"/>
      <w:lvlText w:val="•"/>
      <w:lvlJc w:val="left"/>
      <w:pPr>
        <w:ind w:left="3459" w:hanging="601"/>
      </w:pPr>
      <w:rPr>
        <w:rFonts w:hint="default"/>
        <w:lang w:val="zh-CN" w:eastAsia="zh-CN" w:bidi="zh-CN"/>
      </w:rPr>
    </w:lvl>
    <w:lvl w:ilvl="4" w:tentative="0">
      <w:start w:val="0"/>
      <w:numFmt w:val="bullet"/>
      <w:lvlText w:val="•"/>
      <w:lvlJc w:val="left"/>
      <w:pPr>
        <w:ind w:left="4206" w:hanging="601"/>
      </w:pPr>
      <w:rPr>
        <w:rFonts w:hint="default"/>
        <w:lang w:val="zh-CN" w:eastAsia="zh-CN" w:bidi="zh-CN"/>
      </w:rPr>
    </w:lvl>
    <w:lvl w:ilvl="5" w:tentative="0">
      <w:start w:val="0"/>
      <w:numFmt w:val="bullet"/>
      <w:lvlText w:val="•"/>
      <w:lvlJc w:val="left"/>
      <w:pPr>
        <w:ind w:left="4953" w:hanging="601"/>
      </w:pPr>
      <w:rPr>
        <w:rFonts w:hint="default"/>
        <w:lang w:val="zh-CN" w:eastAsia="zh-CN" w:bidi="zh-CN"/>
      </w:rPr>
    </w:lvl>
    <w:lvl w:ilvl="6" w:tentative="0">
      <w:start w:val="0"/>
      <w:numFmt w:val="bullet"/>
      <w:lvlText w:val="•"/>
      <w:lvlJc w:val="left"/>
      <w:pPr>
        <w:ind w:left="5699" w:hanging="601"/>
      </w:pPr>
      <w:rPr>
        <w:rFonts w:hint="default"/>
        <w:lang w:val="zh-CN" w:eastAsia="zh-CN" w:bidi="zh-CN"/>
      </w:rPr>
    </w:lvl>
    <w:lvl w:ilvl="7" w:tentative="0">
      <w:start w:val="0"/>
      <w:numFmt w:val="bullet"/>
      <w:lvlText w:val="•"/>
      <w:lvlJc w:val="left"/>
      <w:pPr>
        <w:ind w:left="6446" w:hanging="601"/>
      </w:pPr>
      <w:rPr>
        <w:rFonts w:hint="default"/>
        <w:lang w:val="zh-CN" w:eastAsia="zh-CN" w:bidi="zh-CN"/>
      </w:rPr>
    </w:lvl>
    <w:lvl w:ilvl="8" w:tentative="0">
      <w:start w:val="0"/>
      <w:numFmt w:val="bullet"/>
      <w:lvlText w:val="•"/>
      <w:lvlJc w:val="left"/>
      <w:pPr>
        <w:ind w:left="7192" w:hanging="601"/>
      </w:pPr>
      <w:rPr>
        <w:rFonts w:hint="default"/>
        <w:lang w:val="zh-CN" w:eastAsia="zh-CN" w:bidi="zh-CN"/>
      </w:rPr>
    </w:lvl>
  </w:abstractNum>
  <w:abstractNum w:abstractNumId="10">
    <w:nsid w:val="4D94DA66"/>
    <w:multiLevelType w:val="multilevel"/>
    <w:tmpl w:val="4D94DA66"/>
    <w:lvl w:ilvl="0" w:tentative="0">
      <w:start w:val="9"/>
      <w:numFmt w:val="decimal"/>
      <w:lvlText w:val="%1"/>
      <w:lvlJc w:val="left"/>
      <w:pPr>
        <w:ind w:left="497" w:hanging="360"/>
        <w:jc w:val="left"/>
      </w:pPr>
      <w:rPr>
        <w:rFonts w:hint="default" w:ascii="Times New Roman" w:hAnsi="Times New Roman" w:eastAsia="Times New Roman" w:cs="Times New Roman"/>
        <w:b/>
        <w:bCs/>
        <w:w w:val="99"/>
        <w:sz w:val="36"/>
        <w:szCs w:val="36"/>
        <w:lang w:val="zh-CN" w:eastAsia="zh-CN" w:bidi="zh-CN"/>
      </w:rPr>
    </w:lvl>
    <w:lvl w:ilvl="1" w:tentative="0">
      <w:start w:val="1"/>
      <w:numFmt w:val="decimal"/>
      <w:lvlText w:val="%1.%2"/>
      <w:lvlJc w:val="left"/>
      <w:pPr>
        <w:ind w:left="740" w:hanging="603"/>
        <w:jc w:val="left"/>
      </w:pPr>
      <w:rPr>
        <w:rFonts w:hint="default" w:ascii="Arial" w:hAnsi="Arial" w:eastAsia="Arial" w:cs="Arial"/>
        <w:b/>
        <w:bCs/>
        <w:w w:val="99"/>
        <w:sz w:val="32"/>
        <w:szCs w:val="32"/>
        <w:lang w:val="zh-CN" w:eastAsia="zh-CN" w:bidi="zh-CN"/>
      </w:rPr>
    </w:lvl>
    <w:lvl w:ilvl="2" w:tentative="0">
      <w:start w:val="1"/>
      <w:numFmt w:val="decimal"/>
      <w:lvlText w:val="%1.%2.%3"/>
      <w:lvlJc w:val="left"/>
      <w:pPr>
        <w:ind w:left="83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7" w:hanging="605"/>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1960" w:hanging="605"/>
      </w:pPr>
      <w:rPr>
        <w:rFonts w:hint="default"/>
        <w:lang w:val="zh-CN" w:eastAsia="zh-CN" w:bidi="zh-CN"/>
      </w:rPr>
    </w:lvl>
    <w:lvl w:ilvl="5" w:tentative="0">
      <w:start w:val="0"/>
      <w:numFmt w:val="bullet"/>
      <w:lvlText w:val="•"/>
      <w:lvlJc w:val="left"/>
      <w:pPr>
        <w:ind w:left="3081" w:hanging="605"/>
      </w:pPr>
      <w:rPr>
        <w:rFonts w:hint="default"/>
        <w:lang w:val="zh-CN" w:eastAsia="zh-CN" w:bidi="zh-CN"/>
      </w:rPr>
    </w:lvl>
    <w:lvl w:ilvl="6" w:tentative="0">
      <w:start w:val="0"/>
      <w:numFmt w:val="bullet"/>
      <w:lvlText w:val="•"/>
      <w:lvlJc w:val="left"/>
      <w:pPr>
        <w:ind w:left="4202" w:hanging="605"/>
      </w:pPr>
      <w:rPr>
        <w:rFonts w:hint="default"/>
        <w:lang w:val="zh-CN" w:eastAsia="zh-CN" w:bidi="zh-CN"/>
      </w:rPr>
    </w:lvl>
    <w:lvl w:ilvl="7" w:tentative="0">
      <w:start w:val="0"/>
      <w:numFmt w:val="bullet"/>
      <w:lvlText w:val="•"/>
      <w:lvlJc w:val="left"/>
      <w:pPr>
        <w:ind w:left="5323" w:hanging="605"/>
      </w:pPr>
      <w:rPr>
        <w:rFonts w:hint="default"/>
        <w:lang w:val="zh-CN" w:eastAsia="zh-CN" w:bidi="zh-CN"/>
      </w:rPr>
    </w:lvl>
    <w:lvl w:ilvl="8" w:tentative="0">
      <w:start w:val="0"/>
      <w:numFmt w:val="bullet"/>
      <w:lvlText w:val="•"/>
      <w:lvlJc w:val="left"/>
      <w:pPr>
        <w:ind w:left="6444" w:hanging="605"/>
      </w:pPr>
      <w:rPr>
        <w:rFonts w:hint="default"/>
        <w:lang w:val="zh-CN" w:eastAsia="zh-CN" w:bidi="zh-CN"/>
      </w:rPr>
    </w:lvl>
  </w:abstractNum>
  <w:abstractNum w:abstractNumId="11">
    <w:nsid w:val="58765686"/>
    <w:multiLevelType w:val="multilevel"/>
    <w:tmpl w:val="58765686"/>
    <w:lvl w:ilvl="0" w:tentative="0">
      <w:start w:val="1"/>
      <w:numFmt w:val="decimal"/>
      <w:lvlText w:val="（%1）"/>
      <w:lvlJc w:val="left"/>
      <w:pPr>
        <w:ind w:left="1192"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948" w:hanging="601"/>
      </w:pPr>
      <w:rPr>
        <w:rFonts w:hint="default"/>
        <w:lang w:val="zh-CN" w:eastAsia="zh-CN" w:bidi="zh-CN"/>
      </w:rPr>
    </w:lvl>
    <w:lvl w:ilvl="2" w:tentative="0">
      <w:start w:val="0"/>
      <w:numFmt w:val="bullet"/>
      <w:lvlText w:val="•"/>
      <w:lvlJc w:val="left"/>
      <w:pPr>
        <w:ind w:left="2697" w:hanging="601"/>
      </w:pPr>
      <w:rPr>
        <w:rFonts w:hint="default"/>
        <w:lang w:val="zh-CN" w:eastAsia="zh-CN" w:bidi="zh-CN"/>
      </w:rPr>
    </w:lvl>
    <w:lvl w:ilvl="3" w:tentative="0">
      <w:start w:val="0"/>
      <w:numFmt w:val="bullet"/>
      <w:lvlText w:val="•"/>
      <w:lvlJc w:val="left"/>
      <w:pPr>
        <w:ind w:left="3445" w:hanging="601"/>
      </w:pPr>
      <w:rPr>
        <w:rFonts w:hint="default"/>
        <w:lang w:val="zh-CN" w:eastAsia="zh-CN" w:bidi="zh-CN"/>
      </w:rPr>
    </w:lvl>
    <w:lvl w:ilvl="4" w:tentative="0">
      <w:start w:val="0"/>
      <w:numFmt w:val="bullet"/>
      <w:lvlText w:val="•"/>
      <w:lvlJc w:val="left"/>
      <w:pPr>
        <w:ind w:left="4194" w:hanging="601"/>
      </w:pPr>
      <w:rPr>
        <w:rFonts w:hint="default"/>
        <w:lang w:val="zh-CN" w:eastAsia="zh-CN" w:bidi="zh-CN"/>
      </w:rPr>
    </w:lvl>
    <w:lvl w:ilvl="5" w:tentative="0">
      <w:start w:val="0"/>
      <w:numFmt w:val="bullet"/>
      <w:lvlText w:val="•"/>
      <w:lvlJc w:val="left"/>
      <w:pPr>
        <w:ind w:left="4943" w:hanging="601"/>
      </w:pPr>
      <w:rPr>
        <w:rFonts w:hint="default"/>
        <w:lang w:val="zh-CN" w:eastAsia="zh-CN" w:bidi="zh-CN"/>
      </w:rPr>
    </w:lvl>
    <w:lvl w:ilvl="6" w:tentative="0">
      <w:start w:val="0"/>
      <w:numFmt w:val="bullet"/>
      <w:lvlText w:val="•"/>
      <w:lvlJc w:val="left"/>
      <w:pPr>
        <w:ind w:left="5691" w:hanging="601"/>
      </w:pPr>
      <w:rPr>
        <w:rFonts w:hint="default"/>
        <w:lang w:val="zh-CN" w:eastAsia="zh-CN" w:bidi="zh-CN"/>
      </w:rPr>
    </w:lvl>
    <w:lvl w:ilvl="7" w:tentative="0">
      <w:start w:val="0"/>
      <w:numFmt w:val="bullet"/>
      <w:lvlText w:val="•"/>
      <w:lvlJc w:val="left"/>
      <w:pPr>
        <w:ind w:left="6440" w:hanging="601"/>
      </w:pPr>
      <w:rPr>
        <w:rFonts w:hint="default"/>
        <w:lang w:val="zh-CN" w:eastAsia="zh-CN" w:bidi="zh-CN"/>
      </w:rPr>
    </w:lvl>
    <w:lvl w:ilvl="8" w:tentative="0">
      <w:start w:val="0"/>
      <w:numFmt w:val="bullet"/>
      <w:lvlText w:val="•"/>
      <w:lvlJc w:val="left"/>
      <w:pPr>
        <w:ind w:left="7188" w:hanging="601"/>
      </w:pPr>
      <w:rPr>
        <w:rFonts w:hint="default"/>
        <w:lang w:val="zh-CN" w:eastAsia="zh-CN" w:bidi="zh-CN"/>
      </w:rPr>
    </w:lvl>
  </w:abstractNum>
  <w:abstractNum w:abstractNumId="12">
    <w:nsid w:val="5A241D34"/>
    <w:multiLevelType w:val="multilevel"/>
    <w:tmpl w:val="5A241D34"/>
    <w:lvl w:ilvl="0" w:tentative="0">
      <w:start w:val="2"/>
      <w:numFmt w:val="decimal"/>
      <w:lvlText w:val="%1"/>
      <w:lvlJc w:val="left"/>
      <w:pPr>
        <w:ind w:left="977" w:hanging="360"/>
        <w:jc w:val="left"/>
      </w:pPr>
      <w:rPr>
        <w:rFonts w:hint="default" w:ascii="Times New Roman" w:hAnsi="Times New Roman" w:eastAsia="Times New Roman" w:cs="Times New Roman"/>
        <w:b/>
        <w:bCs/>
        <w:w w:val="99"/>
        <w:sz w:val="36"/>
        <w:szCs w:val="36"/>
        <w:lang w:val="zh-CN" w:eastAsia="zh-CN" w:bidi="zh-CN"/>
      </w:rPr>
    </w:lvl>
    <w:lvl w:ilvl="1" w:tentative="0">
      <w:start w:val="1"/>
      <w:numFmt w:val="decimal"/>
      <w:lvlText w:val="%1.%2"/>
      <w:lvlJc w:val="left"/>
      <w:pPr>
        <w:ind w:left="1220" w:hanging="603"/>
        <w:jc w:val="left"/>
      </w:pPr>
      <w:rPr>
        <w:rFonts w:hint="default" w:ascii="Arial" w:hAnsi="Arial" w:eastAsia="Arial" w:cs="Arial"/>
        <w:b/>
        <w:bCs/>
        <w:w w:val="99"/>
        <w:sz w:val="32"/>
        <w:szCs w:val="32"/>
        <w:lang w:val="zh-CN" w:eastAsia="zh-CN" w:bidi="zh-CN"/>
      </w:rPr>
    </w:lvl>
    <w:lvl w:ilvl="2" w:tentative="0">
      <w:start w:val="1"/>
      <w:numFmt w:val="decimal"/>
      <w:lvlText w:val="%1.%2.%3"/>
      <w:lvlJc w:val="left"/>
      <w:pPr>
        <w:ind w:left="131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72" w:hanging="601"/>
        <w:jc w:val="left"/>
      </w:pPr>
      <w:rPr>
        <w:rFonts w:hint="default" w:ascii="仿宋" w:hAnsi="仿宋" w:eastAsia="仿宋" w:cs="仿宋"/>
        <w:w w:val="100"/>
        <w:sz w:val="22"/>
        <w:szCs w:val="22"/>
        <w:lang w:val="zh-CN" w:eastAsia="zh-CN" w:bidi="zh-CN"/>
      </w:rPr>
    </w:lvl>
    <w:lvl w:ilvl="4" w:tentative="0">
      <w:start w:val="0"/>
      <w:numFmt w:val="bullet"/>
      <w:lvlText w:val="•"/>
      <w:lvlJc w:val="left"/>
      <w:pPr>
        <w:ind w:left="2806" w:hanging="601"/>
      </w:pPr>
      <w:rPr>
        <w:rFonts w:hint="default"/>
        <w:lang w:val="zh-CN" w:eastAsia="zh-CN" w:bidi="zh-CN"/>
      </w:rPr>
    </w:lvl>
    <w:lvl w:ilvl="5" w:tentative="0">
      <w:start w:val="0"/>
      <w:numFmt w:val="bullet"/>
      <w:lvlText w:val="•"/>
      <w:lvlJc w:val="left"/>
      <w:pPr>
        <w:ind w:left="3933" w:hanging="601"/>
      </w:pPr>
      <w:rPr>
        <w:rFonts w:hint="default"/>
        <w:lang w:val="zh-CN" w:eastAsia="zh-CN" w:bidi="zh-CN"/>
      </w:rPr>
    </w:lvl>
    <w:lvl w:ilvl="6" w:tentative="0">
      <w:start w:val="0"/>
      <w:numFmt w:val="bullet"/>
      <w:lvlText w:val="•"/>
      <w:lvlJc w:val="left"/>
      <w:pPr>
        <w:ind w:left="5059" w:hanging="601"/>
      </w:pPr>
      <w:rPr>
        <w:rFonts w:hint="default"/>
        <w:lang w:val="zh-CN" w:eastAsia="zh-CN" w:bidi="zh-CN"/>
      </w:rPr>
    </w:lvl>
    <w:lvl w:ilvl="7" w:tentative="0">
      <w:start w:val="0"/>
      <w:numFmt w:val="bullet"/>
      <w:lvlText w:val="•"/>
      <w:lvlJc w:val="left"/>
      <w:pPr>
        <w:ind w:left="6186" w:hanging="601"/>
      </w:pPr>
      <w:rPr>
        <w:rFonts w:hint="default"/>
        <w:lang w:val="zh-CN" w:eastAsia="zh-CN" w:bidi="zh-CN"/>
      </w:rPr>
    </w:lvl>
    <w:lvl w:ilvl="8" w:tentative="0">
      <w:start w:val="0"/>
      <w:numFmt w:val="bullet"/>
      <w:lvlText w:val="•"/>
      <w:lvlJc w:val="left"/>
      <w:pPr>
        <w:ind w:left="7312" w:hanging="601"/>
      </w:pPr>
      <w:rPr>
        <w:rFonts w:hint="default"/>
        <w:lang w:val="zh-CN" w:eastAsia="zh-CN" w:bidi="zh-CN"/>
      </w:rPr>
    </w:lvl>
  </w:abstractNum>
  <w:abstractNum w:abstractNumId="13">
    <w:nsid w:val="629F7852"/>
    <w:multiLevelType w:val="multilevel"/>
    <w:tmpl w:val="629F7852"/>
    <w:lvl w:ilvl="0" w:tentative="0">
      <w:start w:val="1"/>
      <w:numFmt w:val="decimal"/>
      <w:lvlText w:val="（%1）"/>
      <w:lvlJc w:val="left"/>
      <w:pPr>
        <w:ind w:left="614" w:hanging="601"/>
        <w:jc w:val="left"/>
      </w:pPr>
      <w:rPr>
        <w:rFonts w:hint="default" w:ascii="仿宋" w:hAnsi="仿宋" w:eastAsia="仿宋" w:cs="仿宋"/>
        <w:spacing w:val="-70"/>
        <w:w w:val="100"/>
        <w:sz w:val="22"/>
        <w:szCs w:val="22"/>
        <w:lang w:val="zh-CN" w:eastAsia="zh-CN" w:bidi="zh-CN"/>
      </w:rPr>
    </w:lvl>
    <w:lvl w:ilvl="1" w:tentative="0">
      <w:start w:val="0"/>
      <w:numFmt w:val="bullet"/>
      <w:lvlText w:val="•"/>
      <w:lvlJc w:val="left"/>
      <w:pPr>
        <w:ind w:left="1137" w:hanging="601"/>
      </w:pPr>
      <w:rPr>
        <w:rFonts w:hint="default"/>
        <w:lang w:val="zh-CN" w:eastAsia="zh-CN" w:bidi="zh-CN"/>
      </w:rPr>
    </w:lvl>
    <w:lvl w:ilvl="2" w:tentative="0">
      <w:start w:val="0"/>
      <w:numFmt w:val="bullet"/>
      <w:lvlText w:val="•"/>
      <w:lvlJc w:val="left"/>
      <w:pPr>
        <w:ind w:left="1654" w:hanging="601"/>
      </w:pPr>
      <w:rPr>
        <w:rFonts w:hint="default"/>
        <w:lang w:val="zh-CN" w:eastAsia="zh-CN" w:bidi="zh-CN"/>
      </w:rPr>
    </w:lvl>
    <w:lvl w:ilvl="3" w:tentative="0">
      <w:start w:val="0"/>
      <w:numFmt w:val="bullet"/>
      <w:lvlText w:val="•"/>
      <w:lvlJc w:val="left"/>
      <w:pPr>
        <w:ind w:left="2172" w:hanging="601"/>
      </w:pPr>
      <w:rPr>
        <w:rFonts w:hint="default"/>
        <w:lang w:val="zh-CN" w:eastAsia="zh-CN" w:bidi="zh-CN"/>
      </w:rPr>
    </w:lvl>
    <w:lvl w:ilvl="4" w:tentative="0">
      <w:start w:val="0"/>
      <w:numFmt w:val="bullet"/>
      <w:lvlText w:val="•"/>
      <w:lvlJc w:val="left"/>
      <w:pPr>
        <w:ind w:left="2689" w:hanging="601"/>
      </w:pPr>
      <w:rPr>
        <w:rFonts w:hint="default"/>
        <w:lang w:val="zh-CN" w:eastAsia="zh-CN" w:bidi="zh-CN"/>
      </w:rPr>
    </w:lvl>
    <w:lvl w:ilvl="5" w:tentative="0">
      <w:start w:val="0"/>
      <w:numFmt w:val="bullet"/>
      <w:lvlText w:val="•"/>
      <w:lvlJc w:val="left"/>
      <w:pPr>
        <w:ind w:left="3207" w:hanging="601"/>
      </w:pPr>
      <w:rPr>
        <w:rFonts w:hint="default"/>
        <w:lang w:val="zh-CN" w:eastAsia="zh-CN" w:bidi="zh-CN"/>
      </w:rPr>
    </w:lvl>
    <w:lvl w:ilvl="6" w:tentative="0">
      <w:start w:val="0"/>
      <w:numFmt w:val="bullet"/>
      <w:lvlText w:val="•"/>
      <w:lvlJc w:val="left"/>
      <w:pPr>
        <w:ind w:left="3724" w:hanging="601"/>
      </w:pPr>
      <w:rPr>
        <w:rFonts w:hint="default"/>
        <w:lang w:val="zh-CN" w:eastAsia="zh-CN" w:bidi="zh-CN"/>
      </w:rPr>
    </w:lvl>
    <w:lvl w:ilvl="7" w:tentative="0">
      <w:start w:val="0"/>
      <w:numFmt w:val="bullet"/>
      <w:lvlText w:val="•"/>
      <w:lvlJc w:val="left"/>
      <w:pPr>
        <w:ind w:left="4241" w:hanging="601"/>
      </w:pPr>
      <w:rPr>
        <w:rFonts w:hint="default"/>
        <w:lang w:val="zh-CN" w:eastAsia="zh-CN" w:bidi="zh-CN"/>
      </w:rPr>
    </w:lvl>
    <w:lvl w:ilvl="8" w:tentative="0">
      <w:start w:val="0"/>
      <w:numFmt w:val="bullet"/>
      <w:lvlText w:val="•"/>
      <w:lvlJc w:val="left"/>
      <w:pPr>
        <w:ind w:left="4759" w:hanging="601"/>
      </w:pPr>
      <w:rPr>
        <w:rFonts w:hint="default"/>
        <w:lang w:val="zh-CN" w:eastAsia="zh-CN" w:bidi="zh-CN"/>
      </w:rPr>
    </w:lvl>
  </w:abstractNum>
  <w:abstractNum w:abstractNumId="14">
    <w:nsid w:val="7DEC2089"/>
    <w:multiLevelType w:val="multilevel"/>
    <w:tmpl w:val="7DEC2089"/>
    <w:lvl w:ilvl="0" w:tentative="0">
      <w:start w:val="1"/>
      <w:numFmt w:val="decimal"/>
      <w:lvlText w:val="（%1）"/>
      <w:lvlJc w:val="left"/>
      <w:pPr>
        <w:ind w:left="1192"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948" w:hanging="601"/>
      </w:pPr>
      <w:rPr>
        <w:rFonts w:hint="default"/>
        <w:lang w:val="zh-CN" w:eastAsia="zh-CN" w:bidi="zh-CN"/>
      </w:rPr>
    </w:lvl>
    <w:lvl w:ilvl="2" w:tentative="0">
      <w:start w:val="0"/>
      <w:numFmt w:val="bullet"/>
      <w:lvlText w:val="•"/>
      <w:lvlJc w:val="left"/>
      <w:pPr>
        <w:ind w:left="2697" w:hanging="601"/>
      </w:pPr>
      <w:rPr>
        <w:rFonts w:hint="default"/>
        <w:lang w:val="zh-CN" w:eastAsia="zh-CN" w:bidi="zh-CN"/>
      </w:rPr>
    </w:lvl>
    <w:lvl w:ilvl="3" w:tentative="0">
      <w:start w:val="0"/>
      <w:numFmt w:val="bullet"/>
      <w:lvlText w:val="•"/>
      <w:lvlJc w:val="left"/>
      <w:pPr>
        <w:ind w:left="3445" w:hanging="601"/>
      </w:pPr>
      <w:rPr>
        <w:rFonts w:hint="default"/>
        <w:lang w:val="zh-CN" w:eastAsia="zh-CN" w:bidi="zh-CN"/>
      </w:rPr>
    </w:lvl>
    <w:lvl w:ilvl="4" w:tentative="0">
      <w:start w:val="0"/>
      <w:numFmt w:val="bullet"/>
      <w:lvlText w:val="•"/>
      <w:lvlJc w:val="left"/>
      <w:pPr>
        <w:ind w:left="4194" w:hanging="601"/>
      </w:pPr>
      <w:rPr>
        <w:rFonts w:hint="default"/>
        <w:lang w:val="zh-CN" w:eastAsia="zh-CN" w:bidi="zh-CN"/>
      </w:rPr>
    </w:lvl>
    <w:lvl w:ilvl="5" w:tentative="0">
      <w:start w:val="0"/>
      <w:numFmt w:val="bullet"/>
      <w:lvlText w:val="•"/>
      <w:lvlJc w:val="left"/>
      <w:pPr>
        <w:ind w:left="4943" w:hanging="601"/>
      </w:pPr>
      <w:rPr>
        <w:rFonts w:hint="default"/>
        <w:lang w:val="zh-CN" w:eastAsia="zh-CN" w:bidi="zh-CN"/>
      </w:rPr>
    </w:lvl>
    <w:lvl w:ilvl="6" w:tentative="0">
      <w:start w:val="0"/>
      <w:numFmt w:val="bullet"/>
      <w:lvlText w:val="•"/>
      <w:lvlJc w:val="left"/>
      <w:pPr>
        <w:ind w:left="5691" w:hanging="601"/>
      </w:pPr>
      <w:rPr>
        <w:rFonts w:hint="default"/>
        <w:lang w:val="zh-CN" w:eastAsia="zh-CN" w:bidi="zh-CN"/>
      </w:rPr>
    </w:lvl>
    <w:lvl w:ilvl="7" w:tentative="0">
      <w:start w:val="0"/>
      <w:numFmt w:val="bullet"/>
      <w:lvlText w:val="•"/>
      <w:lvlJc w:val="left"/>
      <w:pPr>
        <w:ind w:left="6440" w:hanging="601"/>
      </w:pPr>
      <w:rPr>
        <w:rFonts w:hint="default"/>
        <w:lang w:val="zh-CN" w:eastAsia="zh-CN" w:bidi="zh-CN"/>
      </w:rPr>
    </w:lvl>
    <w:lvl w:ilvl="8" w:tentative="0">
      <w:start w:val="0"/>
      <w:numFmt w:val="bullet"/>
      <w:lvlText w:val="•"/>
      <w:lvlJc w:val="left"/>
      <w:pPr>
        <w:ind w:left="7188" w:hanging="601"/>
      </w:pPr>
      <w:rPr>
        <w:rFonts w:hint="default"/>
        <w:lang w:val="zh-CN" w:eastAsia="zh-CN" w:bidi="zh-CN"/>
      </w:rPr>
    </w:lvl>
  </w:abstractNum>
  <w:num w:numId="1">
    <w:abstractNumId w:val="7"/>
  </w:num>
  <w:num w:numId="2">
    <w:abstractNumId w:val="4"/>
  </w:num>
  <w:num w:numId="3">
    <w:abstractNumId w:val="12"/>
  </w:num>
  <w:num w:numId="4">
    <w:abstractNumId w:val="6"/>
  </w:num>
  <w:num w:numId="5">
    <w:abstractNumId w:val="5"/>
  </w:num>
  <w:num w:numId="6">
    <w:abstractNumId w:val="3"/>
  </w:num>
  <w:num w:numId="7">
    <w:abstractNumId w:val="13"/>
  </w:num>
  <w:num w:numId="8">
    <w:abstractNumId w:val="1"/>
  </w:num>
  <w:num w:numId="9">
    <w:abstractNumId w:val="11"/>
  </w:num>
  <w:num w:numId="10">
    <w:abstractNumId w:val="14"/>
  </w:num>
  <w:num w:numId="11">
    <w:abstractNumId w:val="0"/>
  </w:num>
  <w:num w:numId="12">
    <w:abstractNumId w:val="8"/>
  </w:num>
  <w:num w:numId="13">
    <w:abstractNumId w:val="10"/>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66C7F"/>
    <w:rsid w:val="02BE3D17"/>
    <w:rsid w:val="031F1937"/>
    <w:rsid w:val="039233E0"/>
    <w:rsid w:val="078A7505"/>
    <w:rsid w:val="07D63B91"/>
    <w:rsid w:val="09402D70"/>
    <w:rsid w:val="0B32546B"/>
    <w:rsid w:val="0F4B3965"/>
    <w:rsid w:val="0FE53192"/>
    <w:rsid w:val="12DE5836"/>
    <w:rsid w:val="13576F8A"/>
    <w:rsid w:val="13B30337"/>
    <w:rsid w:val="16396921"/>
    <w:rsid w:val="18333981"/>
    <w:rsid w:val="18795C25"/>
    <w:rsid w:val="205B5096"/>
    <w:rsid w:val="23E952CA"/>
    <w:rsid w:val="2477663D"/>
    <w:rsid w:val="249B7C91"/>
    <w:rsid w:val="25A846D6"/>
    <w:rsid w:val="26594F07"/>
    <w:rsid w:val="26973C4F"/>
    <w:rsid w:val="26FE4565"/>
    <w:rsid w:val="270B2EEB"/>
    <w:rsid w:val="2D1E1D93"/>
    <w:rsid w:val="2EC6199D"/>
    <w:rsid w:val="30747937"/>
    <w:rsid w:val="30D7746B"/>
    <w:rsid w:val="343E6763"/>
    <w:rsid w:val="34E47DC7"/>
    <w:rsid w:val="36ED3788"/>
    <w:rsid w:val="3C145881"/>
    <w:rsid w:val="418C7360"/>
    <w:rsid w:val="45C83F10"/>
    <w:rsid w:val="46C11740"/>
    <w:rsid w:val="48C71F68"/>
    <w:rsid w:val="48F46D9E"/>
    <w:rsid w:val="4CC46710"/>
    <w:rsid w:val="4E901D0A"/>
    <w:rsid w:val="58A57517"/>
    <w:rsid w:val="5AE45BCB"/>
    <w:rsid w:val="5E89314B"/>
    <w:rsid w:val="73CC537E"/>
    <w:rsid w:val="74C41728"/>
    <w:rsid w:val="759A7E79"/>
    <w:rsid w:val="76EB3940"/>
    <w:rsid w:val="78A9424A"/>
    <w:rsid w:val="7AF9276E"/>
    <w:rsid w:val="7C4C72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83"/>
      <w:ind w:left="497" w:hanging="361"/>
      <w:outlineLvl w:val="1"/>
    </w:pPr>
    <w:rPr>
      <w:rFonts w:ascii="仿宋" w:hAnsi="仿宋" w:eastAsia="仿宋" w:cs="仿宋"/>
      <w:b/>
      <w:bCs/>
      <w:sz w:val="36"/>
      <w:szCs w:val="36"/>
      <w:lang w:val="zh-CN" w:eastAsia="zh-CN" w:bidi="zh-CN"/>
    </w:rPr>
  </w:style>
  <w:style w:type="paragraph" w:styleId="4">
    <w:name w:val="heading 2"/>
    <w:basedOn w:val="1"/>
    <w:next w:val="1"/>
    <w:qFormat/>
    <w:uiPriority w:val="1"/>
    <w:pPr>
      <w:ind w:left="740" w:hanging="603"/>
      <w:outlineLvl w:val="2"/>
    </w:pPr>
    <w:rPr>
      <w:rFonts w:ascii="仿宋" w:hAnsi="仿宋" w:eastAsia="仿宋" w:cs="仿宋"/>
      <w:b/>
      <w:bCs/>
      <w:sz w:val="32"/>
      <w:szCs w:val="32"/>
      <w:lang w:val="zh-CN" w:eastAsia="zh-CN" w:bidi="zh-CN"/>
    </w:rPr>
  </w:style>
  <w:style w:type="paragraph" w:styleId="5">
    <w:name w:val="heading 3"/>
    <w:basedOn w:val="1"/>
    <w:next w:val="1"/>
    <w:qFormat/>
    <w:uiPriority w:val="0"/>
    <w:pPr>
      <w:keepNext/>
      <w:keepLines/>
      <w:spacing w:line="360" w:lineRule="auto"/>
      <w:outlineLvl w:val="2"/>
    </w:pPr>
    <w:rPr>
      <w:szCs w:val="21"/>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6">
    <w:name w:val="Normal Indent"/>
    <w:basedOn w:val="1"/>
    <w:qFormat/>
    <w:uiPriority w:val="0"/>
    <w:pPr>
      <w:ind w:firstLine="420"/>
    </w:pPr>
  </w:style>
  <w:style w:type="paragraph" w:styleId="7">
    <w:name w:val="Body Text"/>
    <w:basedOn w:val="1"/>
    <w:qFormat/>
    <w:uiPriority w:val="1"/>
    <w:rPr>
      <w:rFonts w:ascii="仿宋" w:hAnsi="仿宋" w:eastAsia="仿宋" w:cs="仿宋"/>
      <w:sz w:val="24"/>
      <w:szCs w:val="24"/>
      <w:lang w:val="zh-CN" w:eastAsia="zh-CN" w:bidi="zh-CN"/>
    </w:rPr>
  </w:style>
  <w:style w:type="paragraph" w:styleId="8">
    <w:name w:val="Body Text Indent"/>
    <w:basedOn w:val="1"/>
    <w:next w:val="9"/>
    <w:unhideWhenUsed/>
    <w:qFormat/>
    <w:uiPriority w:val="99"/>
    <w:pPr>
      <w:snapToGrid w:val="0"/>
      <w:spacing w:beforeLines="100" w:line="360" w:lineRule="auto"/>
      <w:ind w:firstLine="480" w:firstLineChars="200"/>
    </w:pPr>
    <w:rPr>
      <w:rFonts w:ascii="宋体" w:hAnsi="宋体" w:eastAsia="宋体" w:cs="Times New Roman"/>
      <w:sz w:val="24"/>
      <w:szCs w:val="20"/>
    </w:rPr>
  </w:style>
  <w:style w:type="paragraph" w:customStyle="1" w:styleId="9">
    <w:name w:val="样式 标题 1一级标题 + 段前: 0.5 行 段后: 0.5 行"/>
    <w:basedOn w:val="3"/>
    <w:qFormat/>
    <w:uiPriority w:val="99"/>
    <w:pPr>
      <w:spacing w:line="320" w:lineRule="exact"/>
      <w:outlineLvl w:val="9"/>
    </w:pPr>
    <w:rPr>
      <w:spacing w:val="-6"/>
      <w:sz w:val="21"/>
      <w:szCs w:val="21"/>
    </w:rPr>
  </w:style>
  <w:style w:type="paragraph" w:styleId="10">
    <w:name w:val="Plain Text"/>
    <w:basedOn w:val="1"/>
    <w:qFormat/>
    <w:uiPriority w:val="0"/>
    <w:rPr>
      <w:rFonts w:ascii="宋体" w:hAnsi="Courier New" w:cs="Courier New"/>
      <w:szCs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1"/>
    <w:pPr>
      <w:spacing w:before="132"/>
      <w:ind w:left="1016"/>
    </w:pPr>
    <w:rPr>
      <w:rFonts w:ascii="宋体" w:hAnsi="宋体" w:eastAsia="宋体" w:cs="宋体"/>
      <w:b/>
      <w:bCs/>
      <w:sz w:val="20"/>
      <w:szCs w:val="20"/>
      <w:lang w:val="zh-CN" w:eastAsia="zh-CN" w:bidi="zh-CN"/>
    </w:rPr>
  </w:style>
  <w:style w:type="paragraph" w:styleId="14">
    <w:name w:val="toc 2"/>
    <w:basedOn w:val="1"/>
    <w:next w:val="1"/>
    <w:qFormat/>
    <w:uiPriority w:val="1"/>
    <w:pPr>
      <w:spacing w:before="132"/>
      <w:ind w:left="1366" w:hanging="351"/>
    </w:pPr>
    <w:rPr>
      <w:rFonts w:ascii="宋体" w:hAnsi="宋体" w:eastAsia="宋体" w:cs="宋体"/>
      <w:sz w:val="20"/>
      <w:szCs w:val="20"/>
      <w:lang w:val="zh-CN" w:eastAsia="zh-CN" w:bidi="zh-CN"/>
    </w:rPr>
  </w:style>
  <w:style w:type="paragraph" w:styleId="15">
    <w:name w:val="Body Text First Indent 2"/>
    <w:basedOn w:val="8"/>
    <w:qFormat/>
    <w:uiPriority w:val="0"/>
    <w:pPr>
      <w:widowControl w:val="0"/>
      <w:spacing w:after="120"/>
      <w:ind w:left="420" w:leftChars="200" w:firstLine="420" w:firstLineChars="200"/>
    </w:pPr>
    <w:rPr>
      <w:kern w:val="2"/>
      <w:sz w:val="21"/>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137" w:hanging="602"/>
    </w:pPr>
    <w:rPr>
      <w:rFonts w:ascii="仿宋" w:hAnsi="仿宋" w:eastAsia="仿宋" w:cs="仿宋"/>
      <w:lang w:val="zh-CN" w:eastAsia="zh-CN" w:bidi="zh-CN"/>
    </w:rPr>
  </w:style>
  <w:style w:type="paragraph" w:customStyle="1" w:styleId="21">
    <w:name w:val="Table Paragraph"/>
    <w:basedOn w:val="1"/>
    <w:qFormat/>
    <w:uiPriority w:val="1"/>
    <w:rPr>
      <w:rFonts w:ascii="仿宋" w:hAnsi="仿宋" w:eastAsia="仿宋" w:cs="仿宋"/>
      <w:lang w:val="zh-CN" w:eastAsia="zh-CN" w:bidi="zh-CN"/>
    </w:rPr>
  </w:style>
  <w:style w:type="paragraph" w:customStyle="1" w:styleId="22">
    <w:name w:val="二室正文仿宋"/>
    <w:basedOn w:val="1"/>
    <w:qFormat/>
    <w:uiPriority w:val="0"/>
    <w:pPr>
      <w:spacing w:afterLines="25" w:line="480" w:lineRule="exact"/>
      <w:ind w:firstLine="560" w:firstLineChars="200"/>
    </w:pPr>
    <w:rPr>
      <w:rFonts w:ascii="仿宋_GB2312" w:hAnsi="宋体" w:eastAsia="仿宋_GB2312"/>
      <w:sz w:val="28"/>
      <w:szCs w:val="24"/>
      <w:lang w:val="en-GB"/>
    </w:rPr>
  </w:style>
  <w:style w:type="paragraph" w:customStyle="1" w:styleId="23">
    <w:name w:val="lgg表格文本"/>
    <w:basedOn w:val="24"/>
    <w:qFormat/>
    <w:uiPriority w:val="0"/>
    <w:pPr>
      <w:adjustRightInd w:val="0"/>
      <w:spacing w:line="240" w:lineRule="auto"/>
      <w:ind w:firstLine="0" w:firstLineChars="0"/>
      <w:jc w:val="center"/>
    </w:pPr>
    <w:rPr>
      <w:rFonts w:ascii="Times New Roman" w:hAnsi="Times New Roman"/>
      <w:sz w:val="21"/>
      <w:szCs w:val="21"/>
    </w:rPr>
  </w:style>
  <w:style w:type="paragraph" w:customStyle="1" w:styleId="24">
    <w:name w:val="lgg文本"/>
    <w:basedOn w:val="1"/>
    <w:qFormat/>
    <w:uiPriority w:val="0"/>
    <w:rPr>
      <w:szCs w:val="24"/>
    </w:rPr>
  </w:style>
  <w:style w:type="paragraph" w:customStyle="1" w:styleId="25">
    <w:name w:val="表头"/>
    <w:basedOn w:val="26"/>
    <w:next w:val="1"/>
    <w:qFormat/>
    <w:uiPriority w:val="0"/>
    <w:pPr>
      <w:snapToGrid w:val="0"/>
      <w:spacing w:line="240" w:lineRule="auto"/>
      <w:ind w:firstLine="0"/>
      <w:jc w:val="center"/>
    </w:pPr>
    <w:rPr>
      <w:rFonts w:ascii="Times New Roman" w:hAnsi="Times New Roman" w:eastAsia="宋体"/>
      <w:kern w:val="2"/>
      <w:sz w:val="24"/>
      <w:szCs w:val="24"/>
    </w:rPr>
  </w:style>
  <w:style w:type="paragraph" w:customStyle="1" w:styleId="26">
    <w:name w:val="表头1"/>
    <w:basedOn w:val="27"/>
    <w:next w:val="1"/>
    <w:qFormat/>
    <w:uiPriority w:val="0"/>
    <w:pPr>
      <w:textAlignment w:val="baseline"/>
    </w:pPr>
    <w:rPr>
      <w:rFonts w:ascii="Times New Roman" w:hAnsi="Times New Roman" w:eastAsia="宋体"/>
      <w:b/>
    </w:rPr>
  </w:style>
  <w:style w:type="paragraph" w:customStyle="1" w:styleId="27">
    <w:name w:val="表格五号"/>
    <w:basedOn w:val="28"/>
    <w:qFormat/>
    <w:uiPriority w:val="0"/>
    <w:pPr>
      <w:adjustRightInd w:val="0"/>
      <w:snapToGrid w:val="0"/>
      <w:spacing w:line="240" w:lineRule="atLeast"/>
      <w:jc w:val="center"/>
      <w:textAlignment w:val="baseline"/>
    </w:pPr>
    <w:rPr>
      <w:rFonts w:ascii="Times New Roman" w:hAnsi="Times New Roman" w:eastAsia="宋体"/>
      <w:kern w:val="0"/>
    </w:rPr>
  </w:style>
  <w:style w:type="paragraph" w:customStyle="1" w:styleId="28">
    <w:name w:val="表格五号1"/>
    <w:basedOn w:val="1"/>
    <w:qFormat/>
    <w:uiPriority w:val="0"/>
    <w:pPr>
      <w:spacing w:line="240" w:lineRule="auto"/>
      <w:ind w:firstLine="0"/>
      <w:jc w:val="center"/>
      <w:textAlignment w:val="center"/>
    </w:pPr>
    <w:rPr>
      <w:rFonts w:ascii="Times New Roman" w:hAnsi="Times New Roman" w:eastAsia="宋体"/>
      <w:spacing w:val="6"/>
      <w:sz w:val="21"/>
      <w:szCs w:val="21"/>
    </w:rPr>
  </w:style>
  <w:style w:type="paragraph" w:customStyle="1" w:styleId="29">
    <w:name w:val="表格"/>
    <w:basedOn w:val="6"/>
    <w:next w:val="1"/>
    <w:qFormat/>
    <w:uiPriority w:val="0"/>
    <w:pPr>
      <w:widowControl/>
      <w:snapToGrid w:val="0"/>
      <w:jc w:val="center"/>
      <w:textAlignment w:val="center"/>
    </w:pPr>
    <w:rPr>
      <w:sz w:val="24"/>
    </w:rPr>
  </w:style>
  <w:style w:type="paragraph" w:customStyle="1" w:styleId="30">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正文123"/>
    <w:basedOn w:val="1"/>
    <w:next w:val="10"/>
    <w:qFormat/>
    <w:uiPriority w:val="0"/>
    <w:pPr>
      <w:wordWrap w:val="0"/>
      <w:snapToGrid w:val="0"/>
      <w:spacing w:line="360" w:lineRule="auto"/>
      <w:ind w:firstLine="480" w:firstLineChars="200"/>
      <w:jc w:val="both"/>
    </w:pPr>
    <w:rPr>
      <w:rFonts w:ascii="Times New Roman" w:hAnsi="Times New Roman" w:eastAsia="宋体"/>
      <w:kern w:val="2"/>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footer" Target="foot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33695</Words>
  <Characters>37465</Characters>
  <TotalTime>4</TotalTime>
  <ScaleCrop>false</ScaleCrop>
  <LinksUpToDate>false</LinksUpToDate>
  <CharactersWithSpaces>37889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张宏华</dc:creator>
  <cp:lastModifiedBy>清</cp:lastModifiedBy>
  <dcterms:modified xsi:type="dcterms:W3CDTF">2020-09-30T01:39:56Z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2052-11.1.0.9999</vt:lpwstr>
  </property>
</Properties>
</file>