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ascii="Times New Roman"/>
          <w:sz w:val="20"/>
        </w:rPr>
      </w:pPr>
    </w:p>
    <w:p>
      <w:pPr>
        <w:pStyle w:val="2"/>
        <w:rPr>
          <w:rFonts w:ascii="Times New Roman"/>
          <w:sz w:val="20"/>
        </w:rPr>
      </w:pPr>
    </w:p>
    <w:p>
      <w:pPr>
        <w:pStyle w:val="2"/>
        <w:spacing w:before="10"/>
        <w:rPr>
          <w:rFonts w:ascii="Times New Roman"/>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default" w:ascii="Times New Roman" w:hAnsi="Times New Roman" w:eastAsia="宋体" w:cs="Times New Roman"/>
          <w:b/>
          <w:bCs/>
          <w:color w:val="auto"/>
          <w:spacing w:val="-11"/>
          <w:kern w:val="0"/>
          <w:sz w:val="48"/>
          <w:szCs w:val="48"/>
          <w:highlight w:val="none"/>
          <w:lang w:eastAsia="zh-CN"/>
        </w:rPr>
        <w:t>青原区东井冈水电站增效扩容改造工程</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48"/>
        </w:rPr>
      </w:pPr>
      <w:r>
        <w:rPr>
          <w:rFonts w:hint="eastAsia" w:ascii="宋体" w:eastAsia="宋体"/>
          <w:b/>
          <w:spacing w:val="-2"/>
          <w:sz w:val="48"/>
        </w:rPr>
        <w:t>竣工环境保护验收调查报告</w:t>
      </w:r>
    </w:p>
    <w:p>
      <w:pPr>
        <w:pStyle w:val="2"/>
        <w:ind w:left="617"/>
        <w:rPr>
          <w:rFonts w:ascii="宋体"/>
          <w:sz w:val="20"/>
        </w:rPr>
      </w:pPr>
    </w:p>
    <w:p>
      <w:pPr>
        <w:rPr>
          <w:rFonts w:ascii="宋体"/>
          <w:sz w:val="20"/>
        </w:rPr>
      </w:pPr>
    </w:p>
    <w:p>
      <w:pPr>
        <w:pStyle w:val="12"/>
        <w:rPr>
          <w:rFonts w:ascii="宋体"/>
          <w:sz w:val="20"/>
        </w:rPr>
      </w:pPr>
    </w:p>
    <w:p>
      <w:pPr>
        <w:pStyle w:val="12"/>
        <w:rPr>
          <w:rFonts w:ascii="宋体"/>
          <w:sz w:val="20"/>
        </w:rPr>
      </w:pPr>
    </w:p>
    <w:p>
      <w:pPr>
        <w:pStyle w:val="12"/>
        <w:rPr>
          <w:rFonts w:ascii="宋体"/>
          <w:sz w:val="20"/>
        </w:rPr>
      </w:pPr>
    </w:p>
    <w:p>
      <w:pPr>
        <w:pStyle w:val="12"/>
        <w:rPr>
          <w:rFonts w:ascii="宋体"/>
          <w:sz w:val="20"/>
        </w:rPr>
      </w:pPr>
    </w:p>
    <w:p>
      <w:pPr>
        <w:pStyle w:val="12"/>
        <w:rPr>
          <w:rFonts w:ascii="宋体"/>
          <w:sz w:val="20"/>
        </w:rPr>
      </w:pPr>
    </w:p>
    <w:p>
      <w:pPr>
        <w:pStyle w:val="2"/>
        <w:ind w:left="617"/>
        <w:rPr>
          <w:rFonts w:ascii="宋体"/>
          <w:sz w:val="20"/>
        </w:rPr>
      </w:pPr>
    </w:p>
    <w:p>
      <w:pPr>
        <w:pStyle w:val="2"/>
        <w:ind w:left="617"/>
        <w:rPr>
          <w:rFonts w:ascii="宋体"/>
          <w:sz w:val="20"/>
        </w:rPr>
      </w:pPr>
    </w:p>
    <w:p>
      <w:pPr>
        <w:pStyle w:val="2"/>
        <w:ind w:left="617"/>
        <w:rPr>
          <w:rFonts w:ascii="宋体"/>
          <w:sz w:val="20"/>
        </w:rPr>
      </w:pPr>
    </w:p>
    <w:p>
      <w:pPr>
        <w:pStyle w:val="2"/>
        <w:spacing w:before="10"/>
        <w:rPr>
          <w:rFonts w:ascii="宋体"/>
          <w:b/>
          <w:sz w:val="61"/>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32"/>
          <w:szCs w:val="32"/>
        </w:rPr>
      </w:pPr>
      <w:r>
        <w:rPr>
          <w:rFonts w:hint="eastAsia" w:ascii="宋体" w:eastAsia="宋体"/>
          <w:b/>
          <w:sz w:val="32"/>
        </w:rPr>
        <w:t>建设单位：</w:t>
      </w:r>
      <w:r>
        <w:rPr>
          <w:rFonts w:hint="eastAsia" w:ascii="宋体" w:eastAsia="宋体"/>
          <w:b/>
          <w:sz w:val="32"/>
          <w:lang w:eastAsia="zh-CN"/>
        </w:rPr>
        <w:t>吉安市</w:t>
      </w:r>
      <w:r>
        <w:rPr>
          <w:rFonts w:hint="default" w:ascii="Times New Roman" w:hAnsi="Times New Roman" w:eastAsia="宋体" w:cs="Times New Roman"/>
          <w:b/>
          <w:bCs/>
          <w:color w:val="auto"/>
          <w:spacing w:val="-11"/>
          <w:kern w:val="0"/>
          <w:sz w:val="32"/>
          <w:szCs w:val="32"/>
          <w:highlight w:val="none"/>
          <w:lang w:eastAsia="zh-CN"/>
        </w:rPr>
        <w:t>青原区东井冈水电站</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eastAsia="宋体"/>
          <w:b/>
          <w:sz w:val="32"/>
        </w:rPr>
      </w:pPr>
      <w:r>
        <w:rPr>
          <w:rFonts w:hint="eastAsia" w:ascii="宋体" w:eastAsia="宋体"/>
          <w:b/>
          <w:sz w:val="32"/>
        </w:rPr>
        <w:t>编制单位：江西</w:t>
      </w:r>
      <w:r>
        <w:rPr>
          <w:rFonts w:hint="eastAsia" w:ascii="宋体" w:eastAsia="宋体"/>
          <w:b/>
          <w:sz w:val="32"/>
          <w:lang w:eastAsia="zh-CN"/>
        </w:rPr>
        <w:t>中明环境检测</w:t>
      </w:r>
      <w:r>
        <w:rPr>
          <w:rFonts w:hint="eastAsia" w:ascii="宋体" w:eastAsia="宋体"/>
          <w:b/>
          <w:sz w:val="32"/>
        </w:rPr>
        <w:t>有限公司</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b/>
          <w:sz w:val="32"/>
        </w:rPr>
      </w:pPr>
      <w:r>
        <w:rPr>
          <w:rFonts w:hint="eastAsia" w:ascii="宋体" w:hAnsi="宋体" w:eastAsia="宋体"/>
          <w:b/>
          <w:sz w:val="32"/>
        </w:rPr>
        <w:t>二</w:t>
      </w:r>
      <w:r>
        <w:rPr>
          <w:rFonts w:ascii="Times New Roman" w:hAnsi="Times New Roman" w:eastAsia="Times New Roman"/>
          <w:b/>
          <w:sz w:val="32"/>
        </w:rPr>
        <w:t>Ο</w:t>
      </w:r>
      <w:r>
        <w:rPr>
          <w:rFonts w:hint="eastAsia" w:ascii="宋体" w:hAnsi="宋体" w:eastAsia="宋体"/>
          <w:b/>
          <w:sz w:val="32"/>
        </w:rPr>
        <w:t>二</w:t>
      </w:r>
      <w:r>
        <w:rPr>
          <w:rFonts w:ascii="Times New Roman" w:hAnsi="Times New Roman" w:eastAsia="Times New Roman"/>
          <w:b/>
          <w:sz w:val="32"/>
        </w:rPr>
        <w:t>Ο</w:t>
      </w:r>
      <w:r>
        <w:rPr>
          <w:rFonts w:hint="eastAsia" w:ascii="宋体" w:hAnsi="宋体" w:eastAsia="宋体"/>
          <w:b/>
          <w:sz w:val="32"/>
        </w:rPr>
        <w:t>年</w:t>
      </w:r>
      <w:r>
        <w:rPr>
          <w:rFonts w:hint="eastAsia" w:ascii="宋体" w:hAnsi="宋体" w:eastAsia="宋体"/>
          <w:b/>
          <w:sz w:val="32"/>
          <w:lang w:eastAsia="zh-CN"/>
        </w:rPr>
        <w:t>九</w:t>
      </w:r>
      <w:r>
        <w:rPr>
          <w:rFonts w:hint="eastAsia" w:ascii="宋体" w:hAnsi="宋体" w:eastAsia="宋体"/>
          <w:b/>
          <w:sz w:val="32"/>
        </w:rPr>
        <w:t>月</w:t>
      </w: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rPr>
          <w:rFonts w:ascii="宋体"/>
          <w:b/>
          <w:sz w:val="20"/>
        </w:rPr>
      </w:pPr>
    </w:p>
    <w:p>
      <w:pPr>
        <w:pStyle w:val="2"/>
        <w:spacing w:before="12"/>
        <w:rPr>
          <w:rFonts w:ascii="宋体"/>
          <w:b/>
          <w:sz w:val="19"/>
        </w:rPr>
      </w:pPr>
      <w:r>
        <mc:AlternateContent>
          <mc:Choice Requires="wps">
            <w:drawing>
              <wp:anchor distT="0" distB="0" distL="0" distR="0" simplePos="0" relativeHeight="251658240" behindDoc="1" locked="0" layoutInCell="1" allowOverlap="1">
                <wp:simplePos x="0" y="0"/>
                <wp:positionH relativeFrom="page">
                  <wp:posOffset>1140460</wp:posOffset>
                </wp:positionH>
                <wp:positionV relativeFrom="paragraph">
                  <wp:posOffset>189865</wp:posOffset>
                </wp:positionV>
                <wp:extent cx="5278120" cy="0"/>
                <wp:effectExtent l="0" t="0" r="0" b="0"/>
                <wp:wrapTopAndBottom/>
                <wp:docPr id="64" name="直线 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89.8pt;margin-top:14.95pt;height:0pt;width:415.6pt;mso-position-horizontal-relative:page;mso-wrap-distance-bottom:0pt;mso-wrap-distance-top:0pt;z-index:-251658240;mso-width-relative:page;mso-height-relative:page;" filled="f" stroked="t" coordsize="21600,21600" o:gfxdata="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&#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hmTv11wAAAAoBAAAPAAAAAAAAAAEAIAAAACIAAABk&#10;cnMvZG93bnJldi54bWxQSwECFAAUAAAACACHTuJA6B/3Uc4BAACOAwAADgAAAAAAAAABACAAAAAm&#10;AQAAZHJzL2Uyb0RvYy54bWxQSwUGAAAAAAYABgBZAQAAZgUAAAAA&#10;">
                <v:fill on="f" focussize="0,0"/>
                <v:stroke weight="0.48pt" color="#000000" joinstyle="round"/>
                <v:imagedata o:title=""/>
                <o:lock v:ext="edit" aspectratio="f"/>
                <w10:wrap type="topAndBottom"/>
              </v:line>
            </w:pict>
          </mc:Fallback>
        </mc:AlternateContent>
      </w:r>
    </w:p>
    <w:p>
      <w:pPr>
        <w:spacing w:after="0"/>
        <w:rPr>
          <w:rFonts w:ascii="宋体"/>
          <w:sz w:val="19"/>
        </w:rPr>
        <w:sectPr>
          <w:type w:val="continuous"/>
          <w:pgSz w:w="11910" w:h="16840"/>
          <w:pgMar w:top="1580" w:right="1160" w:bottom="280" w:left="1180" w:header="720" w:footer="720" w:gutter="0"/>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ascii="宋体"/>
          <w:b/>
          <w:sz w:val="22"/>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both"/>
        <w:textAlignment w:val="auto"/>
        <w:rPr>
          <w:rFonts w:hint="eastAsia" w:ascii="宋体" w:eastAsia="宋体"/>
          <w:b w:val="0"/>
          <w:bCs w:val="0"/>
          <w:sz w:val="32"/>
          <w:szCs w:val="32"/>
        </w:rPr>
      </w:pPr>
      <w:r>
        <w:rPr>
          <w:rFonts w:hint="eastAsia" w:ascii="宋体" w:hAnsi="宋体" w:eastAsia="宋体" w:cs="宋体"/>
          <w:b w:val="0"/>
          <w:bCs/>
          <w:sz w:val="32"/>
          <w:szCs w:val="32"/>
        </w:rPr>
        <w:t>建设单位：吉安市</w:t>
      </w:r>
      <w:r>
        <w:rPr>
          <w:rFonts w:hint="default" w:ascii="Times New Roman" w:hAnsi="Times New Roman" w:eastAsia="宋体" w:cs="Times New Roman"/>
          <w:b w:val="0"/>
          <w:bCs w:val="0"/>
          <w:color w:val="auto"/>
          <w:spacing w:val="-11"/>
          <w:kern w:val="0"/>
          <w:sz w:val="32"/>
          <w:szCs w:val="32"/>
          <w:highlight w:val="none"/>
          <w:lang w:eastAsia="zh-CN"/>
        </w:rPr>
        <w:t>青原区东井冈水电站</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color w:val="000000" w:themeColor="text1"/>
          <w:sz w:val="32"/>
          <w:szCs w:val="32"/>
          <w14:textFill>
            <w14:solidFill>
              <w14:schemeClr w14:val="tx1"/>
            </w14:solidFill>
          </w14:textFill>
        </w:rPr>
      </w:pPr>
      <w:r>
        <w:rPr>
          <w:rFonts w:hint="eastAsia" w:ascii="宋体" w:hAnsi="宋体" w:eastAsia="宋体" w:cs="宋体"/>
          <w:b w:val="0"/>
          <w:bCs/>
          <w:sz w:val="32"/>
          <w:szCs w:val="32"/>
        </w:rPr>
        <w:t>法人代表：</w:t>
      </w:r>
      <w:r>
        <w:rPr>
          <w:rFonts w:hint="eastAsia" w:ascii="宋体" w:hAnsi="宋体" w:eastAsia="宋体" w:cs="宋体"/>
          <w:b w:val="0"/>
          <w:bCs/>
          <w:color w:val="000000" w:themeColor="text1"/>
          <w:sz w:val="32"/>
          <w:szCs w:val="32"/>
          <w14:textFill>
            <w14:solidFill>
              <w14:schemeClr w14:val="tx1"/>
            </w14:solidFill>
          </w14:textFill>
        </w:rPr>
        <w:t>郑远权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b w:val="0"/>
          <w:bCs/>
          <w:sz w:val="32"/>
          <w:szCs w:val="32"/>
        </w:rPr>
      </w:pP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pacing w:val="-14"/>
          <w:sz w:val="32"/>
          <w:szCs w:val="32"/>
        </w:rPr>
      </w:pPr>
      <w:r>
        <w:rPr>
          <w:rFonts w:hint="eastAsia" w:ascii="宋体" w:hAnsi="宋体" w:eastAsia="宋体" w:cs="宋体"/>
          <w:b w:val="0"/>
          <w:bCs/>
          <w:sz w:val="32"/>
          <w:szCs w:val="32"/>
        </w:rPr>
        <w:t>委托编制单位：江西</w:t>
      </w:r>
      <w:r>
        <w:rPr>
          <w:rFonts w:hint="eastAsia" w:ascii="宋体" w:hAnsi="宋体" w:eastAsia="宋体" w:cs="宋体"/>
          <w:b w:val="0"/>
          <w:bCs/>
          <w:sz w:val="32"/>
          <w:szCs w:val="32"/>
          <w:lang w:eastAsia="zh-CN"/>
        </w:rPr>
        <w:t>中明环境检测</w:t>
      </w:r>
      <w:r>
        <w:rPr>
          <w:rFonts w:hint="eastAsia" w:ascii="宋体" w:hAnsi="宋体" w:eastAsia="宋体" w:cs="宋体"/>
          <w:b w:val="0"/>
          <w:bCs/>
          <w:sz w:val="32"/>
          <w:szCs w:val="32"/>
        </w:rPr>
        <w:t>有限公</w:t>
      </w:r>
      <w:r>
        <w:rPr>
          <w:rFonts w:hint="eastAsia" w:ascii="宋体" w:hAnsi="宋体" w:eastAsia="宋体" w:cs="宋体"/>
          <w:b w:val="0"/>
          <w:bCs/>
          <w:spacing w:val="-14"/>
          <w:sz w:val="32"/>
          <w:szCs w:val="32"/>
        </w:rPr>
        <w:t>司</w:t>
      </w:r>
    </w:p>
    <w:p>
      <w:pPr>
        <w:keepNext w:val="0"/>
        <w:keepLines w:val="0"/>
        <w:pageBreakBefore w:val="0"/>
        <w:widowControl w:val="0"/>
        <w:tabs>
          <w:tab w:val="left" w:pos="1219"/>
          <w:tab w:val="left" w:pos="1819"/>
          <w:tab w:val="left" w:pos="2424"/>
        </w:tabs>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法人代表</w:t>
      </w:r>
      <w:r>
        <w:rPr>
          <w:rFonts w:hint="eastAsia" w:ascii="宋体" w:hAnsi="宋体" w:eastAsia="宋体" w:cs="宋体"/>
          <w:b w:val="0"/>
          <w:bCs/>
          <w:sz w:val="32"/>
          <w:szCs w:val="32"/>
          <w:lang w:val="en-US" w:eastAsia="zh-CN"/>
        </w:rPr>
        <w:t xml:space="preserve"> </w:t>
      </w:r>
      <w:r>
        <w:rPr>
          <w:rFonts w:hint="eastAsia" w:ascii="宋体" w:hAnsi="宋体" w:eastAsia="宋体" w:cs="宋体"/>
          <w:b w:val="0"/>
          <w:bCs/>
          <w:sz w:val="32"/>
          <w:szCs w:val="32"/>
        </w:rPr>
        <w:t>：</w:t>
      </w:r>
      <w:r>
        <w:rPr>
          <w:rFonts w:hint="eastAsia" w:ascii="宋体" w:hAnsi="宋体" w:eastAsia="宋体" w:cs="宋体"/>
          <w:b w:val="0"/>
          <w:bCs/>
          <w:sz w:val="32"/>
          <w:szCs w:val="32"/>
          <w:lang w:eastAsia="zh-CN"/>
        </w:rPr>
        <w:t>张家民</w:t>
      </w: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left"/>
        <w:textAlignment w:val="auto"/>
        <w:rPr>
          <w:rFonts w:hint="eastAsia" w:ascii="宋体" w:hAnsi="宋体" w:eastAsia="宋体" w:cs="宋体"/>
          <w:b w:val="0"/>
          <w:bCs/>
          <w:sz w:val="32"/>
          <w:szCs w:val="32"/>
          <w:lang w:eastAsia="zh-CN"/>
        </w:rPr>
      </w:pPr>
      <w:r>
        <w:rPr>
          <w:rFonts w:hint="eastAsia" w:ascii="宋体" w:hAnsi="宋体" w:eastAsia="宋体" w:cs="宋体"/>
          <w:b w:val="0"/>
          <w:bCs/>
          <w:sz w:val="32"/>
          <w:szCs w:val="32"/>
        </w:rPr>
        <w:t>项目负责人：</w:t>
      </w:r>
      <w:r>
        <w:rPr>
          <w:rFonts w:hint="eastAsia" w:ascii="宋体" w:hAnsi="宋体" w:eastAsia="宋体" w:cs="宋体"/>
          <w:b w:val="0"/>
          <w:bCs/>
          <w:sz w:val="32"/>
          <w:szCs w:val="32"/>
          <w:lang w:eastAsia="zh-CN"/>
        </w:rPr>
        <w:t>何江峰</w:t>
      </w: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p>
      <w:pPr>
        <w:pStyle w:val="2"/>
        <w:spacing w:before="2"/>
        <w:rPr>
          <w:b/>
          <w:sz w:val="17"/>
        </w:rPr>
      </w:pPr>
    </w:p>
    <w:tbl>
      <w:tblPr>
        <w:tblStyle w:val="14"/>
        <w:tblW w:w="1035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958"/>
        <w:gridCol w:w="4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24" w:hRule="atLeast"/>
        </w:trPr>
        <w:tc>
          <w:tcPr>
            <w:tcW w:w="5958" w:type="dxa"/>
            <w:vAlign w:val="center"/>
          </w:tcPr>
          <w:p>
            <w:pPr>
              <w:snapToGrid w:val="0"/>
              <w:ind w:left="0" w:leftChars="0" w:right="-312" w:rightChars="-142"/>
              <w:jc w:val="both"/>
              <w:rPr>
                <w:rFonts w:hint="eastAsia" w:ascii="宋体" w:hAnsi="宋体" w:eastAsia="宋体" w:cs="宋体"/>
                <w:color w:val="000000"/>
                <w:sz w:val="24"/>
                <w:szCs w:val="24"/>
                <w:lang w:val="zh-CN" w:eastAsia="zh-CN" w:bidi="zh-CN"/>
              </w:rPr>
            </w:pPr>
            <w:r>
              <w:rPr>
                <w:rFonts w:hint="eastAsia" w:ascii="宋体" w:hAnsi="宋体" w:eastAsia="宋体" w:cs="宋体"/>
                <w:color w:val="000000"/>
                <w:sz w:val="24"/>
                <w:szCs w:val="24"/>
              </w:rPr>
              <w:t>建设单位：吉安市</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编制单位：江西中明环境检测有限公司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w:t>
            </w:r>
            <w:r>
              <w:rPr>
                <w:rFonts w:hint="eastAsia" w:ascii="宋体" w:hAnsi="宋体" w:eastAsia="宋体" w:cs="宋体"/>
                <w:color w:val="000000" w:themeColor="text1"/>
                <w:sz w:val="24"/>
                <w:szCs w:val="24"/>
                <w:lang w:val="en-US" w:eastAsia="zh-CN"/>
                <w14:textFill>
                  <w14:solidFill>
                    <w14:schemeClr w14:val="tx1"/>
                  </w14:solidFill>
                </w14:textFill>
              </w:rPr>
              <w:t>13707068545</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电    话:0796-7197438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w:t>
            </w:r>
            <w:r>
              <w:rPr>
                <w:rFonts w:hint="eastAsia" w:ascii="宋体" w:hAnsi="宋体" w:eastAsia="宋体" w:cs="宋体"/>
                <w:sz w:val="24"/>
                <w:szCs w:val="24"/>
                <w:lang w:val="en-US" w:eastAsia="zh-CN"/>
              </w:rPr>
              <w:t>343009</w:t>
            </w:r>
          </w:p>
        </w:tc>
        <w:tc>
          <w:tcPr>
            <w:tcW w:w="4400"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邮    编:343000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rPr>
        <w:tc>
          <w:tcPr>
            <w:tcW w:w="5958" w:type="dxa"/>
            <w:vAlign w:val="center"/>
          </w:tcPr>
          <w:p>
            <w:pPr>
              <w:snapToGrid w:val="0"/>
              <w:ind w:left="0" w:leftChars="0" w:right="-312" w:rightChars="-142"/>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地    址:吉安市青原区</w:t>
            </w:r>
            <w:r>
              <w:rPr>
                <w:rFonts w:hint="eastAsia" w:ascii="宋体" w:hAnsi="宋体" w:eastAsia="宋体" w:cs="宋体"/>
                <w:color w:val="auto"/>
                <w:spacing w:val="0"/>
                <w:w w:val="100"/>
                <w:kern w:val="0"/>
                <w:position w:val="0"/>
                <w:sz w:val="24"/>
                <w:szCs w:val="24"/>
              </w:rPr>
              <w:t>东固畲族乡六渡村</w:t>
            </w:r>
          </w:p>
        </w:tc>
        <w:tc>
          <w:tcPr>
            <w:tcW w:w="4400" w:type="dxa"/>
            <w:vAlign w:val="center"/>
          </w:tcPr>
          <w:p>
            <w:pPr>
              <w:snapToGrid w:val="0"/>
              <w:ind w:right="-440" w:rightChars="-200"/>
              <w:jc w:val="both"/>
              <w:rPr>
                <w:rFonts w:hint="eastAsia" w:ascii="宋体" w:hAnsi="宋体" w:eastAsia="宋体" w:cs="宋体"/>
                <w:sz w:val="24"/>
                <w:szCs w:val="24"/>
              </w:rPr>
            </w:pPr>
            <w:r>
              <w:rPr>
                <w:rFonts w:hint="eastAsia" w:ascii="宋体" w:hAnsi="宋体" w:eastAsia="宋体" w:cs="宋体"/>
                <w:sz w:val="24"/>
                <w:szCs w:val="24"/>
              </w:rPr>
              <w:t>地    址:江西省吉安市井冈山经济</w:t>
            </w:r>
          </w:p>
          <w:p>
            <w:pPr>
              <w:snapToGrid w:val="0"/>
              <w:ind w:right="-440" w:rightChars="-200"/>
              <w:jc w:val="both"/>
              <w:rPr>
                <w:rFonts w:hint="eastAsia" w:ascii="宋体" w:hAnsi="宋体" w:eastAsia="宋体" w:cs="宋体"/>
                <w:sz w:val="24"/>
                <w:szCs w:val="24"/>
                <w:lang w:val="zh-CN" w:eastAsia="zh-CN" w:bidi="zh-CN"/>
              </w:rPr>
            </w:pPr>
            <w:r>
              <w:rPr>
                <w:rFonts w:hint="eastAsia" w:ascii="宋体" w:hAnsi="宋体" w:eastAsia="宋体" w:cs="宋体"/>
                <w:sz w:val="24"/>
                <w:szCs w:val="24"/>
              </w:rPr>
              <w:t>开发区河东新工业园腾飞路2号</w:t>
            </w:r>
          </w:p>
        </w:tc>
      </w:tr>
    </w:tbl>
    <w:p>
      <w:pPr>
        <w:spacing w:after="0"/>
        <w:jc w:val="center"/>
        <w:rPr>
          <w:rFonts w:hint="eastAsia" w:ascii="宋体" w:eastAsia="宋体"/>
          <w:sz w:val="44"/>
        </w:rPr>
        <w:sectPr>
          <w:footerReference r:id="rId3" w:type="default"/>
          <w:pgSz w:w="11910" w:h="16840"/>
          <w:pgMar w:top="1580" w:right="1160" w:bottom="1765" w:left="1180" w:header="0" w:footer="991" w:gutter="0"/>
        </w:sectPr>
      </w:pPr>
    </w:p>
    <w:p>
      <w:pPr>
        <w:pStyle w:val="2"/>
        <w:spacing w:before="2"/>
        <w:rPr>
          <w:b/>
          <w:sz w:val="17"/>
        </w:rPr>
      </w:pPr>
    </w:p>
    <w:p>
      <w:pPr>
        <w:tabs>
          <w:tab w:val="left" w:pos="880"/>
        </w:tabs>
        <w:spacing w:before="37"/>
        <w:ind w:left="0" w:right="20" w:firstLine="0"/>
        <w:jc w:val="center"/>
        <w:rPr>
          <w:rFonts w:hint="eastAsia" w:ascii="宋体" w:eastAsia="宋体"/>
          <w:b/>
          <w:sz w:val="44"/>
        </w:rPr>
      </w:pPr>
      <w:r>
        <w:rPr>
          <w:rFonts w:hint="eastAsia" w:ascii="宋体" w:eastAsia="宋体"/>
          <w:b/>
          <w:sz w:val="44"/>
        </w:rPr>
        <w:t>目</w:t>
      </w:r>
      <w:r>
        <w:rPr>
          <w:rFonts w:hint="eastAsia" w:ascii="宋体" w:eastAsia="宋体"/>
          <w:b/>
          <w:sz w:val="44"/>
        </w:rPr>
        <w:tab/>
      </w:r>
      <w:r>
        <w:rPr>
          <w:rFonts w:hint="eastAsia" w:ascii="宋体" w:eastAsia="宋体"/>
          <w:b/>
          <w:sz w:val="44"/>
        </w:rPr>
        <w:t>录</w:t>
      </w:r>
    </w:p>
    <w:p>
      <w:pPr>
        <w:spacing w:after="0"/>
        <w:jc w:val="center"/>
        <w:rPr>
          <w:rFonts w:hint="eastAsia" w:ascii="宋体" w:eastAsia="宋体"/>
          <w:sz w:val="44"/>
        </w:rPr>
        <w:sectPr>
          <w:footerReference r:id="rId4" w:type="default"/>
          <w:pgSz w:w="11910" w:h="16840"/>
          <w:pgMar w:top="1580" w:right="1160" w:bottom="1765" w:left="1180" w:header="0" w:footer="991" w:gutter="0"/>
        </w:sectPr>
      </w:pPr>
    </w:p>
    <w:sdt>
      <w:sdtPr>
        <w:id w:val="0"/>
        <w:docPartObj>
          <w:docPartGallery w:val="Table of Contents"/>
          <w:docPartUnique/>
        </w:docPartObj>
      </w:sdtPr>
      <w:sdtContent>
        <w:p>
          <w:pPr>
            <w:pStyle w:val="10"/>
            <w:numPr>
              <w:ilvl w:val="0"/>
              <w:numId w:val="1"/>
            </w:numPr>
            <w:tabs>
              <w:tab w:val="left" w:pos="1218"/>
              <w:tab w:val="right" w:leader="dot" w:pos="8927"/>
            </w:tabs>
            <w:spacing w:before="706" w:after="0" w:line="240" w:lineRule="auto"/>
            <w:ind w:left="1217" w:right="0" w:hanging="202"/>
            <w:jc w:val="left"/>
            <w:rPr>
              <w:rFonts w:ascii="Times New Roman" w:eastAsia="Times New Roman"/>
            </w:rPr>
          </w:pPr>
          <w:r>
            <w:fldChar w:fldCharType="begin"/>
          </w:r>
          <w:r>
            <w:instrText xml:space="preserve"> HYPERLINK \l "_bookmark0" </w:instrText>
          </w:r>
          <w:r>
            <w:fldChar w:fldCharType="separate"/>
          </w:r>
          <w:r>
            <w:t>综述</w:t>
          </w:r>
          <w:r>
            <w:tab/>
          </w:r>
          <w:r>
            <w:rPr>
              <w:rFonts w:ascii="Times New Roman" w:eastAsia="Times New Roman"/>
            </w:rPr>
            <w:t>4</w:t>
          </w:r>
          <w:r>
            <w:rPr>
              <w:rFonts w:ascii="Times New Roman" w:eastAsia="Times New Roman"/>
            </w:rPr>
            <w:fldChar w:fldCharType="end"/>
          </w:r>
        </w:p>
        <w:p>
          <w:pPr>
            <w:pStyle w:val="11"/>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"_bookmark1" </w:instrText>
          </w:r>
          <w:r>
            <w:fldChar w:fldCharType="separate"/>
          </w:r>
          <w:r>
            <w:t>项目由来</w:t>
          </w:r>
          <w:r>
            <w:tab/>
          </w:r>
          <w:r>
            <w:rPr>
              <w:rFonts w:ascii="Times New Roman" w:eastAsia="Times New Roman"/>
            </w:rPr>
            <w:t>4</w:t>
          </w:r>
          <w:r>
            <w:rPr>
              <w:rFonts w:ascii="Times New Roman" w:eastAsia="Times New Roman"/>
            </w:rPr>
            <w:fldChar w:fldCharType="end"/>
          </w:r>
        </w:p>
        <w:p>
          <w:pPr>
            <w:pStyle w:val="11"/>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"_bookmark2" </w:instrText>
          </w:r>
          <w:r>
            <w:fldChar w:fldCharType="separate"/>
          </w:r>
          <w:r>
            <w:t>编制依据</w:t>
          </w:r>
          <w:r>
            <w:tab/>
          </w:r>
          <w:r>
            <w:rPr>
              <w:rFonts w:ascii="Times New Roman" w:eastAsia="Times New Roman"/>
            </w:rPr>
            <w:t>6</w:t>
          </w:r>
          <w:r>
            <w:rPr>
              <w:rFonts w:ascii="Times New Roman" w:eastAsia="Times New Roman"/>
            </w:rPr>
            <w:fldChar w:fldCharType="end"/>
          </w:r>
        </w:p>
        <w:p>
          <w:pPr>
            <w:pStyle w:val="11"/>
            <w:numPr>
              <w:ilvl w:val="1"/>
              <w:numId w:val="1"/>
            </w:numPr>
            <w:tabs>
              <w:tab w:val="left" w:pos="1367"/>
              <w:tab w:val="right" w:leader="dot" w:pos="8927"/>
            </w:tabs>
            <w:spacing w:before="135" w:after="0" w:line="240" w:lineRule="auto"/>
            <w:ind w:left="1366" w:right="0" w:hanging="351"/>
            <w:jc w:val="left"/>
            <w:rPr>
              <w:rFonts w:ascii="Times New Roman" w:eastAsia="Times New Roman"/>
            </w:rPr>
          </w:pPr>
          <w:r>
            <w:fldChar w:fldCharType="begin"/>
          </w:r>
          <w:r>
            <w:instrText xml:space="preserve"> HYPERLINK \l "_bookmark3" </w:instrText>
          </w:r>
          <w:r>
            <w:fldChar w:fldCharType="separate"/>
          </w:r>
          <w:r>
            <w:t>调查目的和调查原则</w:t>
          </w:r>
          <w:r>
            <w:tab/>
          </w:r>
          <w:r>
            <w:rPr>
              <w:rFonts w:ascii="Times New Roman" w:eastAsia="Times New Roman"/>
            </w:rPr>
            <w:t>7</w:t>
          </w:r>
          <w:r>
            <w:rPr>
              <w:rFonts w:ascii="Times New Roman" w:eastAsia="Times New Roman"/>
            </w:rPr>
            <w:fldChar w:fldCharType="end"/>
          </w:r>
        </w:p>
        <w:p>
          <w:pPr>
            <w:pStyle w:val="11"/>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"_bookmark4" </w:instrText>
          </w:r>
          <w:r>
            <w:fldChar w:fldCharType="separate"/>
          </w:r>
          <w:r>
            <w:t>调查方法</w:t>
          </w:r>
          <w:r>
            <w:tab/>
          </w:r>
          <w:r>
            <w:rPr>
              <w:rFonts w:ascii="Times New Roman" w:eastAsia="Times New Roman"/>
            </w:rPr>
            <w:t>8</w:t>
          </w:r>
          <w:r>
            <w:rPr>
              <w:rFonts w:ascii="Times New Roman" w:eastAsia="Times New Roman"/>
            </w:rPr>
            <w:fldChar w:fldCharType="end"/>
          </w:r>
        </w:p>
        <w:p>
          <w:pPr>
            <w:pStyle w:val="11"/>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"_bookmark5" </w:instrText>
          </w:r>
          <w:r>
            <w:fldChar w:fldCharType="separate"/>
          </w:r>
          <w:r>
            <w:t>调查范围</w:t>
          </w:r>
          <w:r>
            <w:tab/>
          </w:r>
          <w:r>
            <w:rPr>
              <w:rFonts w:ascii="Times New Roman" w:eastAsia="Times New Roman"/>
            </w:rPr>
            <w:t>8</w:t>
          </w:r>
          <w:r>
            <w:rPr>
              <w:rFonts w:ascii="Times New Roman" w:eastAsia="Times New Roman"/>
            </w:rPr>
            <w:fldChar w:fldCharType="end"/>
          </w:r>
        </w:p>
        <w:p>
          <w:pPr>
            <w:pStyle w:val="11"/>
            <w:numPr>
              <w:ilvl w:val="1"/>
              <w:numId w:val="1"/>
            </w:numPr>
            <w:tabs>
              <w:tab w:val="left" w:pos="1367"/>
              <w:tab w:val="right" w:leader="dot" w:pos="8927"/>
            </w:tabs>
            <w:spacing w:before="133" w:after="0" w:line="240" w:lineRule="auto"/>
            <w:ind w:left="1366" w:right="0" w:hanging="351"/>
            <w:jc w:val="left"/>
            <w:rPr>
              <w:rFonts w:ascii="Times New Roman" w:eastAsia="Times New Roman"/>
            </w:rPr>
          </w:pPr>
          <w:r>
            <w:fldChar w:fldCharType="begin"/>
          </w:r>
          <w:r>
            <w:instrText xml:space="preserve"> HYPERLINK \l "_bookmark6" </w:instrText>
          </w:r>
          <w:r>
            <w:fldChar w:fldCharType="separate"/>
          </w:r>
          <w:r>
            <w:t>调查因子</w:t>
          </w:r>
          <w:r>
            <w:tab/>
          </w:r>
          <w:r>
            <w:rPr>
              <w:rFonts w:ascii="Times New Roman" w:eastAsia="Times New Roman"/>
            </w:rPr>
            <w:t>8</w:t>
          </w:r>
          <w:r>
            <w:rPr>
              <w:rFonts w:ascii="Times New Roman" w:eastAsia="Times New Roman"/>
            </w:rPr>
            <w:fldChar w:fldCharType="end"/>
          </w:r>
        </w:p>
        <w:p>
          <w:pPr>
            <w:pStyle w:val="11"/>
            <w:numPr>
              <w:ilvl w:val="1"/>
              <w:numId w:val="1"/>
            </w:numPr>
            <w:tabs>
              <w:tab w:val="left" w:pos="1367"/>
              <w:tab w:val="right" w:leader="dot" w:pos="8927"/>
            </w:tabs>
            <w:spacing w:before="132" w:after="0" w:line="240" w:lineRule="auto"/>
            <w:ind w:left="1366" w:right="0" w:hanging="351"/>
            <w:jc w:val="left"/>
            <w:rPr>
              <w:rFonts w:ascii="Times New Roman" w:eastAsia="Times New Roman"/>
            </w:rPr>
          </w:pPr>
          <w:r>
            <w:fldChar w:fldCharType="begin"/>
          </w:r>
          <w:r>
            <w:instrText xml:space="preserve"> HYPERLINK \l "_bookmark7" </w:instrText>
          </w:r>
          <w:r>
            <w:fldChar w:fldCharType="separate"/>
          </w:r>
          <w:r>
            <w:t>调查重点和环境保护目标</w:t>
          </w:r>
          <w:r>
            <w:tab/>
          </w:r>
          <w:r>
            <w:rPr>
              <w:rFonts w:ascii="Times New Roman" w:eastAsia="Times New Roman"/>
            </w:rPr>
            <w:t>9</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"_bookmark8" </w:instrText>
          </w:r>
          <w:r>
            <w:fldChar w:fldCharType="separate"/>
          </w:r>
          <w:r>
            <w:t>验收标准</w:t>
          </w:r>
          <w:r>
            <w:tab/>
          </w:r>
          <w:r>
            <w:rPr>
              <w:rFonts w:ascii="Times New Roman" w:eastAsia="Times New Roman"/>
            </w:rPr>
            <w:t>10</w:t>
          </w:r>
          <w:r>
            <w:rPr>
              <w:rFonts w:ascii="Times New Roman" w:eastAsia="Times New Roman"/>
            </w:rPr>
            <w:fldChar w:fldCharType="end"/>
          </w:r>
        </w:p>
        <w:p>
          <w:pPr>
            <w:pStyle w:val="10"/>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"_bookmark9" </w:instrText>
          </w:r>
          <w:r>
            <w:fldChar w:fldCharType="separate"/>
          </w:r>
          <w:r>
            <w:t>工程调查</w:t>
          </w:r>
          <w:r>
            <w:tab/>
          </w:r>
          <w:r>
            <w:rPr>
              <w:rFonts w:ascii="Times New Roman" w:eastAsia="Times New Roman"/>
            </w:rPr>
            <w:t>14</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"_bookmark10" </w:instrText>
          </w:r>
          <w:r>
            <w:fldChar w:fldCharType="separate"/>
          </w:r>
          <w:r>
            <w:t>工程立项、设计与审批</w:t>
          </w:r>
          <w:r>
            <w:tab/>
          </w:r>
          <w:r>
            <w:rPr>
              <w:rFonts w:ascii="Times New Roman" w:eastAsia="Times New Roman"/>
            </w:rPr>
            <w:t>14</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"_bookmark11" </w:instrText>
          </w:r>
          <w:r>
            <w:fldChar w:fldCharType="separate"/>
          </w:r>
          <w:r>
            <w:t>工程概况</w:t>
          </w:r>
          <w:r>
            <w:tab/>
          </w:r>
          <w:r>
            <w:rPr>
              <w:rFonts w:ascii="Times New Roman" w:eastAsia="Times New Roman"/>
            </w:rPr>
            <w:t>15</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"_bookmark12" </w:instrText>
          </w:r>
          <w:r>
            <w:fldChar w:fldCharType="separate"/>
          </w:r>
          <w:r>
            <w:t>工程变更及调整</w:t>
          </w:r>
          <w:r>
            <w:tab/>
          </w:r>
          <w:r>
            <w:rPr>
              <w:rFonts w:ascii="Times New Roman" w:eastAsia="Times New Roman"/>
            </w:rPr>
            <w:t>18</w:t>
          </w:r>
          <w:r>
            <w:rPr>
              <w:rFonts w:ascii="Times New Roman" w:eastAsia="Times New Roman"/>
            </w:rPr>
            <w:fldChar w:fldCharType="end"/>
          </w:r>
        </w:p>
        <w:p>
          <w:pPr>
            <w:pStyle w:val="10"/>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"_bookmark13" </w:instrText>
          </w:r>
          <w:r>
            <w:fldChar w:fldCharType="separate"/>
          </w:r>
          <w:r>
            <w:t>环境影响评价及相关批复要求回顾</w:t>
          </w:r>
          <w:r>
            <w:tab/>
          </w:r>
          <w:r>
            <w:rPr>
              <w:rFonts w:ascii="Times New Roman" w:eastAsia="Times New Roman"/>
            </w:rPr>
            <w:t>22</w:t>
          </w:r>
          <w:r>
            <w:rPr>
              <w:rFonts w:ascii="Times New Roman" w:eastAsia="Times New Roman"/>
            </w:rPr>
            <w:fldChar w:fldCharType="end"/>
          </w:r>
        </w:p>
        <w:p>
          <w:pPr>
            <w:pStyle w:val="11"/>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"_bookmark14" </w:instrText>
          </w:r>
          <w:r>
            <w:fldChar w:fldCharType="separate"/>
          </w:r>
          <w:r>
            <w:t>环境影响报告书内容回顾</w:t>
          </w:r>
          <w:r>
            <w:tab/>
          </w:r>
          <w:r>
            <w:rPr>
              <w:rFonts w:ascii="Times New Roman" w:eastAsia="Times New Roman"/>
            </w:rPr>
            <w:t>22</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"_bookmark15" </w:instrText>
          </w:r>
          <w:r>
            <w:fldChar w:fldCharType="separate"/>
          </w:r>
          <w:r>
            <w:t>环境影响报告书审批意见</w:t>
          </w:r>
          <w:r>
            <w:tab/>
          </w:r>
          <w:r>
            <w:rPr>
              <w:rFonts w:ascii="Times New Roman" w:eastAsia="Times New Roman"/>
            </w:rPr>
            <w:t>29</w:t>
          </w:r>
          <w:r>
            <w:rPr>
              <w:rFonts w:ascii="Times New Roman" w:eastAsia="Times New Roman"/>
            </w:rPr>
            <w:fldChar w:fldCharType="end"/>
          </w:r>
        </w:p>
        <w:p>
          <w:pPr>
            <w:pStyle w:val="10"/>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"_bookmark16" </w:instrText>
          </w:r>
          <w:r>
            <w:fldChar w:fldCharType="separate"/>
          </w:r>
          <w:r>
            <w:t>环境保护措施落实情况调查</w:t>
          </w:r>
          <w:r>
            <w:tab/>
          </w:r>
          <w:r>
            <w:rPr>
              <w:rFonts w:ascii="Times New Roman" w:eastAsia="Times New Roman"/>
            </w:rPr>
            <w:t>31</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"_bookmark17" </w:instrText>
          </w:r>
          <w:r>
            <w:fldChar w:fldCharType="separate"/>
          </w:r>
          <w:r>
            <w:t>环保措施落实情况</w:t>
          </w:r>
          <w:r>
            <w:tab/>
          </w:r>
          <w:r>
            <w:rPr>
              <w:rFonts w:ascii="Times New Roman" w:eastAsia="Times New Roman"/>
            </w:rPr>
            <w:t>31</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hAnsi="Times New Roman" w:eastAsia="Times New Roman"/>
            </w:rPr>
          </w:pPr>
          <w:r>
            <w:fldChar w:fldCharType="begin"/>
          </w:r>
          <w:r>
            <w:instrText xml:space="preserve"> HYPERLINK \l "_bookmark18" </w:instrText>
          </w:r>
          <w:r>
            <w:fldChar w:fldCharType="separate"/>
          </w:r>
          <w:r>
            <w:t>环保设施投资及“三同时”落实情况</w:t>
          </w:r>
          <w:r>
            <w:tab/>
          </w:r>
          <w:r>
            <w:rPr>
              <w:rFonts w:ascii="Times New Roman" w:hAnsi="Times New Roman" w:eastAsia="Times New Roman"/>
            </w:rPr>
            <w:t>33</w:t>
          </w:r>
          <w:r>
            <w:rPr>
              <w:rFonts w:ascii="Times New Roman" w:hAnsi="Times New Roman" w:eastAsia="Times New Roman"/>
            </w:rPr>
            <w:fldChar w:fldCharType="end"/>
          </w:r>
        </w:p>
        <w:p>
          <w:pPr>
            <w:pStyle w:val="10"/>
            <w:numPr>
              <w:ilvl w:val="0"/>
              <w:numId w:val="1"/>
            </w:numPr>
            <w:tabs>
              <w:tab w:val="left" w:pos="1218"/>
              <w:tab w:val="right" w:leader="dot" w:pos="8929"/>
            </w:tabs>
            <w:spacing w:before="132" w:after="0" w:line="240" w:lineRule="auto"/>
            <w:ind w:left="1217" w:right="0" w:hanging="202"/>
            <w:jc w:val="left"/>
            <w:rPr>
              <w:rFonts w:ascii="Times New Roman" w:eastAsia="Times New Roman"/>
            </w:rPr>
          </w:pPr>
          <w:r>
            <w:fldChar w:fldCharType="begin"/>
          </w:r>
          <w:r>
            <w:instrText xml:space="preserve"> HYPERLINK \l "_bookmark19" </w:instrText>
          </w:r>
          <w:r>
            <w:fldChar w:fldCharType="separate"/>
          </w:r>
          <w:r>
            <w:t>环境影响调查</w:t>
          </w:r>
          <w:r>
            <w:tab/>
          </w:r>
          <w:r>
            <w:rPr>
              <w:rFonts w:ascii="Times New Roman" w:eastAsia="Times New Roman"/>
            </w:rPr>
            <w:t>37</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"_bookmark20" </w:instrText>
          </w:r>
          <w:r>
            <w:fldChar w:fldCharType="separate"/>
          </w:r>
          <w:r>
            <w:t>生态环境影响调查</w:t>
          </w:r>
          <w:r>
            <w:tab/>
          </w:r>
          <w:r>
            <w:rPr>
              <w:rFonts w:ascii="Times New Roman" w:eastAsia="Times New Roman"/>
            </w:rPr>
            <w:t>37</w:t>
          </w:r>
          <w:r>
            <w:rPr>
              <w:rFonts w:ascii="Times New Roman" w:eastAsia="Times New Roman"/>
            </w:rPr>
            <w:fldChar w:fldCharType="end"/>
          </w:r>
        </w:p>
        <w:p>
          <w:pPr>
            <w:pStyle w:val="11"/>
            <w:numPr>
              <w:ilvl w:val="1"/>
              <w:numId w:val="1"/>
            </w:numPr>
            <w:tabs>
              <w:tab w:val="left" w:pos="1367"/>
              <w:tab w:val="right" w:leader="dot" w:pos="8929"/>
            </w:tabs>
            <w:spacing w:before="135" w:after="0" w:line="240" w:lineRule="auto"/>
            <w:ind w:left="1366" w:right="0" w:hanging="351"/>
            <w:jc w:val="left"/>
            <w:rPr>
              <w:rFonts w:ascii="Times New Roman" w:eastAsia="Times New Roman"/>
            </w:rPr>
          </w:pPr>
          <w:r>
            <w:fldChar w:fldCharType="begin"/>
          </w:r>
          <w:r>
            <w:instrText xml:space="preserve"> HYPERLINK \l "_bookmark21" </w:instrText>
          </w:r>
          <w:r>
            <w:fldChar w:fldCharType="separate"/>
          </w:r>
          <w:r>
            <w:t>水文情势影响调查</w:t>
          </w:r>
          <w:r>
            <w:tab/>
          </w:r>
          <w:r>
            <w:rPr>
              <w:rFonts w:ascii="Times New Roman" w:eastAsia="Times New Roman"/>
            </w:rPr>
            <w:t>38</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"_bookmark22" </w:instrText>
          </w:r>
          <w:r>
            <w:fldChar w:fldCharType="separate"/>
          </w:r>
          <w:r>
            <w:t>环境污染影响调查</w:t>
          </w:r>
          <w:r>
            <w:tab/>
          </w:r>
          <w:r>
            <w:rPr>
              <w:rFonts w:ascii="Times New Roman" w:eastAsia="Times New Roman"/>
            </w:rPr>
            <w:t>39</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"_bookmark23" </w:instrText>
          </w:r>
          <w:r>
            <w:fldChar w:fldCharType="separate"/>
          </w:r>
          <w:r>
            <w:t>社会环境影响调查</w:t>
          </w:r>
          <w:r>
            <w:tab/>
          </w:r>
          <w:r>
            <w:rPr>
              <w:rFonts w:ascii="Times New Roman" w:eastAsia="Times New Roman"/>
            </w:rPr>
            <w:t>42</w:t>
          </w:r>
          <w:r>
            <w:rPr>
              <w:rFonts w:ascii="Times New Roman" w:eastAsia="Times New Roman"/>
            </w:rPr>
            <w:fldChar w:fldCharType="end"/>
          </w:r>
        </w:p>
        <w:p>
          <w:pPr>
            <w:pStyle w:val="10"/>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"_bookmark24" </w:instrText>
          </w:r>
          <w:r>
            <w:fldChar w:fldCharType="separate"/>
          </w:r>
          <w:r>
            <w:t>环境风险事故防范及应急措施调查</w:t>
          </w:r>
          <w:r>
            <w:tab/>
          </w:r>
          <w:r>
            <w:rPr>
              <w:rFonts w:ascii="Times New Roman" w:eastAsia="Times New Roman"/>
            </w:rPr>
            <w:t>43</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"_bookmark25" </w:instrText>
          </w:r>
          <w:r>
            <w:fldChar w:fldCharType="separate"/>
          </w:r>
          <w:r>
            <w:t>电站存在的环境风险</w:t>
          </w:r>
          <w:r>
            <w:tab/>
          </w:r>
          <w:r>
            <w:rPr>
              <w:rFonts w:ascii="Times New Roman" w:eastAsia="Times New Roman"/>
            </w:rPr>
            <w:t>43</w:t>
          </w:r>
          <w:r>
            <w:rPr>
              <w:rFonts w:ascii="Times New Roman" w:eastAsia="Times New Roman"/>
            </w:rPr>
            <w:fldChar w:fldCharType="end"/>
          </w:r>
        </w:p>
        <w:p>
          <w:pPr>
            <w:pStyle w:val="11"/>
            <w:numPr>
              <w:ilvl w:val="1"/>
              <w:numId w:val="1"/>
            </w:numPr>
            <w:tabs>
              <w:tab w:val="left" w:pos="1367"/>
              <w:tab w:val="right" w:leader="dot" w:pos="8929"/>
            </w:tabs>
            <w:spacing w:before="133" w:after="0" w:line="240" w:lineRule="auto"/>
            <w:ind w:left="1366" w:right="0" w:hanging="351"/>
            <w:jc w:val="left"/>
            <w:rPr>
              <w:rFonts w:ascii="Times New Roman" w:eastAsia="Times New Roman"/>
            </w:rPr>
          </w:pPr>
          <w:r>
            <w:fldChar w:fldCharType="begin"/>
          </w:r>
          <w:r>
            <w:instrText xml:space="preserve"> HYPERLINK \l "_bookmark26" </w:instrText>
          </w:r>
          <w:r>
            <w:fldChar w:fldCharType="separate"/>
          </w:r>
          <w:r>
            <w:t>电站开工建设以来发生的环境风险事故调查</w:t>
          </w:r>
          <w:r>
            <w:tab/>
          </w:r>
          <w:r>
            <w:rPr>
              <w:rFonts w:ascii="Times New Roman" w:eastAsia="Times New Roman"/>
            </w:rPr>
            <w:t>43</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"_bookmark27" </w:instrText>
          </w:r>
          <w:r>
            <w:fldChar w:fldCharType="separate"/>
          </w:r>
          <w:r>
            <w:t>电站环境风险事故应急预案的机构设置</w:t>
          </w:r>
          <w:r>
            <w:tab/>
          </w:r>
          <w:r>
            <w:rPr>
              <w:rFonts w:ascii="Times New Roman" w:eastAsia="Times New Roman"/>
            </w:rPr>
            <w:t>43</w:t>
          </w:r>
          <w:r>
            <w:rPr>
              <w:rFonts w:ascii="Times New Roman" w:eastAsia="Times New Roman"/>
            </w:rPr>
            <w:fldChar w:fldCharType="end"/>
          </w:r>
        </w:p>
        <w:p>
          <w:pPr>
            <w:pStyle w:val="10"/>
            <w:numPr>
              <w:ilvl w:val="0"/>
              <w:numId w:val="1"/>
            </w:numPr>
            <w:tabs>
              <w:tab w:val="left" w:pos="1218"/>
              <w:tab w:val="right" w:leader="dot" w:pos="8929"/>
            </w:tabs>
            <w:spacing w:before="133" w:after="0" w:line="240" w:lineRule="auto"/>
            <w:ind w:left="1217" w:right="0" w:hanging="202"/>
            <w:jc w:val="left"/>
            <w:rPr>
              <w:rFonts w:ascii="Times New Roman" w:eastAsia="Times New Roman"/>
            </w:rPr>
          </w:pPr>
          <w:r>
            <w:fldChar w:fldCharType="begin"/>
          </w:r>
          <w:r>
            <w:instrText xml:space="preserve"> HYPERLINK \l "_bookmark28" </w:instrText>
          </w:r>
          <w:r>
            <w:fldChar w:fldCharType="separate"/>
          </w:r>
          <w:r>
            <w:t>环境管理检查调查</w:t>
          </w:r>
          <w:r>
            <w:tab/>
          </w:r>
          <w:r>
            <w:rPr>
              <w:rFonts w:ascii="Times New Roman" w:eastAsia="Times New Roman"/>
            </w:rPr>
            <w:t>45</w:t>
          </w:r>
          <w:r>
            <w:rPr>
              <w:rFonts w:ascii="Times New Roman" w:eastAsia="Times New Roman"/>
            </w:rPr>
            <w:fldChar w:fldCharType="end"/>
          </w:r>
        </w:p>
        <w:p>
          <w:pPr>
            <w:pStyle w:val="11"/>
            <w:numPr>
              <w:ilvl w:val="1"/>
              <w:numId w:val="1"/>
            </w:numPr>
            <w:tabs>
              <w:tab w:val="left" w:pos="1367"/>
              <w:tab w:val="right" w:leader="dot" w:pos="8929"/>
            </w:tabs>
            <w:spacing w:before="132" w:after="0" w:line="240" w:lineRule="auto"/>
            <w:ind w:left="1366" w:right="0" w:hanging="351"/>
            <w:jc w:val="left"/>
            <w:rPr>
              <w:rFonts w:ascii="Times New Roman" w:eastAsia="Times New Roman"/>
            </w:rPr>
          </w:pPr>
          <w:r>
            <w:fldChar w:fldCharType="begin"/>
          </w:r>
          <w:r>
            <w:instrText xml:space="preserve"> HYPERLINK \l "_bookmark29" </w:instrText>
          </w:r>
          <w:r>
            <w:fldChar w:fldCharType="separate"/>
          </w:r>
          <w:r>
            <w:t>环境管理</w:t>
          </w:r>
          <w:r>
            <w:tab/>
          </w:r>
          <w:r>
            <w:rPr>
              <w:rFonts w:ascii="Times New Roman" w:eastAsia="Times New Roman"/>
            </w:rPr>
            <w:t>45</w:t>
          </w:r>
          <w:r>
            <w:rPr>
              <w:rFonts w:ascii="Times New Roman" w:eastAsia="Times New Roman"/>
            </w:rPr>
            <w:fldChar w:fldCharType="end"/>
          </w:r>
        </w:p>
        <w:p>
          <w:pPr>
            <w:pStyle w:val="11"/>
            <w:numPr>
              <w:ilvl w:val="1"/>
              <w:numId w:val="1"/>
            </w:numPr>
            <w:tabs>
              <w:tab w:val="left" w:pos="1367"/>
              <w:tab w:val="right" w:leader="dot" w:pos="8929"/>
            </w:tabs>
            <w:spacing w:before="133" w:after="20" w:line="240" w:lineRule="auto"/>
            <w:ind w:left="1366" w:right="0" w:hanging="351"/>
            <w:jc w:val="left"/>
            <w:rPr>
              <w:rFonts w:ascii="Times New Roman" w:eastAsia="Times New Roman"/>
            </w:rPr>
          </w:pPr>
          <w:r>
            <w:fldChar w:fldCharType="begin"/>
          </w:r>
          <w:r>
            <w:instrText xml:space="preserve"> HYPERLINK \l "_bookmark30" </w:instrText>
          </w:r>
          <w:r>
            <w:fldChar w:fldCharType="separate"/>
          </w:r>
          <w:r>
            <w:t>环境监理、监察</w:t>
          </w:r>
          <w:r>
            <w:tab/>
          </w:r>
          <w:r>
            <w:rPr>
              <w:rFonts w:ascii="Times New Roman" w:eastAsia="Times New Roman"/>
            </w:rPr>
            <w:t>46</w:t>
          </w:r>
          <w:r>
            <w:rPr>
              <w:rFonts w:ascii="Times New Roman" w:eastAsia="Times New Roman"/>
            </w:rPr>
            <w:fldChar w:fldCharType="end"/>
          </w:r>
        </w:p>
        <w:p>
          <w:pPr>
            <w:pStyle w:val="10"/>
            <w:numPr>
              <w:ilvl w:val="0"/>
              <w:numId w:val="1"/>
            </w:numPr>
            <w:tabs>
              <w:tab w:val="left" w:pos="1218"/>
              <w:tab w:val="left" w:leader="dot" w:pos="8729"/>
            </w:tabs>
            <w:spacing w:before="64" w:after="0" w:line="240" w:lineRule="auto"/>
            <w:ind w:left="1217" w:right="0" w:hanging="202"/>
            <w:jc w:val="left"/>
            <w:rPr>
              <w:rFonts w:ascii="Times New Roman" w:eastAsia="Times New Roman"/>
            </w:rPr>
          </w:pPr>
          <w:r>
            <w:fldChar w:fldCharType="begin"/>
          </w:r>
          <w:r>
            <w:instrText xml:space="preserve"> HYPERLINK \l "_bookmark31" </w:instrText>
          </w:r>
          <w:r>
            <w:fldChar w:fldCharType="separate"/>
          </w:r>
          <w:r>
            <w:t>公众意见调查</w:t>
          </w:r>
          <w:r>
            <w:tab/>
          </w:r>
          <w:r>
            <w:rPr>
              <w:rFonts w:ascii="Times New Roman" w:eastAsia="Times New Roman"/>
            </w:rPr>
            <w:t>47</w:t>
          </w:r>
          <w:r>
            <w:rPr>
              <w:rFonts w:ascii="Times New Roman" w:eastAsia="Times New Roman"/>
            </w:rPr>
            <w:fldChar w:fldCharType="end"/>
          </w:r>
        </w:p>
        <w:p>
          <w:pPr>
            <w:pStyle w:val="10"/>
            <w:numPr>
              <w:ilvl w:val="0"/>
              <w:numId w:val="1"/>
            </w:numPr>
            <w:tabs>
              <w:tab w:val="left" w:pos="1218"/>
              <w:tab w:val="left" w:leader="dot" w:pos="8729"/>
            </w:tabs>
            <w:spacing w:before="133" w:after="0" w:line="240" w:lineRule="auto"/>
            <w:ind w:left="1217" w:right="0" w:hanging="202"/>
            <w:jc w:val="left"/>
            <w:rPr>
              <w:rFonts w:ascii="Times New Roman" w:eastAsia="Times New Roman"/>
            </w:rPr>
          </w:pPr>
          <w:r>
            <w:fldChar w:fldCharType="begin"/>
          </w:r>
          <w:r>
            <w:instrText xml:space="preserve"> HYPERLINK \l "_bookmark32" </w:instrText>
          </w:r>
          <w:r>
            <w:fldChar w:fldCharType="separate"/>
          </w:r>
          <w:r>
            <w:t>调查结论和建议</w:t>
          </w:r>
          <w:r>
            <w:tab/>
          </w:r>
          <w:r>
            <w:rPr>
              <w:rFonts w:ascii="Times New Roman" w:eastAsia="Times New Roman"/>
            </w:rPr>
            <w:t>48</w:t>
          </w:r>
          <w:r>
            <w:rPr>
              <w:rFonts w:ascii="Times New Roman" w:eastAsia="Times New Roman"/>
            </w:rPr>
            <w:fldChar w:fldCharType="end"/>
          </w:r>
        </w:p>
        <w:p>
          <w:pPr>
            <w:pStyle w:val="11"/>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"_bookmark33" </w:instrText>
          </w:r>
          <w:r>
            <w:fldChar w:fldCharType="separate"/>
          </w:r>
          <w:r>
            <w:t>基本结论</w:t>
          </w:r>
          <w:r>
            <w:tab/>
          </w:r>
          <w:r>
            <w:rPr>
              <w:rFonts w:ascii="Times New Roman" w:eastAsia="Times New Roman"/>
            </w:rPr>
            <w:t>48</w:t>
          </w:r>
          <w:r>
            <w:rPr>
              <w:rFonts w:ascii="Times New Roman" w:eastAsia="Times New Roman"/>
            </w:rPr>
            <w:fldChar w:fldCharType="end"/>
          </w:r>
        </w:p>
        <w:p>
          <w:pPr>
            <w:pStyle w:val="11"/>
            <w:numPr>
              <w:ilvl w:val="1"/>
              <w:numId w:val="1"/>
            </w:numPr>
            <w:tabs>
              <w:tab w:val="left" w:pos="1367"/>
              <w:tab w:val="left" w:leader="dot" w:pos="8729"/>
            </w:tabs>
            <w:spacing w:before="133" w:after="0" w:line="240" w:lineRule="auto"/>
            <w:ind w:left="1366" w:right="0" w:hanging="351"/>
            <w:jc w:val="left"/>
            <w:rPr>
              <w:rFonts w:ascii="Times New Roman" w:eastAsia="Times New Roman"/>
            </w:rPr>
          </w:pPr>
          <w:r>
            <w:fldChar w:fldCharType="begin"/>
          </w:r>
          <w:r>
            <w:instrText xml:space="preserve"> HYPERLINK \l "_bookmark34" </w:instrText>
          </w:r>
          <w:r>
            <w:fldChar w:fldCharType="separate"/>
          </w:r>
          <w:r>
            <w:t>后续建议</w:t>
          </w:r>
          <w:r>
            <w:tab/>
          </w:r>
          <w:r>
            <w:rPr>
              <w:rFonts w:ascii="Times New Roman" w:eastAsia="Times New Roman"/>
            </w:rPr>
            <w:t>51</w:t>
          </w:r>
          <w:r>
            <w:rPr>
              <w:rFonts w:ascii="Times New Roman" w:eastAsia="Times New Roman"/>
            </w:rPr>
            <w:fldChar w:fldCharType="end"/>
          </w:r>
        </w:p>
        <w:p>
          <w:pPr>
            <w:pStyle w:val="11"/>
            <w:numPr>
              <w:ilvl w:val="1"/>
              <w:numId w:val="1"/>
            </w:numPr>
            <w:tabs>
              <w:tab w:val="left" w:pos="1367"/>
              <w:tab w:val="left" w:leader="dot" w:pos="8729"/>
            </w:tabs>
            <w:spacing w:before="132" w:after="0" w:line="240" w:lineRule="auto"/>
            <w:ind w:left="1366" w:right="0" w:hanging="351"/>
            <w:jc w:val="left"/>
            <w:rPr>
              <w:rFonts w:ascii="Times New Roman" w:eastAsia="Times New Roman"/>
            </w:rPr>
          </w:pPr>
          <w:r>
            <w:fldChar w:fldCharType="begin"/>
          </w:r>
          <w:r>
            <w:instrText xml:space="preserve"> HYPERLINK \l "_bookmark35" </w:instrText>
          </w:r>
          <w:r>
            <w:fldChar w:fldCharType="separate"/>
          </w:r>
          <w:r>
            <w:t>验收结论</w:t>
          </w:r>
          <w:r>
            <w:tab/>
          </w:r>
          <w:r>
            <w:rPr>
              <w:rFonts w:ascii="Times New Roman" w:eastAsia="Times New Roman"/>
            </w:rPr>
            <w:t>51</w:t>
          </w:r>
          <w:r>
            <w:rPr>
              <w:rFonts w:ascii="Times New Roman" w:eastAsia="Times New Roman"/>
            </w:rPr>
            <w:fldChar w:fldCharType="end"/>
          </w:r>
        </w:p>
        <w:p>
          <w:pPr>
            <w:pStyle w:val="10"/>
            <w:tabs>
              <w:tab w:val="left" w:leader="dot" w:pos="8729"/>
            </w:tabs>
            <w:spacing w:before="133"/>
            <w:rPr>
              <w:rFonts w:ascii="Times New Roman" w:hAnsi="Times New Roman" w:eastAsia="Times New Roman"/>
            </w:rPr>
          </w:pPr>
          <w:r>
            <w:fldChar w:fldCharType="begin"/>
          </w:r>
          <w:r>
            <w:instrText xml:space="preserve"> HYPERLINK \l "_bookmark36" </w:instrText>
          </w:r>
          <w:r>
            <w:fldChar w:fldCharType="separate"/>
          </w:r>
          <w:r>
            <w:t>建设项目竣工环境保护“三同时”验收登记表</w:t>
          </w:r>
          <w:r>
            <w:tab/>
          </w:r>
          <w:r>
            <w:rPr>
              <w:rFonts w:ascii="Times New Roman" w:hAnsi="Times New Roman" w:eastAsia="Times New Roman"/>
            </w:rPr>
            <w:t>52</w:t>
          </w:r>
          <w:r>
            <w:rPr>
              <w:rFonts w:ascii="Times New Roman" w:hAnsi="Times New Roman" w:eastAsia="Times New Roman"/>
            </w:rPr>
            <w:fldChar w:fldCharType="end"/>
          </w:r>
        </w:p>
        <w:p>
          <w:pPr>
            <w:pStyle w:val="10"/>
            <w:tabs>
              <w:tab w:val="left" w:leader="dot" w:pos="8729"/>
            </w:tabs>
            <w:spacing w:before="133"/>
            <w:rPr>
              <w:rFonts w:ascii="Times New Roman" w:eastAsia="Times New Roman"/>
            </w:rPr>
          </w:pPr>
          <w:r>
            <w:fldChar w:fldCharType="begin"/>
          </w:r>
          <w:r>
            <w:instrText xml:space="preserve"> HYPERLINK \l "_bookmark37" </w:instrText>
          </w:r>
          <w:r>
            <w:fldChar w:fldCharType="separate"/>
          </w:r>
          <w:r>
            <w:t>附件</w:t>
          </w:r>
          <w:r>
            <w:rPr>
              <w:spacing w:val="-53"/>
            </w:rPr>
            <w:t xml:space="preserve"> </w:t>
          </w:r>
          <w:r>
            <w:rPr>
              <w:rFonts w:ascii="Times New Roman" w:eastAsia="Times New Roman"/>
            </w:rPr>
            <w:t xml:space="preserve">1 </w:t>
          </w:r>
          <w:r>
            <w:t>验收委托书</w:t>
          </w:r>
          <w:r>
            <w:tab/>
          </w:r>
          <w:r>
            <w:rPr>
              <w:rFonts w:ascii="Times New Roman" w:eastAsia="Times New Roman"/>
            </w:rPr>
            <w:t>53</w:t>
          </w:r>
          <w:r>
            <w:rPr>
              <w:rFonts w:ascii="Times New Roman" w:eastAsia="Times New Roman"/>
            </w:rPr>
            <w:fldChar w:fldCharType="end"/>
          </w:r>
        </w:p>
        <w:p>
          <w:pPr>
            <w:pStyle w:val="10"/>
            <w:tabs>
              <w:tab w:val="left" w:leader="dot" w:pos="8729"/>
            </w:tabs>
            <w:spacing w:line="364" w:lineRule="auto"/>
            <w:ind w:left="617" w:right="610" w:firstLine="398"/>
            <w:rPr>
              <w:rFonts w:ascii="Times New Roman" w:eastAsia="Times New Roman"/>
            </w:rPr>
          </w:pPr>
          <w:r>
            <w:fldChar w:fldCharType="begin"/>
          </w:r>
          <w:r>
            <w:instrText xml:space="preserve"> HYPERLINK \l "_bookmark38" </w:instrText>
          </w:r>
          <w:r>
            <w:fldChar w:fldCharType="separate"/>
          </w:r>
          <w:r>
            <w:t>附</w:t>
          </w:r>
          <w:r>
            <w:fldChar w:fldCharType="end"/>
          </w:r>
          <w:r>
            <w:fldChar w:fldCharType="begin"/>
          </w:r>
          <w:r>
            <w:instrText xml:space="preserve"> HYPERLINK \l "_bookmark38" </w:instrText>
          </w:r>
          <w:r>
            <w:fldChar w:fldCharType="separate"/>
          </w:r>
          <w:r>
            <w:t>件</w:t>
          </w:r>
          <w:r>
            <w:rPr>
              <w:spacing w:val="-52"/>
            </w:rPr>
            <w:t xml:space="preserve"> </w:t>
          </w:r>
          <w:r>
            <w:rPr>
              <w:rFonts w:ascii="Times New Roman" w:eastAsia="Times New Roman"/>
            </w:rPr>
            <w:t>2</w:t>
          </w:r>
          <w:r>
            <w:rPr>
              <w:rFonts w:ascii="Times New Roman" w:eastAsia="Times New Roman"/>
              <w:spacing w:val="-2"/>
            </w:rPr>
            <w:t xml:space="preserve"> </w:t>
          </w:r>
          <w:r>
            <w:rPr>
              <w:rFonts w:hint="eastAsia"/>
              <w:lang w:eastAsia="zh-CN"/>
            </w:rPr>
            <w:t>吉安市生态环境</w:t>
          </w:r>
          <w:r>
            <w:rPr>
              <w:spacing w:val="-39"/>
            </w:rPr>
            <w:t>局</w:t>
          </w:r>
          <w:r>
            <w:rPr>
              <w:rFonts w:hint="eastAsia"/>
              <w:spacing w:val="-39"/>
            </w:rPr>
            <w:t>《吉安市生态环境局关于</w:t>
          </w:r>
          <w:r>
            <w:rPr>
              <w:rFonts w:hint="eastAsia" w:ascii="宋体" w:hAnsi="宋体" w:eastAsia="宋体" w:cs="宋体"/>
              <w:b/>
              <w:bCs/>
              <w:sz w:val="20"/>
              <w:szCs w:val="20"/>
              <w:lang w:eastAsia="zh-CN"/>
            </w:rPr>
            <w:t>吉安市</w:t>
          </w:r>
          <w:r>
            <w:rPr>
              <w:rFonts w:hint="eastAsia" w:ascii="宋体" w:hAnsi="宋体" w:eastAsia="宋体" w:cs="宋体"/>
              <w:b/>
              <w:bCs/>
              <w:color w:val="auto"/>
              <w:spacing w:val="0"/>
              <w:w w:val="100"/>
              <w:kern w:val="0"/>
              <w:position w:val="0"/>
              <w:sz w:val="20"/>
              <w:szCs w:val="20"/>
              <w:lang w:eastAsia="zh-CN"/>
            </w:rPr>
            <w:t>青原区东井冈</w:t>
          </w:r>
          <w:r>
            <w:rPr>
              <w:rFonts w:hint="eastAsia" w:ascii="宋体" w:hAnsi="宋体" w:eastAsia="宋体" w:cs="宋体"/>
              <w:b/>
              <w:bCs/>
              <w:color w:val="auto"/>
              <w:spacing w:val="0"/>
              <w:w w:val="100"/>
              <w:kern w:val="0"/>
              <w:position w:val="0"/>
              <w:sz w:val="20"/>
              <w:szCs w:val="20"/>
            </w:rPr>
            <w:t>水电站增效扩容改造工程</w:t>
          </w:r>
          <w:r>
            <w:rPr>
              <w:rFonts w:hint="eastAsia"/>
              <w:spacing w:val="-39"/>
            </w:rPr>
            <w:t>环境影响报告书的批复》（吉市环评字[2020]75 号）</w:t>
          </w:r>
          <w:r>
            <w:fldChar w:fldCharType="end"/>
          </w:r>
          <w:r>
            <w:tab/>
          </w:r>
          <w:r>
            <w:rPr>
              <w:rFonts w:ascii="Times New Roman" w:eastAsia="Times New Roman"/>
            </w:rPr>
            <w:t>54</w:t>
          </w:r>
        </w:p>
        <w:p>
          <w:pPr>
            <w:pStyle w:val="10"/>
            <w:tabs>
              <w:tab w:val="left" w:leader="dot" w:pos="8729"/>
            </w:tabs>
            <w:spacing w:before="0" w:line="255" w:lineRule="exact"/>
            <w:rPr>
              <w:rFonts w:ascii="Times New Roman" w:eastAsia="Times New Roman"/>
            </w:rPr>
          </w:pPr>
          <w:r>
            <w:fldChar w:fldCharType="begin"/>
          </w:r>
          <w:r>
            <w:instrText xml:space="preserve"> HYPERLINK \l "_bookmark39" </w:instrText>
          </w:r>
          <w:r>
            <w:fldChar w:fldCharType="separate"/>
          </w:r>
          <w:r>
            <w:t>附件</w:t>
          </w:r>
          <w:r>
            <w:rPr>
              <w:spacing w:val="-53"/>
            </w:rPr>
            <w:t xml:space="preserve"> </w:t>
          </w:r>
          <w:r>
            <w:rPr>
              <w:rFonts w:ascii="Times New Roman" w:eastAsia="Times New Roman"/>
            </w:rPr>
            <w:t xml:space="preserve">3 </w:t>
          </w:r>
          <w:r>
            <w:t>工况证明</w:t>
          </w:r>
          <w:r>
            <w:tab/>
          </w:r>
          <w:r>
            <w:rPr>
              <w:rFonts w:ascii="Times New Roman" w:eastAsia="Times New Roman"/>
            </w:rPr>
            <w:t>57</w:t>
          </w:r>
          <w:r>
            <w:rPr>
              <w:rFonts w:ascii="Times New Roman" w:eastAsia="Times New Roman"/>
            </w:rPr>
            <w:fldChar w:fldCharType="end"/>
          </w:r>
        </w:p>
        <w:p>
          <w:pPr>
            <w:pStyle w:val="10"/>
            <w:tabs>
              <w:tab w:val="left" w:leader="dot" w:pos="8729"/>
            </w:tabs>
            <w:spacing w:before="135"/>
            <w:rPr>
              <w:rFonts w:ascii="Times New Roman" w:eastAsia="Times New Roman"/>
            </w:rPr>
          </w:pPr>
          <w:r>
            <w:fldChar w:fldCharType="begin"/>
          </w:r>
          <w:r>
            <w:instrText xml:space="preserve"> HYPERLINK \l "_bookmark40" </w:instrText>
          </w:r>
          <w:r>
            <w:fldChar w:fldCharType="separate"/>
          </w:r>
          <w:r>
            <w:t>附件</w:t>
          </w:r>
          <w:r>
            <w:rPr>
              <w:spacing w:val="-53"/>
            </w:rPr>
            <w:t xml:space="preserve"> </w:t>
          </w:r>
          <w:r>
            <w:rPr>
              <w:rFonts w:ascii="Times New Roman" w:eastAsia="Times New Roman"/>
            </w:rPr>
            <w:t xml:space="preserve">4 </w:t>
          </w:r>
          <w:r>
            <w:t>检测报告</w:t>
          </w:r>
          <w:r>
            <w:tab/>
          </w:r>
          <w:r>
            <w:rPr>
              <w:rFonts w:ascii="Times New Roman" w:eastAsia="Times New Roman"/>
            </w:rPr>
            <w:t>58</w:t>
          </w:r>
          <w:r>
            <w:rPr>
              <w:rFonts w:ascii="Times New Roman" w:eastAsia="Times New Roman"/>
            </w:rPr>
            <w:fldChar w:fldCharType="end"/>
          </w:r>
        </w:p>
        <w:p>
          <w:pPr>
            <w:pStyle w:val="10"/>
            <w:tabs>
              <w:tab w:val="left" w:leader="dot" w:pos="8729"/>
            </w:tabs>
            <w:spacing w:before="133"/>
            <w:rPr>
              <w:rFonts w:ascii="Times New Roman" w:eastAsia="Times New Roman"/>
            </w:rPr>
          </w:pPr>
          <w:r>
            <w:fldChar w:fldCharType="begin"/>
          </w:r>
          <w:r>
            <w:instrText xml:space="preserve"> HYPERLINK \l "_bookmark41" </w:instrText>
          </w:r>
          <w:r>
            <w:fldChar w:fldCharType="separate"/>
          </w:r>
          <w:r>
            <w:t>附件</w:t>
          </w:r>
          <w:r>
            <w:rPr>
              <w:spacing w:val="-54"/>
            </w:rPr>
            <w:t xml:space="preserve"> </w:t>
          </w:r>
          <w:r>
            <w:rPr>
              <w:rFonts w:ascii="Times New Roman" w:eastAsia="Times New Roman"/>
            </w:rPr>
            <w:t>5</w:t>
          </w:r>
          <w:r>
            <w:t>：项目</w:t>
          </w:r>
          <w:r>
            <w:rPr>
              <w:rFonts w:hint="eastAsia"/>
              <w:lang w:eastAsia="zh-CN"/>
            </w:rPr>
            <w:t>危险废物协议</w:t>
          </w:r>
          <w:r>
            <w:tab/>
          </w:r>
          <w:r>
            <w:rPr>
              <w:rFonts w:ascii="Times New Roman" w:eastAsia="Times New Roman"/>
            </w:rPr>
            <w:t>65</w:t>
          </w:r>
          <w:r>
            <w:rPr>
              <w:rFonts w:ascii="Times New Roman" w:eastAsia="Times New Roman"/>
            </w:rPr>
            <w:fldChar w:fldCharType="end"/>
          </w:r>
        </w:p>
        <w:p>
          <w:pPr>
            <w:pStyle w:val="10"/>
            <w:tabs>
              <w:tab w:val="left" w:leader="dot" w:pos="8729"/>
            </w:tabs>
            <w:rPr>
              <w:rFonts w:ascii="Times New Roman" w:eastAsia="Times New Roman"/>
            </w:rPr>
          </w:pPr>
          <w:r>
            <w:fldChar w:fldCharType="begin"/>
          </w:r>
          <w:r>
            <w:instrText xml:space="preserve"> HYPERLINK \l "_bookmark42" </w:instrText>
          </w:r>
          <w:r>
            <w:fldChar w:fldCharType="separate"/>
          </w:r>
          <w:r>
            <w:t>附图</w:t>
          </w:r>
          <w:r>
            <w:rPr>
              <w:spacing w:val="-53"/>
            </w:rPr>
            <w:t xml:space="preserve"> </w:t>
          </w:r>
          <w:r>
            <w:rPr>
              <w:rFonts w:ascii="Times New Roman" w:eastAsia="Times New Roman"/>
            </w:rPr>
            <w:t xml:space="preserve">1 </w:t>
          </w:r>
          <w:r>
            <w:t>项目地理位置图</w:t>
          </w:r>
          <w:r>
            <w:tab/>
          </w:r>
          <w:r>
            <w:rPr>
              <w:rFonts w:ascii="Times New Roman" w:eastAsia="Times New Roman"/>
            </w:rPr>
            <w:t>66</w:t>
          </w:r>
          <w:r>
            <w:rPr>
              <w:rFonts w:ascii="Times New Roman" w:eastAsia="Times New Roman"/>
            </w:rPr>
            <w:fldChar w:fldCharType="end"/>
          </w:r>
        </w:p>
        <w:p>
          <w:pPr>
            <w:pStyle w:val="10"/>
            <w:tabs>
              <w:tab w:val="left" w:leader="dot" w:pos="8729"/>
            </w:tabs>
            <w:spacing w:before="133"/>
            <w:rPr>
              <w:rFonts w:ascii="Times New Roman" w:eastAsia="Times New Roman"/>
            </w:rPr>
          </w:pPr>
          <w:r>
            <w:fldChar w:fldCharType="begin"/>
          </w:r>
          <w:r>
            <w:instrText xml:space="preserve"> HYPERLINK \l "_bookmark43" </w:instrText>
          </w:r>
          <w:r>
            <w:fldChar w:fldCharType="separate"/>
          </w:r>
          <w:r>
            <w:t>附图</w:t>
          </w:r>
          <w:r>
            <w:rPr>
              <w:spacing w:val="-54"/>
            </w:rPr>
            <w:t xml:space="preserve"> </w:t>
          </w:r>
          <w:r>
            <w:rPr>
              <w:rFonts w:ascii="Times New Roman" w:eastAsia="Times New Roman"/>
            </w:rPr>
            <w:t>2</w:t>
          </w:r>
          <w:r>
            <w:rPr>
              <w:rFonts w:ascii="Times New Roman" w:eastAsia="Times New Roman"/>
              <w:spacing w:val="-1"/>
            </w:rPr>
            <w:t xml:space="preserve"> </w:t>
          </w:r>
          <w:r>
            <w:t>项目工程总体平面布置图</w:t>
          </w:r>
          <w:r>
            <w:tab/>
          </w:r>
          <w:r>
            <w:rPr>
              <w:rFonts w:ascii="Times New Roman" w:eastAsia="Times New Roman"/>
            </w:rPr>
            <w:t>67</w:t>
          </w:r>
          <w:r>
            <w:rPr>
              <w:rFonts w:ascii="Times New Roman" w:eastAsia="Times New Roman"/>
            </w:rPr>
            <w:fldChar w:fldCharType="end"/>
          </w:r>
        </w:p>
        <w:p>
          <w:pPr>
            <w:pStyle w:val="10"/>
            <w:tabs>
              <w:tab w:val="left" w:leader="dot" w:pos="8729"/>
            </w:tabs>
            <w:rPr>
              <w:rFonts w:ascii="Times New Roman" w:eastAsia="Times New Roman"/>
            </w:rPr>
          </w:pPr>
          <w:r>
            <w:fldChar w:fldCharType="begin"/>
          </w:r>
          <w:r>
            <w:instrText xml:space="preserve"> HYPERLINK \l "_bookmark44" </w:instrText>
          </w:r>
          <w:r>
            <w:fldChar w:fldCharType="separate"/>
          </w:r>
          <w:r>
            <w:t>附图</w:t>
          </w:r>
          <w:r>
            <w:rPr>
              <w:spacing w:val="-53"/>
            </w:rPr>
            <w:t xml:space="preserve"> </w:t>
          </w:r>
          <w:r>
            <w:rPr>
              <w:rFonts w:ascii="Times New Roman" w:eastAsia="Times New Roman"/>
            </w:rPr>
            <w:t>3</w:t>
          </w:r>
          <w:r>
            <w:rPr>
              <w:rFonts w:ascii="Times New Roman" w:eastAsia="Times New Roman"/>
              <w:spacing w:val="-1"/>
            </w:rPr>
            <w:t xml:space="preserve"> </w:t>
          </w:r>
          <w:r>
            <w:t>项目周边敏感点分布图</w:t>
          </w:r>
          <w:r>
            <w:tab/>
          </w:r>
          <w:r>
            <w:rPr>
              <w:rFonts w:ascii="Times New Roman" w:eastAsia="Times New Roman"/>
            </w:rPr>
            <w:t>68</w:t>
          </w:r>
          <w:r>
            <w:rPr>
              <w:rFonts w:ascii="Times New Roman" w:eastAsia="Times New Roman"/>
            </w:rPr>
            <w:fldChar w:fldCharType="end"/>
          </w:r>
        </w:p>
        <w:p>
          <w:pPr>
            <w:pStyle w:val="10"/>
            <w:tabs>
              <w:tab w:val="left" w:leader="dot" w:pos="8729"/>
            </w:tabs>
            <w:spacing w:before="133"/>
            <w:rPr>
              <w:rFonts w:ascii="Times New Roman" w:eastAsia="Times New Roman"/>
            </w:rPr>
          </w:pPr>
          <w:r>
            <w:fldChar w:fldCharType="begin"/>
          </w:r>
          <w:r>
            <w:instrText xml:space="preserve"> HYPERLINK \l "_bookmark45" </w:instrText>
          </w:r>
          <w:r>
            <w:fldChar w:fldCharType="separate"/>
          </w:r>
          <w:r>
            <w:t>附图</w:t>
          </w:r>
          <w:r>
            <w:rPr>
              <w:spacing w:val="-53"/>
            </w:rPr>
            <w:t xml:space="preserve"> </w:t>
          </w:r>
          <w:r>
            <w:rPr>
              <w:rFonts w:ascii="Times New Roman" w:eastAsia="Times New Roman"/>
            </w:rPr>
            <w:t>4</w:t>
          </w:r>
          <w:r>
            <w:rPr>
              <w:rFonts w:ascii="Times New Roman" w:eastAsia="Times New Roman"/>
              <w:spacing w:val="-1"/>
            </w:rPr>
            <w:t xml:space="preserve"> </w:t>
          </w:r>
          <w:r>
            <w:t>项目土地利用规划图</w:t>
          </w:r>
          <w:r>
            <w:tab/>
          </w:r>
          <w:r>
            <w:rPr>
              <w:rFonts w:ascii="Times New Roman" w:eastAsia="Times New Roman"/>
            </w:rPr>
            <w:t>69</w:t>
          </w:r>
          <w:r>
            <w:rPr>
              <w:rFonts w:ascii="Times New Roman" w:eastAsia="Times New Roman"/>
            </w:rPr>
            <w:fldChar w:fldCharType="end"/>
          </w:r>
        </w:p>
        <w:p>
          <w:pPr>
            <w:pStyle w:val="10"/>
            <w:tabs>
              <w:tab w:val="left" w:leader="dot" w:pos="8729"/>
            </w:tabs>
          </w:pPr>
          <w:r>
            <w:fldChar w:fldCharType="begin"/>
          </w:r>
          <w:r>
            <w:instrText xml:space="preserve"> HYPERLINK \l "_bookmark46" </w:instrText>
          </w:r>
          <w:r>
            <w:fldChar w:fldCharType="separate"/>
          </w:r>
          <w:r>
            <w:t>附图</w:t>
          </w:r>
          <w:r>
            <w:rPr>
              <w:spacing w:val="-53"/>
            </w:rPr>
            <w:t xml:space="preserve"> </w:t>
          </w:r>
          <w:r>
            <w:rPr>
              <w:rFonts w:ascii="Times New Roman" w:eastAsia="Times New Roman"/>
            </w:rPr>
            <w:t xml:space="preserve">5 </w:t>
          </w:r>
          <w:r>
            <w:rPr>
              <w:b/>
              <w:sz w:val="20"/>
              <w:szCs w:val="20"/>
            </w:rPr>
            <w:t>项目所在地</w:t>
          </w:r>
          <w:r>
            <w:rPr>
              <w:rFonts w:hint="eastAsia"/>
              <w:b/>
              <w:bCs/>
              <w:sz w:val="20"/>
              <w:szCs w:val="20"/>
              <w:lang w:val="en-US" w:eastAsia="zh-CN"/>
            </w:rPr>
            <w:t>青原区生态空间红线保护图</w:t>
          </w:r>
          <w:r>
            <w:tab/>
          </w:r>
          <w:r>
            <w:rPr>
              <w:rFonts w:ascii="Times New Roman" w:eastAsia="Times New Roman"/>
            </w:rPr>
            <w:t>70</w:t>
          </w:r>
          <w:r>
            <w:rPr>
              <w:rFonts w:ascii="Times New Roman" w:eastAsia="Times New Roman"/>
            </w:rPr>
            <w:fldChar w:fldCharType="end"/>
          </w:r>
        </w:p>
      </w:sdtContent>
    </w:sdt>
    <w:p>
      <w:pPr>
        <w:pStyle w:val="10"/>
        <w:tabs>
          <w:tab w:val="left" w:leader="dot" w:pos="8729"/>
        </w:tabs>
        <w:rPr>
          <w:rFonts w:hint="default" w:ascii="Times New Roman" w:eastAsia="宋体"/>
          <w:lang w:val="en-US" w:eastAsia="zh-CN"/>
        </w:rPr>
      </w:pPr>
      <w:r>
        <w:t>附图</w:t>
      </w:r>
      <w:r>
        <w:rPr>
          <w:spacing w:val="-53"/>
        </w:rPr>
        <w:t xml:space="preserve"> </w:t>
      </w:r>
      <w:r>
        <w:rPr>
          <w:rFonts w:hint="eastAsia" w:ascii="Times New Roman" w:eastAsia="宋体"/>
          <w:lang w:val="en-US" w:eastAsia="zh-CN"/>
        </w:rPr>
        <w:t>6</w:t>
      </w:r>
      <w:r>
        <w:rPr>
          <w:rFonts w:ascii="Times New Roman" w:eastAsia="Times New Roman"/>
        </w:rPr>
        <w:t xml:space="preserve"> </w:t>
      </w:r>
      <w:r>
        <w:rPr>
          <w:b/>
          <w:sz w:val="20"/>
          <w:szCs w:val="20"/>
        </w:rPr>
        <w:t>项目</w:t>
      </w:r>
      <w:r>
        <w:rPr>
          <w:rFonts w:hint="eastAsia"/>
          <w:b/>
          <w:sz w:val="20"/>
          <w:szCs w:val="20"/>
          <w:lang w:eastAsia="zh-CN"/>
        </w:rPr>
        <w:t>现状</w:t>
      </w:r>
      <w:r>
        <w:rPr>
          <w:rFonts w:hint="eastAsia"/>
          <w:b/>
          <w:bCs/>
          <w:sz w:val="20"/>
          <w:szCs w:val="20"/>
          <w:lang w:val="en-US" w:eastAsia="zh-CN"/>
        </w:rPr>
        <w:t>图</w:t>
      </w:r>
      <w:r>
        <w:tab/>
      </w:r>
      <w:r>
        <w:rPr>
          <w:rFonts w:hint="eastAsia"/>
          <w:lang w:val="en-US" w:eastAsia="zh-CN"/>
        </w:rPr>
        <w:t>71</w:t>
      </w:r>
    </w:p>
    <w:p>
      <w:pPr>
        <w:spacing w:after="0"/>
        <w:rPr>
          <w:rFonts w:ascii="Times New Roman" w:eastAsia="Times New Roman"/>
        </w:rPr>
        <w:sectPr>
          <w:type w:val="continuous"/>
          <w:pgSz w:w="11910" w:h="16840"/>
          <w:pgMar w:top="1380" w:right="1160" w:bottom="1765" w:left="1180" w:header="720" w:footer="720" w:gutter="0"/>
        </w:sectPr>
      </w:pPr>
    </w:p>
    <w:p>
      <w:pPr>
        <w:pStyle w:val="3"/>
        <w:keepNext w:val="0"/>
        <w:keepLines w:val="0"/>
        <w:pageBreakBefore w:val="0"/>
        <w:widowControl w:val="0"/>
        <w:numPr>
          <w:ilvl w:val="0"/>
          <w:numId w:val="2"/>
        </w:numPr>
        <w:tabs>
          <w:tab w:val="left" w:pos="978"/>
        </w:tabs>
        <w:kinsoku/>
        <w:wordWrap/>
        <w:overflowPunct/>
        <w:topLinePunct w:val="0"/>
        <w:autoSpaceDE w:val="0"/>
        <w:autoSpaceDN w:val="0"/>
        <w:bidi w:val="0"/>
        <w:adjustRightInd/>
        <w:snapToGrid/>
        <w:spacing w:before="0" w:after="0" w:line="360" w:lineRule="auto"/>
        <w:ind w:left="0" w:right="0" w:hanging="361"/>
        <w:jc w:val="both"/>
        <w:textAlignment w:val="auto"/>
        <w:rPr>
          <w:rFonts w:hint="eastAsia" w:ascii="宋体" w:hAnsi="宋体" w:eastAsia="宋体" w:cs="宋体"/>
          <w:sz w:val="24"/>
          <w:szCs w:val="24"/>
        </w:rPr>
      </w:pPr>
      <w:bookmarkStart w:id="0" w:name="_bookmark0"/>
      <w:bookmarkEnd w:id="0"/>
      <w:bookmarkStart w:id="1" w:name="_bookmark0"/>
      <w:bookmarkEnd w:id="1"/>
      <w:bookmarkStart w:id="2" w:name="1综述"/>
      <w:bookmarkEnd w:id="2"/>
      <w:r>
        <w:rPr>
          <w:rFonts w:hint="eastAsia" w:ascii="宋体" w:hAnsi="宋体" w:eastAsia="宋体" w:cs="宋体"/>
          <w:sz w:val="24"/>
          <w:szCs w:val="24"/>
        </w:rPr>
        <w:t>综述</w:t>
      </w:r>
    </w:p>
    <w:p>
      <w:pPr>
        <w:pStyle w:val="4"/>
        <w:keepNext w:val="0"/>
        <w:keepLines w:val="0"/>
        <w:pageBreakBefore w:val="0"/>
        <w:widowControl w:val="0"/>
        <w:numPr>
          <w:ilvl w:val="1"/>
          <w:numId w:val="2"/>
        </w:numPr>
        <w:tabs>
          <w:tab w:val="left" w:pos="1220"/>
        </w:tabs>
        <w:kinsoku/>
        <w:wordWrap/>
        <w:overflowPunct/>
        <w:topLinePunct w:val="0"/>
        <w:autoSpaceDE w:val="0"/>
        <w:autoSpaceDN w:val="0"/>
        <w:bidi w:val="0"/>
        <w:adjustRightInd/>
        <w:snapToGrid/>
        <w:spacing w:before="0" w:after="0" w:line="360" w:lineRule="auto"/>
        <w:ind w:left="0" w:right="0" w:hanging="603"/>
        <w:jc w:val="left"/>
        <w:textAlignment w:val="auto"/>
        <w:rPr>
          <w:rFonts w:hint="eastAsia" w:ascii="宋体" w:hAnsi="宋体" w:eastAsia="宋体" w:cs="宋体"/>
          <w:sz w:val="24"/>
          <w:szCs w:val="24"/>
        </w:rPr>
      </w:pPr>
      <w:bookmarkStart w:id="3" w:name="1.1项目由来"/>
      <w:bookmarkEnd w:id="3"/>
      <w:bookmarkStart w:id="4" w:name="_bookmark1"/>
      <w:bookmarkEnd w:id="4"/>
      <w:bookmarkStart w:id="5" w:name="_bookmark1"/>
      <w:bookmarkEnd w:id="5"/>
      <w:r>
        <w:rPr>
          <w:rFonts w:hint="eastAsia" w:ascii="宋体" w:hAnsi="宋体" w:eastAsia="宋体" w:cs="宋体"/>
          <w:sz w:val="24"/>
          <w:szCs w:val="24"/>
        </w:rPr>
        <w:t>项目由来</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rPr>
        <w:t>项目名称：</w:t>
      </w:r>
      <w:r>
        <w:rPr>
          <w:rFonts w:hint="eastAsia" w:ascii="宋体" w:hAnsi="宋体" w:eastAsia="宋体" w:cs="宋体"/>
          <w:b w:val="0"/>
          <w:bCs w:val="0"/>
          <w:sz w:val="24"/>
          <w:szCs w:val="24"/>
          <w:lang w:eastAsia="zh-CN"/>
        </w:rPr>
        <w:t>吉安市</w:t>
      </w:r>
      <w:r>
        <w:rPr>
          <w:rFonts w:hint="eastAsia" w:ascii="宋体" w:hAnsi="宋体" w:eastAsia="宋体" w:cs="宋体"/>
          <w:b w:val="0"/>
          <w:bCs w:val="0"/>
          <w:color w:val="auto"/>
          <w:spacing w:val="0"/>
          <w:w w:val="100"/>
          <w:kern w:val="0"/>
          <w:position w:val="0"/>
          <w:sz w:val="24"/>
          <w:lang w:eastAsia="zh-CN"/>
        </w:rPr>
        <w:t>青原区东井冈</w:t>
      </w:r>
      <w:r>
        <w:rPr>
          <w:rFonts w:hint="eastAsia" w:ascii="宋体" w:hAnsi="宋体" w:eastAsia="宋体" w:cs="宋体"/>
          <w:b w:val="0"/>
          <w:bCs w:val="0"/>
          <w:color w:val="auto"/>
          <w:spacing w:val="0"/>
          <w:w w:val="100"/>
          <w:kern w:val="0"/>
          <w:position w:val="0"/>
          <w:sz w:val="24"/>
        </w:rPr>
        <w:t>水电站增效扩容改造工程</w:t>
      </w:r>
    </w:p>
    <w:p>
      <w:pPr>
        <w:pStyle w:val="4"/>
        <w:keepNext w:val="0"/>
        <w:keepLines w:val="0"/>
        <w:pageBreakBefore w:val="0"/>
        <w:widowControl w:val="0"/>
        <w:numPr>
          <w:ilvl w:val="0"/>
          <w:numId w:val="0"/>
        </w:numPr>
        <w:tabs>
          <w:tab w:val="left" w:pos="1220"/>
        </w:tabs>
        <w:kinsoku/>
        <w:wordWrap/>
        <w:overflowPunct/>
        <w:topLinePunct w:val="0"/>
        <w:autoSpaceDE w:val="0"/>
        <w:autoSpaceDN w:val="0"/>
        <w:bidi w:val="0"/>
        <w:adjustRightInd/>
        <w:snapToGrid/>
        <w:spacing w:before="0" w:after="0" w:line="360" w:lineRule="auto"/>
        <w:ind w:left="0" w:leftChars="0" w:right="0" w:rightChars="0"/>
        <w:jc w:val="left"/>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项目性质：新建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textAlignment w:val="auto"/>
        <w:rPr>
          <w:rFonts w:hint="eastAsia" w:ascii="宋体" w:hAnsi="宋体" w:eastAsia="宋体" w:cs="宋体"/>
          <w:sz w:val="24"/>
          <w:szCs w:val="24"/>
        </w:rPr>
      </w:pPr>
      <w:r>
        <w:rPr>
          <w:rFonts w:hint="eastAsia" w:ascii="宋体" w:hAnsi="宋体" w:eastAsia="宋体" w:cs="宋体"/>
          <w:sz w:val="24"/>
          <w:szCs w:val="24"/>
        </w:rPr>
        <w:t>建设单位：</w:t>
      </w:r>
      <w:r>
        <w:rPr>
          <w:rFonts w:hint="eastAsia" w:ascii="宋体" w:hAnsi="宋体" w:eastAsia="宋体" w:cs="宋体"/>
          <w:sz w:val="24"/>
          <w:szCs w:val="24"/>
          <w:lang w:eastAsia="zh-CN"/>
        </w:rPr>
        <w:t>吉安市</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w:t>
      </w:r>
    </w:p>
    <w:p>
      <w:pPr>
        <w:pageBreakBefore w:val="0"/>
        <w:tabs>
          <w:tab w:val="left" w:pos="1413"/>
          <w:tab w:val="left" w:pos="9460"/>
        </w:tabs>
        <w:kinsoku/>
        <w:wordWrap/>
        <w:overflowPunct/>
        <w:topLinePunct w:val="0"/>
        <w:autoSpaceDE/>
        <w:autoSpaceDN/>
        <w:bidi w:val="0"/>
        <w:adjustRightInd/>
        <w:snapToGrid/>
        <w:spacing w:line="360" w:lineRule="auto"/>
        <w:ind w:firstLine="440" w:firstLineChars="200"/>
        <w:jc w:val="both"/>
        <w:rPr>
          <w:rFonts w:hint="eastAsia" w:ascii="宋体" w:hAnsi="宋体" w:eastAsia="宋体" w:cs="宋体"/>
          <w:color w:val="auto"/>
          <w:spacing w:val="0"/>
          <w:w w:val="100"/>
          <w:kern w:val="0"/>
          <w:position w:val="0"/>
          <w:sz w:val="24"/>
        </w:rPr>
      </w:pPr>
      <w:r>
        <w:rPr>
          <w:rFonts w:hint="eastAsia" w:ascii="宋体" w:hAnsi="宋体" w:eastAsia="宋体" w:cs="宋体"/>
          <w:spacing w:val="-10"/>
          <w:sz w:val="24"/>
          <w:szCs w:val="24"/>
        </w:rPr>
        <w:t>建设地点：</w:t>
      </w:r>
      <w:r>
        <w:rPr>
          <w:rFonts w:hint="eastAsia" w:ascii="宋体" w:hAnsi="宋体" w:eastAsia="宋体" w:cs="宋体"/>
          <w:color w:val="auto"/>
          <w:spacing w:val="0"/>
          <w:w w:val="100"/>
          <w:kern w:val="0"/>
          <w:position w:val="0"/>
          <w:sz w:val="24"/>
          <w:szCs w:val="24"/>
          <w:lang w:eastAsia="zh-CN"/>
        </w:rPr>
        <w:t>吉安市青原区东井冈水电站</w:t>
      </w:r>
      <w:r>
        <w:rPr>
          <w:rFonts w:hint="eastAsia" w:ascii="宋体" w:hAnsi="宋体" w:eastAsia="宋体" w:cs="宋体"/>
          <w:color w:val="auto"/>
          <w:spacing w:val="0"/>
          <w:w w:val="100"/>
          <w:kern w:val="0"/>
          <w:position w:val="0"/>
          <w:sz w:val="24"/>
        </w:rPr>
        <w:t>增效扩容改造工程</w:t>
      </w:r>
      <w:r>
        <w:rPr>
          <w:rFonts w:hint="eastAsia" w:ascii="宋体" w:hAnsi="宋体" w:eastAsia="宋体" w:cs="宋体"/>
          <w:color w:val="auto"/>
          <w:spacing w:val="0"/>
          <w:w w:val="100"/>
          <w:kern w:val="0"/>
          <w:position w:val="0"/>
          <w:sz w:val="24"/>
          <w:szCs w:val="24"/>
          <w:lang w:eastAsia="zh-CN"/>
        </w:rPr>
        <w:t>项目</w:t>
      </w:r>
      <w:r>
        <w:rPr>
          <w:rFonts w:hint="eastAsia" w:ascii="宋体" w:hAnsi="宋体" w:eastAsia="宋体" w:cs="宋体"/>
          <w:color w:val="auto"/>
          <w:spacing w:val="0"/>
          <w:w w:val="100"/>
          <w:kern w:val="0"/>
          <w:position w:val="0"/>
          <w:sz w:val="24"/>
          <w:szCs w:val="24"/>
        </w:rPr>
        <w:t>（原名东井冈一级电站）</w:t>
      </w:r>
      <w:r>
        <w:rPr>
          <w:rFonts w:hint="eastAsia" w:ascii="宋体" w:hAnsi="宋体" w:eastAsia="宋体" w:cs="宋体"/>
          <w:color w:val="auto"/>
          <w:spacing w:val="0"/>
          <w:w w:val="100"/>
          <w:kern w:val="0"/>
          <w:position w:val="0"/>
          <w:sz w:val="24"/>
          <w:szCs w:val="24"/>
          <w:lang w:eastAsia="zh-CN"/>
        </w:rPr>
        <w:t>，项目</w:t>
      </w:r>
      <w:r>
        <w:rPr>
          <w:rFonts w:hint="eastAsia" w:ascii="宋体" w:hAnsi="宋体" w:eastAsia="宋体" w:cs="宋体"/>
          <w:color w:val="auto"/>
          <w:spacing w:val="0"/>
          <w:w w:val="100"/>
          <w:kern w:val="0"/>
          <w:position w:val="0"/>
          <w:sz w:val="24"/>
          <w:szCs w:val="24"/>
        </w:rPr>
        <w:t>位于东固畲族乡六渡村，于1976年开工兴建，1977年5月投产运行</w:t>
      </w:r>
      <w:r>
        <w:rPr>
          <w:rFonts w:hint="eastAsia" w:ascii="宋体" w:hAnsi="宋体" w:eastAsia="宋体" w:cs="宋体"/>
          <w:spacing w:val="-10"/>
          <w:sz w:val="24"/>
          <w:szCs w:val="24"/>
        </w:rPr>
        <w:t>。</w:t>
      </w:r>
      <w:r>
        <w:rPr>
          <w:rFonts w:hint="eastAsia" w:ascii="宋体" w:hAnsi="宋体" w:eastAsia="宋体" w:cs="宋体"/>
          <w:color w:val="auto"/>
          <w:spacing w:val="0"/>
          <w:w w:val="100"/>
          <w:kern w:val="0"/>
          <w:position w:val="0"/>
          <w:sz w:val="24"/>
          <w:lang w:eastAsia="zh-CN"/>
        </w:rPr>
        <w:t>电站</w:t>
      </w:r>
      <w:r>
        <w:rPr>
          <w:rFonts w:hint="eastAsia" w:ascii="宋体" w:hAnsi="宋体" w:eastAsia="宋体" w:cs="宋体"/>
          <w:color w:val="auto"/>
          <w:spacing w:val="0"/>
          <w:w w:val="100"/>
          <w:kern w:val="0"/>
          <w:position w:val="0"/>
          <w:sz w:val="24"/>
          <w:szCs w:val="24"/>
        </w:rPr>
        <w:t>建成投产初期，机组就运行不正常，各项技术经济指标不能达到设计水平</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sz w:val="24"/>
          <w:szCs w:val="24"/>
        </w:rPr>
        <w:t>随着时间的推移，该水电站的建构筑物、机电设备和金属结构不同程度的老化失修，严重影响机组出力和安全运行。</w:t>
      </w:r>
      <w:r>
        <w:rPr>
          <w:rFonts w:hint="eastAsia" w:ascii="宋体" w:hAnsi="宋体" w:eastAsia="宋体" w:cs="宋体"/>
          <w:color w:val="auto"/>
          <w:spacing w:val="0"/>
          <w:w w:val="100"/>
          <w:kern w:val="0"/>
          <w:position w:val="0"/>
          <w:sz w:val="24"/>
        </w:rPr>
        <w:t>为保证电站正常、安全运行，合理利用水能资源，提高电站运行效率和发电效益，</w:t>
      </w:r>
      <w:r>
        <w:rPr>
          <w:rFonts w:hint="eastAsia" w:ascii="宋体" w:hAnsi="宋体" w:eastAsia="宋体" w:cs="宋体"/>
          <w:color w:val="auto"/>
          <w:spacing w:val="0"/>
          <w:w w:val="100"/>
          <w:kern w:val="0"/>
          <w:position w:val="0"/>
          <w:sz w:val="24"/>
          <w:lang w:val="en-US" w:eastAsia="zh-CN"/>
        </w:rPr>
        <w:t>2016年电站进行了增效扩容改造。</w:t>
      </w:r>
      <w:r>
        <w:rPr>
          <w:rFonts w:hint="eastAsia" w:ascii="宋体" w:hAnsi="宋体" w:eastAsia="宋体" w:cs="宋体"/>
          <w:color w:val="auto"/>
          <w:spacing w:val="0"/>
          <w:w w:val="100"/>
          <w:kern w:val="0"/>
          <w:position w:val="0"/>
          <w:sz w:val="24"/>
        </w:rPr>
        <w:t>201</w:t>
      </w:r>
      <w:r>
        <w:rPr>
          <w:rFonts w:hint="eastAsia" w:ascii="宋体" w:hAnsi="宋体" w:eastAsia="宋体" w:cs="宋体"/>
          <w:color w:val="auto"/>
          <w:spacing w:val="0"/>
          <w:w w:val="100"/>
          <w:kern w:val="0"/>
          <w:position w:val="0"/>
          <w:sz w:val="24"/>
          <w:lang w:val="en-US" w:eastAsia="zh-CN"/>
        </w:rPr>
        <w:t>6</w:t>
      </w:r>
      <w:r>
        <w:rPr>
          <w:rFonts w:hint="eastAsia" w:ascii="宋体" w:hAnsi="宋体" w:eastAsia="宋体" w:cs="宋体"/>
          <w:color w:val="auto"/>
          <w:spacing w:val="0"/>
          <w:w w:val="100"/>
          <w:kern w:val="0"/>
          <w:position w:val="0"/>
          <w:sz w:val="24"/>
        </w:rPr>
        <w:t>年6月</w:t>
      </w:r>
      <w:r>
        <w:rPr>
          <w:rFonts w:hint="eastAsia" w:ascii="宋体" w:hAnsi="宋体" w:eastAsia="宋体" w:cs="宋体"/>
          <w:color w:val="auto"/>
          <w:spacing w:val="0"/>
          <w:w w:val="100"/>
          <w:kern w:val="0"/>
          <w:position w:val="0"/>
          <w:sz w:val="24"/>
          <w:lang w:eastAsia="zh-CN"/>
        </w:rPr>
        <w:t>吉安市水利局</w:t>
      </w:r>
      <w:r>
        <w:rPr>
          <w:rFonts w:hint="eastAsia" w:ascii="宋体" w:hAnsi="宋体" w:eastAsia="宋体" w:cs="宋体"/>
          <w:color w:val="auto"/>
          <w:spacing w:val="0"/>
          <w:w w:val="100"/>
          <w:kern w:val="0"/>
          <w:position w:val="0"/>
          <w:sz w:val="24"/>
        </w:rPr>
        <w:t>以吉水利建管字[2016]174号对</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水电站增效扩容改造工程初步设计报告进行了批复。</w:t>
      </w:r>
      <w:r>
        <w:rPr>
          <w:rFonts w:hint="eastAsia" w:ascii="宋体" w:hAnsi="宋体" w:eastAsia="宋体" w:cs="宋体"/>
          <w:color w:val="auto"/>
          <w:spacing w:val="0"/>
          <w:w w:val="100"/>
          <w:kern w:val="0"/>
          <w:position w:val="0"/>
          <w:sz w:val="24"/>
          <w:lang w:eastAsia="zh-CN"/>
        </w:rPr>
        <w:t>该</w:t>
      </w:r>
      <w:r>
        <w:rPr>
          <w:rFonts w:hint="eastAsia" w:ascii="宋体" w:hAnsi="宋体" w:eastAsia="宋体" w:cs="宋体"/>
          <w:color w:val="auto"/>
          <w:spacing w:val="0"/>
          <w:w w:val="100"/>
          <w:kern w:val="0"/>
          <w:position w:val="0"/>
          <w:sz w:val="24"/>
        </w:rPr>
        <w:t>改造工程主要为电站装机规模由原来</w:t>
      </w:r>
      <w:r>
        <w:rPr>
          <w:rFonts w:hint="eastAsia" w:ascii="宋体" w:hAnsi="宋体" w:eastAsia="宋体" w:cs="宋体"/>
          <w:color w:val="auto"/>
          <w:spacing w:val="0"/>
          <w:w w:val="100"/>
          <w:kern w:val="0"/>
          <w:position w:val="0"/>
          <w:sz w:val="24"/>
          <w:lang w:val="en-US" w:eastAsia="zh-CN"/>
        </w:rPr>
        <w:t>126</w:t>
      </w:r>
      <w:r>
        <w:rPr>
          <w:rFonts w:hint="eastAsia" w:ascii="宋体" w:hAnsi="宋体" w:eastAsia="宋体" w:cs="宋体"/>
          <w:color w:val="auto"/>
          <w:spacing w:val="0"/>
          <w:w w:val="100"/>
          <w:kern w:val="0"/>
          <w:position w:val="0"/>
          <w:sz w:val="24"/>
        </w:rPr>
        <w:t>0kW（2×</w:t>
      </w:r>
      <w:r>
        <w:rPr>
          <w:rFonts w:hint="eastAsia" w:ascii="宋体" w:hAnsi="宋体" w:eastAsia="宋体" w:cs="宋体"/>
          <w:color w:val="auto"/>
          <w:spacing w:val="0"/>
          <w:w w:val="100"/>
          <w:kern w:val="0"/>
          <w:position w:val="0"/>
          <w:sz w:val="24"/>
          <w:lang w:val="en-US" w:eastAsia="zh-CN"/>
        </w:rPr>
        <w:t>63</w:t>
      </w:r>
      <w:r>
        <w:rPr>
          <w:rFonts w:hint="eastAsia" w:ascii="宋体" w:hAnsi="宋体" w:eastAsia="宋体" w:cs="宋体"/>
          <w:color w:val="auto"/>
          <w:spacing w:val="0"/>
          <w:w w:val="100"/>
          <w:kern w:val="0"/>
          <w:position w:val="0"/>
          <w:sz w:val="24"/>
        </w:rPr>
        <w:t>0kW）</w:t>
      </w:r>
      <w:r>
        <w:rPr>
          <w:rFonts w:hint="eastAsia" w:ascii="宋体" w:hAnsi="宋体" w:eastAsia="宋体" w:cs="宋体"/>
          <w:color w:val="auto"/>
          <w:spacing w:val="0"/>
          <w:w w:val="100"/>
          <w:kern w:val="0"/>
          <w:position w:val="0"/>
          <w:sz w:val="24"/>
          <w:lang w:val="en-US" w:eastAsia="zh-CN"/>
        </w:rPr>
        <w:t>增效扩容</w:t>
      </w:r>
      <w:r>
        <w:rPr>
          <w:rFonts w:hint="eastAsia" w:ascii="宋体" w:hAnsi="宋体" w:eastAsia="宋体" w:cs="宋体"/>
          <w:color w:val="auto"/>
          <w:spacing w:val="0"/>
          <w:w w:val="100"/>
          <w:kern w:val="0"/>
          <w:position w:val="0"/>
          <w:sz w:val="24"/>
        </w:rPr>
        <w:t>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lang w:val="en-US" w:eastAsia="zh-CN"/>
        </w:rPr>
        <w:t>工程</w:t>
      </w:r>
      <w:r>
        <w:rPr>
          <w:rFonts w:hint="eastAsia" w:ascii="宋体" w:hAnsi="宋体" w:eastAsia="宋体" w:cs="宋体"/>
          <w:color w:val="auto"/>
          <w:spacing w:val="0"/>
          <w:w w:val="100"/>
          <w:kern w:val="0"/>
          <w:position w:val="0"/>
          <w:sz w:val="24"/>
        </w:rPr>
        <w:t>利用原电站的大坝及引水隧道，对部分设施进行改造</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拦河坝靠进水闸一侧新建冲沙闸一座及压力管道进行重新修建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对厂房进行重新修建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对发电机组设备及相应辅助设施的更新，总装机容量</w:t>
      </w:r>
      <w:r>
        <w:rPr>
          <w:rFonts w:hint="eastAsia" w:ascii="宋体" w:hAnsi="宋体" w:eastAsia="宋体" w:cs="宋体"/>
          <w:color w:val="auto"/>
          <w:spacing w:val="0"/>
          <w:w w:val="100"/>
          <w:kern w:val="0"/>
          <w:position w:val="0"/>
          <w:sz w:val="24"/>
          <w:lang w:eastAsia="zh-CN"/>
        </w:rPr>
        <w:t>扩大为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00kW）。本项目为不完全年调节水利水电工程，以水力发电为主，兼有防洪，水库正常蓄水位</w:t>
      </w:r>
      <w:r>
        <w:rPr>
          <w:rFonts w:hint="eastAsia" w:ascii="宋体" w:hAnsi="宋体" w:eastAsia="宋体" w:cs="宋体"/>
          <w:color w:val="auto"/>
          <w:spacing w:val="0"/>
          <w:w w:val="100"/>
          <w:kern w:val="0"/>
          <w:position w:val="0"/>
          <w:sz w:val="24"/>
          <w:lang w:val="en-US" w:eastAsia="zh-CN"/>
        </w:rPr>
        <w:t>503.7</w:t>
      </w:r>
      <w:r>
        <w:rPr>
          <w:rFonts w:hint="eastAsia" w:ascii="宋体" w:hAnsi="宋体" w:eastAsia="宋体" w:cs="宋体"/>
          <w:color w:val="auto"/>
          <w:spacing w:val="0"/>
          <w:w w:val="100"/>
          <w:kern w:val="0"/>
          <w:position w:val="0"/>
          <w:sz w:val="24"/>
        </w:rPr>
        <w:t>m，总库容为</w:t>
      </w:r>
      <w:r>
        <w:rPr>
          <w:rFonts w:hint="eastAsia" w:ascii="宋体" w:hAnsi="宋体" w:eastAsia="宋体" w:cs="宋体"/>
          <w:color w:val="auto"/>
          <w:spacing w:val="0"/>
          <w:w w:val="100"/>
          <w:kern w:val="0"/>
          <w:position w:val="0"/>
          <w:sz w:val="24"/>
          <w:lang w:val="en-US" w:eastAsia="zh-CN"/>
        </w:rPr>
        <w:t>0.1</w:t>
      </w:r>
      <w:r>
        <w:rPr>
          <w:rFonts w:hint="eastAsia" w:ascii="宋体" w:hAnsi="宋体" w:eastAsia="宋体" w:cs="宋体"/>
          <w:color w:val="auto"/>
          <w:spacing w:val="0"/>
          <w:w w:val="100"/>
          <w:kern w:val="0"/>
          <w:position w:val="0"/>
          <w:sz w:val="24"/>
        </w:rPr>
        <w:t>万m</w:t>
      </w:r>
      <w:r>
        <w:rPr>
          <w:rFonts w:hint="eastAsia" w:ascii="宋体" w:hAnsi="宋体" w:eastAsia="宋体" w:cs="宋体"/>
          <w:color w:val="auto"/>
          <w:spacing w:val="0"/>
          <w:w w:val="100"/>
          <w:kern w:val="0"/>
          <w:position w:val="0"/>
          <w:sz w:val="24"/>
          <w:vertAlign w:val="superscript"/>
        </w:rPr>
        <w:t>3</w:t>
      </w:r>
      <w:r>
        <w:rPr>
          <w:rFonts w:hint="eastAsia" w:ascii="宋体" w:hAnsi="宋体" w:eastAsia="宋体" w:cs="宋体"/>
          <w:color w:val="auto"/>
          <w:spacing w:val="0"/>
          <w:w w:val="100"/>
          <w:kern w:val="0"/>
          <w:position w:val="0"/>
          <w:sz w:val="24"/>
        </w:rPr>
        <w:t>，电站装机容量</w:t>
      </w:r>
      <w:r>
        <w:rPr>
          <w:rFonts w:hint="eastAsia" w:ascii="宋体" w:hAnsi="宋体" w:eastAsia="宋体" w:cs="宋体"/>
          <w:color w:val="auto"/>
          <w:spacing w:val="0"/>
          <w:w w:val="100"/>
          <w:kern w:val="0"/>
          <w:position w:val="0"/>
          <w:sz w:val="24"/>
          <w:lang w:val="en-US" w:eastAsia="zh-CN"/>
        </w:rPr>
        <w:t>1600</w:t>
      </w:r>
      <w:r>
        <w:rPr>
          <w:rFonts w:hint="eastAsia" w:ascii="宋体" w:hAnsi="宋体" w:eastAsia="宋体" w:cs="宋体"/>
          <w:color w:val="auto"/>
          <w:spacing w:val="0"/>
          <w:w w:val="100"/>
          <w:kern w:val="0"/>
          <w:position w:val="0"/>
          <w:sz w:val="24"/>
        </w:rPr>
        <w:t>kW，多年平均发电量</w:t>
      </w:r>
      <w:r>
        <w:rPr>
          <w:rFonts w:hint="eastAsia" w:ascii="宋体" w:hAnsi="宋体" w:eastAsia="宋体" w:cs="宋体"/>
          <w:color w:val="auto"/>
          <w:spacing w:val="0"/>
          <w:w w:val="100"/>
          <w:kern w:val="0"/>
          <w:position w:val="0"/>
          <w:sz w:val="24"/>
          <w:lang w:val="en-US" w:eastAsia="zh-CN"/>
        </w:rPr>
        <w:t>515</w:t>
      </w:r>
      <w:r>
        <w:rPr>
          <w:rFonts w:hint="eastAsia" w:ascii="宋体" w:hAnsi="宋体" w:eastAsia="宋体" w:cs="宋体"/>
          <w:color w:val="auto"/>
          <w:spacing w:val="0"/>
          <w:w w:val="100"/>
          <w:kern w:val="0"/>
          <w:position w:val="0"/>
          <w:sz w:val="24"/>
        </w:rPr>
        <w:t>万kW·h，年利用小时数</w:t>
      </w:r>
      <w:r>
        <w:rPr>
          <w:rFonts w:hint="eastAsia" w:ascii="宋体" w:hAnsi="宋体" w:eastAsia="宋体" w:cs="宋体"/>
          <w:color w:val="auto"/>
          <w:spacing w:val="0"/>
          <w:w w:val="100"/>
          <w:kern w:val="0"/>
          <w:position w:val="0"/>
          <w:sz w:val="24"/>
          <w:lang w:val="en-US" w:eastAsia="zh-CN"/>
        </w:rPr>
        <w:t>3216</w:t>
      </w:r>
      <w:r>
        <w:rPr>
          <w:rFonts w:hint="eastAsia" w:ascii="宋体" w:hAnsi="宋体" w:eastAsia="宋体" w:cs="宋体"/>
          <w:color w:val="auto"/>
          <w:spacing w:val="0"/>
          <w:w w:val="100"/>
          <w:kern w:val="0"/>
          <w:position w:val="0"/>
          <w:sz w:val="24"/>
        </w:rPr>
        <w:t>h。</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auto"/>
          <w:spacing w:val="0"/>
          <w:w w:val="100"/>
          <w:kern w:val="0"/>
          <w:position w:val="0"/>
          <w:sz w:val="24"/>
        </w:rPr>
        <w:t>本工程现有改造建设</w:t>
      </w:r>
      <w:r>
        <w:rPr>
          <w:rFonts w:hint="eastAsia" w:ascii="宋体" w:hAnsi="宋体" w:eastAsia="宋体" w:cs="宋体"/>
          <w:color w:val="auto"/>
          <w:spacing w:val="0"/>
          <w:w w:val="100"/>
          <w:kern w:val="0"/>
          <w:position w:val="0"/>
          <w:sz w:val="24"/>
          <w:lang w:eastAsia="zh-CN"/>
        </w:rPr>
        <w:t>已</w:t>
      </w:r>
      <w:r>
        <w:rPr>
          <w:rFonts w:hint="eastAsia" w:ascii="宋体" w:hAnsi="宋体" w:eastAsia="宋体" w:cs="宋体"/>
          <w:color w:val="auto"/>
          <w:spacing w:val="0"/>
          <w:w w:val="100"/>
          <w:kern w:val="0"/>
          <w:position w:val="0"/>
          <w:sz w:val="24"/>
        </w:rPr>
        <w:t>完成，且稳定运营多年，但未办理相关的环保手续，根据《中华人民共和国环境影响评价法》、《建设项目环境保护管理条例》及生态环保部的《关于建设项目“未批先建”违法行为法律适用问题的意见》相关解释，本项目虽然不用追溯“未批先建”违法行为，但是仍违反环保设施“三同时”验收制度。建设单位目前首先须完善环境影响评价手</w:t>
      </w:r>
      <w:r>
        <w:rPr>
          <w:rFonts w:hint="eastAsia" w:ascii="宋体" w:hAnsi="宋体" w:eastAsia="宋体" w:cs="宋体"/>
          <w:color w:val="000000" w:themeColor="text1"/>
          <w:spacing w:val="0"/>
          <w:w w:val="100"/>
          <w:kern w:val="0"/>
          <w:position w:val="0"/>
          <w:sz w:val="24"/>
          <w14:textFill>
            <w14:solidFill>
              <w14:schemeClr w14:val="tx1"/>
            </w14:solidFill>
          </w14:textFill>
        </w:rPr>
        <w:t>续，而后再根据环评报告和环评批复要求，组织进行项目环保设施的“三同时”验收</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故</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19</w:t>
      </w:r>
      <w:r>
        <w:rPr>
          <w:rFonts w:hint="eastAsia" w:ascii="宋体" w:hAnsi="宋体" w:eastAsia="宋体" w:cs="宋体"/>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12</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w:t>
      </w:r>
      <w:r>
        <w:rPr>
          <w:rFonts w:hint="eastAsia" w:ascii="宋体" w:hAnsi="宋体" w:eastAsia="宋体" w:cs="宋体"/>
          <w:color w:val="000000" w:themeColor="text1"/>
          <w:sz w:val="24"/>
          <w:szCs w:val="24"/>
          <w14:textFill>
            <w14:solidFill>
              <w14:schemeClr w14:val="tx1"/>
            </w14:solidFill>
          </w14:textFill>
        </w:rPr>
        <w:t>委托江西晨晓环保有限公司</w:t>
      </w:r>
      <w:r>
        <w:rPr>
          <w:rFonts w:hint="eastAsia" w:ascii="宋体" w:hAnsi="宋体" w:eastAsia="宋体" w:cs="宋体"/>
          <w:color w:val="000000" w:themeColor="text1"/>
          <w:spacing w:val="-10"/>
          <w:sz w:val="24"/>
          <w:szCs w:val="24"/>
          <w14:textFill>
            <w14:solidFill>
              <w14:schemeClr w14:val="tx1"/>
            </w14:solidFill>
          </w14:textFill>
        </w:rPr>
        <w:t>编制完成《</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pacing w:val="-10"/>
          <w:sz w:val="24"/>
          <w:szCs w:val="24"/>
          <w14:textFill>
            <w14:solidFill>
              <w14:schemeClr w14:val="tx1"/>
            </w14:solidFill>
          </w14:textFill>
        </w:rPr>
        <w:t>项目环境影响报告书》，并于</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20</w:t>
      </w:r>
      <w:r>
        <w:rPr>
          <w:rFonts w:hint="eastAsia" w:ascii="宋体" w:hAnsi="宋体" w:eastAsia="宋体" w:cs="宋体"/>
          <w:color w:val="000000" w:themeColor="text1"/>
          <w:spacing w:val="-30"/>
          <w:sz w:val="24"/>
          <w:szCs w:val="24"/>
          <w14:textFill>
            <w14:solidFill>
              <w14:schemeClr w14:val="tx1"/>
            </w14:solidFill>
          </w14:textFill>
        </w:rPr>
        <w:t>年</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07</w:t>
      </w:r>
      <w:r>
        <w:rPr>
          <w:rFonts w:hint="eastAsia" w:ascii="宋体" w:hAnsi="宋体" w:eastAsia="宋体" w:cs="宋体"/>
          <w:color w:val="000000" w:themeColor="text1"/>
          <w:spacing w:val="-30"/>
          <w:sz w:val="24"/>
          <w:szCs w:val="24"/>
          <w14:textFill>
            <w14:solidFill>
              <w14:schemeClr w14:val="tx1"/>
            </w14:solidFill>
          </w14:textFill>
        </w:rPr>
        <w:t>月</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27</w:t>
      </w:r>
      <w:r>
        <w:rPr>
          <w:rFonts w:hint="eastAsia" w:ascii="宋体" w:hAnsi="宋体" w:eastAsia="宋体" w:cs="宋体"/>
          <w:color w:val="000000" w:themeColor="text1"/>
          <w:spacing w:val="-7"/>
          <w:sz w:val="24"/>
          <w:szCs w:val="24"/>
          <w14:textFill>
            <w14:solidFill>
              <w14:schemeClr w14:val="tx1"/>
            </w14:solidFill>
          </w14:textFill>
        </w:rPr>
        <w:t>日取</w:t>
      </w:r>
      <w:r>
        <w:rPr>
          <w:rFonts w:hint="eastAsia" w:ascii="宋体" w:hAnsi="宋体" w:eastAsia="宋体" w:cs="宋体"/>
          <w:color w:val="000000" w:themeColor="text1"/>
          <w:sz w:val="24"/>
          <w:szCs w:val="24"/>
          <w14:textFill>
            <w14:solidFill>
              <w14:schemeClr w14:val="tx1"/>
            </w14:solidFill>
          </w14:textFill>
        </w:rPr>
        <w:t>得</w:t>
      </w:r>
      <w:r>
        <w:rPr>
          <w:rFonts w:hint="eastAsia" w:ascii="宋体" w:hAnsi="宋体" w:eastAsia="宋体" w:cs="宋体"/>
          <w:color w:val="000000" w:themeColor="text1"/>
          <w:sz w:val="24"/>
          <w:szCs w:val="24"/>
          <w:lang w:eastAsia="zh-CN"/>
          <w14:textFill>
            <w14:solidFill>
              <w14:schemeClr w14:val="tx1"/>
            </w14:solidFill>
          </w14:textFill>
        </w:rPr>
        <w:t>吉安市生态环境局</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吉安市生态环境局</w:t>
      </w:r>
      <w:r>
        <w:rPr>
          <w:rFonts w:hint="eastAsia" w:ascii="宋体" w:hAnsi="宋体" w:eastAsia="宋体" w:cs="宋体"/>
          <w:color w:val="000000" w:themeColor="text1"/>
          <w:sz w:val="24"/>
          <w:szCs w:val="24"/>
          <w14:textFill>
            <w14:solidFill>
              <w14:schemeClr w14:val="tx1"/>
            </w14:solidFill>
          </w14:textFill>
        </w:rPr>
        <w:t>关于</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z w:val="24"/>
          <w:szCs w:val="24"/>
          <w14:textFill>
            <w14:solidFill>
              <w14:schemeClr w14:val="tx1"/>
            </w14:solidFill>
          </w14:textFill>
        </w:rPr>
        <w:t>环境影响报告书</w:t>
      </w:r>
      <w:r>
        <w:rPr>
          <w:rFonts w:hint="eastAsia" w:ascii="宋体" w:hAnsi="宋体" w:eastAsia="宋体" w:cs="宋体"/>
          <w:color w:val="000000" w:themeColor="text1"/>
          <w:sz w:val="24"/>
          <w:szCs w:val="24"/>
          <w:lang w:eastAsia="zh-CN"/>
          <w14:textFill>
            <w14:solidFill>
              <w14:schemeClr w14:val="tx1"/>
            </w14:solidFill>
          </w14:textFill>
        </w:rPr>
        <w:t>的批复</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吉市环评</w:t>
      </w:r>
      <w:r>
        <w:rPr>
          <w:rFonts w:hint="eastAsia" w:ascii="宋体" w:hAnsi="宋体" w:eastAsia="宋体" w:cs="宋体"/>
          <w:color w:val="000000" w:themeColor="text1"/>
          <w:sz w:val="24"/>
          <w:szCs w:val="24"/>
          <w14:textFill>
            <w14:solidFill>
              <w14:schemeClr w14:val="tx1"/>
            </w14:solidFill>
          </w14:textFill>
        </w:rPr>
        <w:t>字</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20</w:t>
      </w:r>
      <w:r>
        <w:rPr>
          <w:rFonts w:hint="eastAsia" w:ascii="Times New Roman" w:hAnsi="Times New Roman" w:eastAsia="宋体" w:cs="Times New Roman"/>
          <w:color w:val="000000" w:themeColor="text1"/>
          <w:spacing w:val="-10"/>
          <w:sz w:val="24"/>
          <w:szCs w:val="24"/>
          <w14:textFill>
            <w14:solidFill>
              <w14:schemeClr w14:val="tx1"/>
            </w14:solidFill>
          </w14:textFill>
        </w:rPr>
        <w:t>]</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76</w:t>
      </w:r>
      <w:r>
        <w:rPr>
          <w:rFonts w:hint="eastAsia" w:ascii="宋体" w:hAnsi="宋体" w:eastAsia="宋体" w:cs="宋体"/>
          <w:color w:val="000000" w:themeColor="text1"/>
          <w:sz w:val="24"/>
          <w:szCs w:val="24"/>
          <w14:textFill>
            <w14:solidFill>
              <w14:schemeClr w14:val="tx1"/>
            </w14:solidFill>
          </w14:textFill>
        </w:rPr>
        <w:t>号）。</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根据现场调查及企业提供资料</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电站目前调试工况稳定、环保设施运行正常，符合验收条件。</w:t>
      </w:r>
      <w:r>
        <w:rPr>
          <w:rFonts w:hint="eastAsia" w:ascii="宋体" w:hAnsi="宋体" w:eastAsia="宋体" w:cs="宋体"/>
          <w:color w:val="000000" w:themeColor="text1"/>
          <w:spacing w:val="-11"/>
          <w:sz w:val="24"/>
          <w:szCs w:val="24"/>
          <w14:textFill>
            <w14:solidFill>
              <w14:schemeClr w14:val="tx1"/>
            </w14:solidFill>
          </w14:textFill>
        </w:rPr>
        <w:t>为此，受</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w:t>
      </w:r>
      <w:r>
        <w:rPr>
          <w:rFonts w:hint="eastAsia" w:ascii="宋体" w:hAnsi="宋体" w:eastAsia="宋体" w:cs="宋体"/>
          <w:color w:val="000000" w:themeColor="text1"/>
          <w:spacing w:val="-11"/>
          <w:sz w:val="24"/>
          <w:szCs w:val="24"/>
          <w14:textFill>
            <w14:solidFill>
              <w14:schemeClr w14:val="tx1"/>
            </w14:solidFill>
          </w14:textFill>
        </w:rPr>
        <w:t>委托，江西</w:t>
      </w:r>
      <w:r>
        <w:rPr>
          <w:rFonts w:hint="eastAsia" w:ascii="宋体" w:hAnsi="宋体" w:eastAsia="宋体" w:cs="宋体"/>
          <w:color w:val="000000" w:themeColor="text1"/>
          <w:spacing w:val="-11"/>
          <w:sz w:val="24"/>
          <w:szCs w:val="24"/>
          <w:lang w:eastAsia="zh-CN"/>
          <w14:textFill>
            <w14:solidFill>
              <w14:schemeClr w14:val="tx1"/>
            </w14:solidFill>
          </w14:textFill>
        </w:rPr>
        <w:t>中明环境检测</w:t>
      </w:r>
      <w:r>
        <w:rPr>
          <w:rFonts w:hint="eastAsia" w:ascii="宋体" w:hAnsi="宋体" w:eastAsia="宋体" w:cs="宋体"/>
          <w:color w:val="000000" w:themeColor="text1"/>
          <w:spacing w:val="-11"/>
          <w:sz w:val="24"/>
          <w:szCs w:val="24"/>
          <w14:textFill>
            <w14:solidFill>
              <w14:schemeClr w14:val="tx1"/>
            </w14:solidFill>
          </w14:textFill>
        </w:rPr>
        <w:t>有限公司承担了该公司</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z w:val="24"/>
          <w:szCs w:val="24"/>
          <w14:textFill>
            <w14:solidFill>
              <w14:schemeClr w14:val="tx1"/>
            </w14:solidFill>
          </w14:textFill>
        </w:rPr>
        <w:t>项目环境保护设施竣工验收调查工作及环</w:t>
      </w:r>
      <w:r>
        <w:rPr>
          <w:rFonts w:hint="eastAsia" w:ascii="宋体" w:hAnsi="宋体" w:eastAsia="宋体" w:cs="宋体"/>
          <w:sz w:val="24"/>
          <w:szCs w:val="24"/>
        </w:rPr>
        <w:t>境保护设施竣</w:t>
      </w:r>
      <w:r>
        <w:rPr>
          <w:rFonts w:hint="eastAsia" w:ascii="宋体" w:hAnsi="宋体" w:eastAsia="宋体" w:cs="宋体"/>
          <w:spacing w:val="-5"/>
          <w:sz w:val="24"/>
          <w:szCs w:val="24"/>
        </w:rPr>
        <w:t>工验收监测工作。企业于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8"/>
          <w:sz w:val="24"/>
          <w:szCs w:val="24"/>
        </w:rPr>
        <w:t>年</w:t>
      </w:r>
      <w:r>
        <w:rPr>
          <w:rFonts w:hint="eastAsia" w:ascii="Times New Roman" w:hAnsi="Times New Roman" w:eastAsia="宋体" w:cs="Times New Roman"/>
          <w:spacing w:val="-26"/>
          <w:sz w:val="24"/>
          <w:szCs w:val="24"/>
          <w:lang w:val="en-US" w:eastAsia="zh-CN"/>
        </w:rPr>
        <w:t>8</w:t>
      </w:r>
      <w:r>
        <w:rPr>
          <w:rFonts w:hint="eastAsia" w:ascii="宋体" w:hAnsi="宋体" w:eastAsia="宋体" w:cs="宋体"/>
          <w:spacing w:val="-1"/>
          <w:sz w:val="24"/>
          <w:szCs w:val="24"/>
        </w:rPr>
        <w:t>月组织验收工作，根据国家有关环境保护法</w:t>
      </w:r>
      <w:r>
        <w:rPr>
          <w:rFonts w:hint="eastAsia" w:ascii="宋体" w:hAnsi="宋体" w:eastAsia="宋体" w:cs="宋体"/>
          <w:spacing w:val="-7"/>
          <w:sz w:val="24"/>
          <w:szCs w:val="24"/>
        </w:rPr>
        <w:t>规规定，我单位于</w:t>
      </w:r>
      <w:r>
        <w:rPr>
          <w:rFonts w:hint="eastAsia" w:ascii="Times New Roman" w:hAnsi="Times New Roman" w:eastAsia="宋体" w:cs="Times New Roman"/>
          <w:spacing w:val="-26"/>
          <w:sz w:val="24"/>
          <w:szCs w:val="24"/>
          <w:lang w:val="en-US" w:eastAsia="zh-CN"/>
        </w:rPr>
        <w:t>2020</w:t>
      </w:r>
      <w:r>
        <w:rPr>
          <w:rFonts w:hint="eastAsia" w:ascii="宋体" w:hAnsi="宋体" w:eastAsia="宋体" w:cs="宋体"/>
          <w:spacing w:val="-26"/>
          <w:sz w:val="24"/>
          <w:szCs w:val="24"/>
        </w:rPr>
        <w:t>年</w:t>
      </w:r>
      <w:r>
        <w:rPr>
          <w:rFonts w:hint="default" w:ascii="Times New Roman" w:hAnsi="Times New Roman" w:eastAsia="宋体" w:cs="Times New Roman"/>
          <w:spacing w:val="-26"/>
          <w:sz w:val="24"/>
          <w:szCs w:val="24"/>
          <w:lang w:val="en-US" w:eastAsia="zh-CN"/>
        </w:rPr>
        <w:t>9</w:t>
      </w:r>
      <w:r>
        <w:rPr>
          <w:rFonts w:hint="eastAsia" w:ascii="宋体" w:hAnsi="宋体" w:eastAsia="宋体" w:cs="宋体"/>
          <w:spacing w:val="-1"/>
          <w:sz w:val="24"/>
          <w:szCs w:val="24"/>
        </w:rPr>
        <w:t>月派员对该项目进行现场勘察及资料收集，确定项</w:t>
      </w:r>
      <w:r>
        <w:rPr>
          <w:rFonts w:hint="eastAsia" w:ascii="宋体" w:hAnsi="宋体" w:eastAsia="宋体" w:cs="宋体"/>
          <w:spacing w:val="-5"/>
          <w:sz w:val="24"/>
          <w:szCs w:val="24"/>
        </w:rPr>
        <w:t>目验收范围为</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pacing w:val="-5"/>
          <w:sz w:val="24"/>
          <w:szCs w:val="24"/>
          <w14:textFill>
            <w14:solidFill>
              <w14:schemeClr w14:val="tx1"/>
            </w14:solidFill>
          </w14:textFill>
        </w:rPr>
        <w:t>及其配套环保设施。后根据现场调查和资料</w:t>
      </w:r>
      <w:r>
        <w:rPr>
          <w:rFonts w:hint="eastAsia" w:ascii="宋体" w:hAnsi="宋体" w:eastAsia="宋体" w:cs="宋体"/>
          <w:color w:val="000000" w:themeColor="text1"/>
          <w:spacing w:val="-3"/>
          <w:sz w:val="24"/>
          <w:szCs w:val="24"/>
          <w14:textFill>
            <w14:solidFill>
              <w14:schemeClr w14:val="tx1"/>
            </w14:solidFill>
          </w14:textFill>
        </w:rPr>
        <w:t>收集情况编制监测方案，江西</w:t>
      </w:r>
      <w:r>
        <w:rPr>
          <w:rFonts w:hint="eastAsia" w:ascii="宋体" w:hAnsi="宋体" w:eastAsia="宋体" w:cs="宋体"/>
          <w:color w:val="000000" w:themeColor="text1"/>
          <w:spacing w:val="-3"/>
          <w:sz w:val="24"/>
          <w:szCs w:val="24"/>
          <w:lang w:eastAsia="zh-CN"/>
          <w14:textFill>
            <w14:solidFill>
              <w14:schemeClr w14:val="tx1"/>
            </w14:solidFill>
          </w14:textFill>
        </w:rPr>
        <w:t>中明环境检测</w:t>
      </w:r>
      <w:r>
        <w:rPr>
          <w:rFonts w:hint="eastAsia" w:ascii="宋体" w:hAnsi="宋体" w:eastAsia="宋体" w:cs="宋体"/>
          <w:color w:val="000000" w:themeColor="text1"/>
          <w:spacing w:val="-3"/>
          <w:sz w:val="24"/>
          <w:szCs w:val="24"/>
          <w14:textFill>
            <w14:solidFill>
              <w14:schemeClr w14:val="tx1"/>
            </w14:solidFill>
          </w14:textFill>
        </w:rPr>
        <w:t>有限公司</w:t>
      </w:r>
      <w:r>
        <w:rPr>
          <w:rFonts w:hint="eastAsia" w:ascii="宋体" w:hAnsi="宋体" w:eastAsia="宋体" w:cs="宋体"/>
          <w:color w:val="000000" w:themeColor="text1"/>
          <w:sz w:val="24"/>
          <w:szCs w:val="24"/>
          <w14:textFill>
            <w14:solidFill>
              <w14:schemeClr w14:val="tx1"/>
            </w14:solidFill>
          </w14:textFill>
        </w:rPr>
        <w:t>对电站及坝址所在区域噪声、生活污水进行了现场监测和调查，我单位在</w:t>
      </w:r>
      <w:r>
        <w:rPr>
          <w:rFonts w:hint="eastAsia" w:ascii="宋体" w:hAnsi="宋体" w:eastAsia="宋体" w:cs="宋体"/>
          <w:color w:val="000000" w:themeColor="text1"/>
          <w:spacing w:val="-8"/>
          <w:sz w:val="24"/>
          <w:szCs w:val="24"/>
          <w14:textFill>
            <w14:solidFill>
              <w14:schemeClr w14:val="tx1"/>
            </w14:solidFill>
          </w14:textFill>
        </w:rPr>
        <w:t>此基础上编制了《</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color w:val="000000" w:themeColor="text1"/>
          <w:spacing w:val="-8"/>
          <w:sz w:val="24"/>
          <w:szCs w:val="24"/>
          <w14:textFill>
            <w14:solidFill>
              <w14:schemeClr w14:val="tx1"/>
            </w14:solidFill>
          </w14:textFill>
        </w:rPr>
        <w:t>竣工环境保护验收调查报告》。企业现</w:t>
      </w:r>
      <w:r>
        <w:rPr>
          <w:rFonts w:hint="eastAsia" w:ascii="宋体" w:hAnsi="宋体" w:eastAsia="宋体" w:cs="宋体"/>
          <w:color w:val="000000" w:themeColor="text1"/>
          <w:sz w:val="24"/>
          <w:szCs w:val="24"/>
          <w14:textFill>
            <w14:solidFill>
              <w14:schemeClr w14:val="tx1"/>
            </w14:solidFill>
          </w14:textFill>
        </w:rPr>
        <w:t>状情况见</w:t>
      </w:r>
      <w:r>
        <w:rPr>
          <w:rFonts w:hint="eastAsia" w:ascii="宋体" w:hAnsi="宋体" w:eastAsia="宋体" w:cs="宋体"/>
          <w:b w:val="0"/>
          <w:bCs/>
          <w:color w:val="000000" w:themeColor="text1"/>
          <w:spacing w:val="-1"/>
          <w:sz w:val="24"/>
          <w:szCs w:val="24"/>
          <w14:textFill>
            <w14:solidFill>
              <w14:schemeClr w14:val="tx1"/>
            </w14:solidFill>
          </w14:textFill>
        </w:rPr>
        <w:t xml:space="preserve">表 </w:t>
      </w:r>
      <w:r>
        <w:rPr>
          <w:rFonts w:hint="eastAsia" w:ascii="宋体" w:hAnsi="宋体" w:eastAsia="宋体" w:cs="宋体"/>
          <w:b w:val="0"/>
          <w:bCs/>
          <w:color w:val="000000" w:themeColor="text1"/>
          <w:sz w:val="24"/>
          <w:szCs w:val="24"/>
          <w14:textFill>
            <w14:solidFill>
              <w14:schemeClr w14:val="tx1"/>
            </w14:solidFill>
          </w14:textFill>
        </w:rPr>
        <w:t>1</w:t>
      </w:r>
      <w:r>
        <w:rPr>
          <w:rFonts w:hint="eastAsia" w:ascii="宋体" w:hAnsi="宋体" w:eastAsia="宋体" w:cs="宋体"/>
          <w:b w:val="0"/>
          <w:bCs/>
          <w:color w:val="000000" w:themeColor="text1"/>
          <w:spacing w:val="-11"/>
          <w:sz w:val="24"/>
          <w:szCs w:val="24"/>
          <w14:textFill>
            <w14:solidFill>
              <w14:schemeClr w14:val="tx1"/>
            </w14:solidFill>
          </w14:textFill>
        </w:rPr>
        <w:t xml:space="preserve">- </w:t>
      </w:r>
      <w:r>
        <w:rPr>
          <w:rFonts w:hint="eastAsia" w:ascii="宋体" w:hAnsi="宋体" w:eastAsia="宋体" w:cs="宋体"/>
          <w:b w:val="0"/>
          <w:bCs/>
          <w:color w:val="000000" w:themeColor="text1"/>
          <w:spacing w:val="3"/>
          <w:sz w:val="24"/>
          <w:szCs w:val="24"/>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w:t>
      </w:r>
    </w:p>
    <w:p>
      <w:pPr>
        <w:spacing w:before="0" w:line="264" w:lineRule="exact"/>
        <w:ind w:left="0" w:right="12" w:firstLine="0"/>
        <w:jc w:val="center"/>
        <w:rPr>
          <w:rFonts w:hint="eastAsia" w:ascii="宋体" w:hAnsi="宋体" w:eastAsia="宋体" w:cs="宋体"/>
          <w:b/>
          <w:sz w:val="24"/>
          <w:szCs w:val="24"/>
        </w:rPr>
      </w:pPr>
      <w:r>
        <w:rPr>
          <w:rFonts w:hint="eastAsia" w:ascii="宋体" w:hAnsi="宋体" w:eastAsia="宋体" w:cs="宋体"/>
          <w:b/>
          <w:sz w:val="24"/>
          <w:szCs w:val="24"/>
        </w:rPr>
        <w:t>表 1- 1企业现状情况一览表</w:t>
      </w:r>
    </w:p>
    <w:p>
      <w:pPr>
        <w:pStyle w:val="2"/>
        <w:spacing w:before="10"/>
        <w:rPr>
          <w:b/>
          <w:sz w:val="10"/>
        </w:rPr>
      </w:pPr>
    </w:p>
    <w:tbl>
      <w:tblPr>
        <w:tblStyle w:val="13"/>
        <w:tblW w:w="0" w:type="auto"/>
        <w:tblInd w:w="139"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953"/>
        <w:gridCol w:w="2286"/>
        <w:gridCol w:w="2165"/>
        <w:gridCol w:w="739"/>
        <w:gridCol w:w="624"/>
        <w:gridCol w:w="153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53" w:hRule="atLeast"/>
        </w:trPr>
        <w:tc>
          <w:tcPr>
            <w:tcW w:w="1953" w:type="dxa"/>
            <w:tcBorders>
              <w:righ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建设项目名称</w:t>
            </w:r>
          </w:p>
        </w:tc>
        <w:tc>
          <w:tcPr>
            <w:tcW w:w="7344" w:type="dxa"/>
            <w:gridSpan w:val="5"/>
            <w:tcBorders>
              <w:left w:val="single" w:color="000000" w:sz="6" w:space="0"/>
            </w:tcBorders>
            <w:shd w:val="clear" w:color="auto" w:fill="FFFFFF" w:themeFill="background1"/>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建设单位名称</w:t>
            </w:r>
          </w:p>
        </w:tc>
        <w:tc>
          <w:tcPr>
            <w:tcW w:w="7344" w:type="dxa"/>
            <w:gridSpan w:val="5"/>
            <w:tcBorders>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建设地点</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青原区东固畲族乡六渡村</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29"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建设项目性质</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tabs>
                <w:tab w:val="left" w:pos="892"/>
                <w:tab w:val="left" w:pos="1648"/>
                <w:tab w:val="left" w:pos="2402"/>
              </w:tabs>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pacing w:val="4"/>
                <w:sz w:val="24"/>
                <w:szCs w:val="24"/>
              </w:rPr>
              <w:sym w:font="Wingdings" w:char="00FE"/>
            </w:r>
            <w:r>
              <w:rPr>
                <w:rFonts w:hint="eastAsia" w:ascii="宋体" w:hAnsi="宋体" w:eastAsia="宋体" w:cs="宋体"/>
                <w:spacing w:val="4"/>
                <w:sz w:val="24"/>
                <w:szCs w:val="24"/>
              </w:rPr>
              <w:t>新建</w:t>
            </w:r>
            <w:r>
              <w:rPr>
                <w:rFonts w:hint="eastAsia" w:ascii="宋体" w:hAnsi="宋体" w:eastAsia="宋体" w:cs="宋体"/>
                <w:spacing w:val="4"/>
                <w:sz w:val="24"/>
                <w:szCs w:val="24"/>
                <w:lang w:val="en-US" w:eastAsia="zh-CN"/>
              </w:rPr>
              <w:t xml:space="preserve">   </w:t>
            </w:r>
            <w:r>
              <w:rPr>
                <w:rFonts w:hint="eastAsia" w:ascii="宋体" w:hAnsi="宋体" w:eastAsia="宋体" w:cs="宋体"/>
                <w:spacing w:val="4"/>
                <w:sz w:val="24"/>
                <w:szCs w:val="24"/>
                <w:lang w:val="en-US" w:eastAsia="zh-CN"/>
              </w:rPr>
              <w:sym w:font="Wingdings" w:char="00A8"/>
            </w:r>
            <w:r>
              <w:rPr>
                <w:rFonts w:hint="eastAsia" w:ascii="宋体" w:hAnsi="宋体" w:eastAsia="宋体" w:cs="宋体"/>
                <w:spacing w:val="4"/>
                <w:sz w:val="24"/>
                <w:szCs w:val="24"/>
              </w:rPr>
              <w:t>扩</w:t>
            </w:r>
            <w:r>
              <w:rPr>
                <w:rFonts w:hint="eastAsia" w:ascii="宋体" w:hAnsi="宋体" w:eastAsia="宋体" w:cs="宋体"/>
                <w:sz w:val="24"/>
                <w:szCs w:val="24"/>
              </w:rPr>
              <w:t>建</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技</w:t>
            </w:r>
            <w:r>
              <w:rPr>
                <w:rFonts w:hint="eastAsia" w:ascii="宋体" w:hAnsi="宋体" w:eastAsia="宋体" w:cs="宋体"/>
                <w:sz w:val="24"/>
                <w:szCs w:val="24"/>
              </w:rPr>
              <w:t>改</w:t>
            </w:r>
            <w:r>
              <w:rPr>
                <w:rFonts w:hint="eastAsia" w:ascii="宋体" w:hAnsi="宋体" w:eastAsia="宋体" w:cs="宋体"/>
                <w:sz w:val="24"/>
                <w:szCs w:val="24"/>
              </w:rPr>
              <w:tab/>
            </w:r>
            <w:r>
              <w:rPr>
                <w:rFonts w:hint="eastAsia" w:ascii="宋体" w:hAnsi="宋体" w:eastAsia="宋体" w:cs="宋体"/>
                <w:sz w:val="24"/>
                <w:szCs w:val="24"/>
              </w:rPr>
              <w:sym w:font="Wingdings" w:char="00A8"/>
            </w:r>
            <w:r>
              <w:rPr>
                <w:rFonts w:hint="eastAsia" w:ascii="宋体" w:hAnsi="宋体" w:eastAsia="宋体" w:cs="宋体"/>
                <w:spacing w:val="4"/>
                <w:sz w:val="24"/>
                <w:szCs w:val="24"/>
              </w:rPr>
              <w:t>迁</w:t>
            </w:r>
            <w:r>
              <w:rPr>
                <w:rFonts w:hint="eastAsia" w:ascii="宋体" w:hAnsi="宋体" w:eastAsia="宋体" w:cs="宋体"/>
                <w:sz w:val="24"/>
                <w:szCs w:val="24"/>
              </w:rPr>
              <w:t>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设计生产能力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pacing w:val="0"/>
                <w:w w:val="100"/>
                <w:kern w:val="0"/>
                <w:position w:val="0"/>
                <w:sz w:val="24"/>
                <w:lang w:val="en-US" w:eastAsia="zh-CN"/>
              </w:rPr>
              <w:t>515</w:t>
            </w:r>
            <w:r>
              <w:rPr>
                <w:rFonts w:hint="default" w:ascii="Times New Roman" w:hAnsi="Times New Roman" w:eastAsia="宋体" w:cs="Times New Roman"/>
                <w:color w:val="auto"/>
                <w:spacing w:val="0"/>
                <w:w w:val="100"/>
                <w:kern w:val="0"/>
                <w:position w:val="0"/>
                <w:sz w:val="24"/>
              </w:rPr>
              <w:t>万kW·h</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实际生产能力</w:t>
            </w:r>
          </w:p>
        </w:tc>
        <w:tc>
          <w:tcPr>
            <w:tcW w:w="7344" w:type="dxa"/>
            <w:gridSpan w:val="5"/>
            <w:tcBorders>
              <w:top w:val="single" w:color="000000" w:sz="6" w:space="0"/>
              <w:left w:val="single" w:color="000000" w:sz="6" w:space="0"/>
              <w:bottom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pacing w:val="0"/>
                <w:w w:val="100"/>
                <w:kern w:val="0"/>
                <w:position w:val="0"/>
                <w:sz w:val="24"/>
                <w:lang w:val="en-US" w:eastAsia="zh-CN"/>
              </w:rPr>
              <w:t>5</w:t>
            </w:r>
            <w:r>
              <w:rPr>
                <w:rFonts w:hint="eastAsia" w:ascii="Times New Roman" w:hAnsi="Times New Roman" w:eastAsia="宋体" w:cs="Times New Roman"/>
                <w:color w:val="auto"/>
                <w:spacing w:val="0"/>
                <w:w w:val="100"/>
                <w:kern w:val="0"/>
                <w:position w:val="0"/>
                <w:sz w:val="24"/>
                <w:lang w:val="en-US" w:eastAsia="zh-CN"/>
              </w:rPr>
              <w:t>00</w:t>
            </w:r>
            <w:r>
              <w:rPr>
                <w:rFonts w:hint="default" w:ascii="Times New Roman" w:hAnsi="Times New Roman" w:eastAsia="宋体" w:cs="Times New Roman"/>
                <w:color w:val="auto"/>
                <w:spacing w:val="0"/>
                <w:w w:val="100"/>
                <w:kern w:val="0"/>
                <w:position w:val="0"/>
                <w:sz w:val="24"/>
              </w:rPr>
              <w:t>万kW·h</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1"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建设项目环评时间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20</w:t>
            </w:r>
            <w:r>
              <w:rPr>
                <w:rFonts w:hint="eastAsia" w:ascii="宋体" w:hAnsi="宋体" w:eastAsia="宋体" w:cs="宋体"/>
                <w:sz w:val="24"/>
                <w:szCs w:val="24"/>
              </w:rPr>
              <w:t>年</w:t>
            </w:r>
            <w:r>
              <w:rPr>
                <w:rFonts w:hint="eastAsia" w:ascii="Times New Roman" w:hAnsi="Times New Roman" w:eastAsia="宋体" w:cs="Times New Roman"/>
                <w:sz w:val="24"/>
                <w:szCs w:val="24"/>
                <w:lang w:val="en-US" w:eastAsia="zh-CN"/>
              </w:rPr>
              <w:t>4</w:t>
            </w:r>
            <w:r>
              <w:rPr>
                <w:rFonts w:hint="eastAsia" w:ascii="宋体" w:hAnsi="宋体" w:eastAsia="宋体" w:cs="宋体"/>
                <w:sz w:val="24"/>
                <w:szCs w:val="24"/>
              </w:rPr>
              <w:t>月</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环评批复文号</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76</w:t>
            </w:r>
            <w:r>
              <w:rPr>
                <w:rFonts w:hint="eastAsia" w:ascii="宋体" w:hAnsi="宋体" w:eastAsia="宋体" w:cs="宋体"/>
                <w:sz w:val="24"/>
                <w:szCs w:val="24"/>
              </w:rPr>
              <w:t>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环评报告书审批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部门</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吉安市生态环境</w:t>
            </w:r>
            <w:r>
              <w:rPr>
                <w:rFonts w:hint="eastAsia" w:ascii="宋体" w:hAnsi="宋体" w:eastAsia="宋体" w:cs="宋体"/>
                <w:sz w:val="24"/>
                <w:szCs w:val="24"/>
              </w:rPr>
              <w:t>局</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环评报告书编制</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sz w:val="24"/>
                <w:szCs w:val="24"/>
              </w:rPr>
            </w:pPr>
            <w:r>
              <w:rPr>
                <w:rFonts w:hint="eastAsia" w:ascii="宋体" w:hAnsi="宋体" w:eastAsia="宋体" w:cs="宋体"/>
                <w:sz w:val="24"/>
                <w:szCs w:val="24"/>
              </w:rPr>
              <w:t>江西晨晓环保有限公司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7"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验收现场监测时间</w:t>
            </w:r>
          </w:p>
        </w:tc>
        <w:tc>
          <w:tcPr>
            <w:tcW w:w="2286"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14:textFill>
                  <w14:solidFill>
                    <w14:schemeClr w14:val="tx1"/>
                  </w14:solidFill>
                </w14:textFill>
              </w:rPr>
              <w:t>2020</w:t>
            </w:r>
            <w:r>
              <w:rPr>
                <w:rFonts w:hint="eastAsia" w:ascii="宋体" w:hAnsi="宋体" w:eastAsia="宋体" w:cs="宋体"/>
                <w:color w:val="000000" w:themeColor="text1"/>
                <w:spacing w:val="-23"/>
                <w:sz w:val="24"/>
                <w:szCs w:val="24"/>
                <w:highlight w:val="none"/>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w:t>
            </w:r>
            <w:r>
              <w:rPr>
                <w:rFonts w:hint="eastAsia" w:ascii="宋体" w:hAnsi="宋体" w:eastAsia="宋体" w:cs="宋体"/>
                <w:color w:val="000000" w:themeColor="text1"/>
                <w:spacing w:val="-24"/>
                <w:sz w:val="24"/>
                <w:szCs w:val="24"/>
                <w:highlight w:val="none"/>
                <w14:textFill>
                  <w14:solidFill>
                    <w14:schemeClr w14:val="tx1"/>
                  </w14:solidFill>
                </w14:textFill>
              </w:rPr>
              <w:t>月</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eastAsia" w:ascii="宋体" w:hAnsi="宋体" w:eastAsia="宋体" w:cs="宋体"/>
                <w:color w:val="000000" w:themeColor="text1"/>
                <w:spacing w:val="4"/>
                <w:sz w:val="24"/>
                <w:szCs w:val="24"/>
                <w:highlight w:val="none"/>
                <w14:textFill>
                  <w14:solidFill>
                    <w14:schemeClr w14:val="tx1"/>
                  </w14:solidFill>
                </w14:textFill>
              </w:rPr>
              <w:t>日</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4"/>
                <w:highlight w:val="none"/>
                <w14:textFill>
                  <w14:solidFill>
                    <w14:schemeClr w14:val="tx1"/>
                  </w14:solidFill>
                </w14:textFill>
              </w:rPr>
              <w:t>日</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验收监测单位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江西</w:t>
            </w:r>
            <w:r>
              <w:rPr>
                <w:rFonts w:hint="eastAsia" w:ascii="宋体" w:hAnsi="宋体" w:eastAsia="宋体" w:cs="宋体"/>
                <w:color w:val="000000" w:themeColor="text1"/>
                <w:sz w:val="24"/>
                <w:szCs w:val="24"/>
                <w:highlight w:val="none"/>
                <w:lang w:eastAsia="zh-CN"/>
                <w14:textFill>
                  <w14:solidFill>
                    <w14:schemeClr w14:val="tx1"/>
                  </w14:solidFill>
                </w14:textFill>
              </w:rPr>
              <w:t>中明环境检测</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有限公司</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电站整体</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完工时间</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14:textFill>
                  <w14:solidFill>
                    <w14:schemeClr w14:val="tx1"/>
                  </w14:solidFill>
                </w14:textFill>
              </w:rPr>
              <w:t>20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14:textFill>
                  <w14:solidFill>
                    <w14:schemeClr w14:val="tx1"/>
                  </w14:solidFill>
                </w14:textFill>
              </w:rPr>
              <w:t>6</w:t>
            </w:r>
            <w:r>
              <w:rPr>
                <w:rFonts w:hint="eastAsia" w:ascii="宋体" w:hAnsi="宋体" w:eastAsia="宋体" w:cs="宋体"/>
                <w:color w:val="000000" w:themeColor="text1"/>
                <w:sz w:val="24"/>
                <w:szCs w:val="24"/>
                <w:highlight w:val="none"/>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6</w:t>
            </w:r>
            <w:r>
              <w:rPr>
                <w:rFonts w:hint="eastAsia" w:ascii="宋体" w:hAnsi="宋体" w:eastAsia="宋体" w:cs="宋体"/>
                <w:color w:val="000000" w:themeColor="text1"/>
                <w:sz w:val="24"/>
                <w:szCs w:val="24"/>
                <w:highlight w:val="none"/>
                <w14:textFill>
                  <w14:solidFill>
                    <w14:schemeClr w14:val="tx1"/>
                  </w14:solidFill>
                </w14:textFill>
              </w:rPr>
              <w:t>月</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并网试运行时间</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14:textFill>
                  <w14:solidFill>
                    <w14:schemeClr w14:val="tx1"/>
                  </w14:solidFill>
                </w14:textFill>
              </w:rPr>
              <w:t>20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highlight w:val="none"/>
                <w14:textFill>
                  <w14:solidFill>
                    <w14:schemeClr w14:val="tx1"/>
                  </w14:solidFill>
                </w14:textFill>
              </w:rPr>
              <w:t>6</w:t>
            </w:r>
            <w:r>
              <w:rPr>
                <w:rFonts w:hint="eastAsia" w:ascii="宋体" w:hAnsi="宋体" w:eastAsia="宋体" w:cs="宋体"/>
                <w:color w:val="000000" w:themeColor="text1"/>
                <w:sz w:val="24"/>
                <w:szCs w:val="24"/>
                <w:highlight w:val="none"/>
                <w14:textFill>
                  <w14:solidFill>
                    <w14:schemeClr w14:val="tx1"/>
                  </w14:solidFill>
                </w14:textFill>
              </w:rPr>
              <w:t>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ascii="宋体" w:hAnsi="宋体" w:eastAsia="宋体" w:cs="宋体"/>
                <w:color w:val="000000" w:themeColor="text1"/>
                <w:sz w:val="24"/>
                <w:szCs w:val="24"/>
                <w:highlight w:val="none"/>
                <w14:textFill>
                  <w14:solidFill>
                    <w14:schemeClr w14:val="tx1"/>
                  </w14:solidFill>
                </w14:textFill>
              </w:rPr>
              <w:t>月</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953" w:type="dxa"/>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机组供应商</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hanging="857"/>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w:t>
            </w:r>
          </w:p>
        </w:tc>
        <w:tc>
          <w:tcPr>
            <w:tcW w:w="216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安全监督单位</w:t>
            </w:r>
          </w:p>
        </w:tc>
        <w:tc>
          <w:tcPr>
            <w:tcW w:w="2893" w:type="dxa"/>
            <w:gridSpan w:val="3"/>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eastAsia="zh-CN"/>
                <w14:textFill>
                  <w14:solidFill>
                    <w14:schemeClr w14:val="tx1"/>
                  </w14:solidFill>
                </w14:textFill>
              </w:rPr>
              <w:t>吉安市</w:t>
            </w:r>
            <w:r>
              <w:rPr>
                <w:rFonts w:hint="eastAsia" w:ascii="宋体" w:hAnsi="宋体" w:eastAsia="宋体" w:cs="宋体"/>
                <w:color w:val="000000" w:themeColor="text1"/>
                <w:sz w:val="24"/>
                <w:szCs w:val="24"/>
                <w:highlight w:val="none"/>
                <w14:textFill>
                  <w14:solidFill>
                    <w14:schemeClr w14:val="tx1"/>
                  </w14:solidFill>
                </w14:textFill>
              </w:rPr>
              <w:t>安监局</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4" w:hRule="atLeast"/>
        </w:trPr>
        <w:tc>
          <w:tcPr>
            <w:tcW w:w="1953" w:type="dxa"/>
            <w:tcBorders>
              <w:top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（万元）</w:t>
            </w:r>
          </w:p>
        </w:tc>
        <w:tc>
          <w:tcPr>
            <w:tcW w:w="22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328.6</w:t>
            </w:r>
          </w:p>
        </w:tc>
        <w:tc>
          <w:tcPr>
            <w:tcW w:w="2165" w:type="dxa"/>
            <w:tcBorders>
              <w:top w:val="single" w:color="000000" w:sz="6" w:space="0"/>
              <w:left w:val="single" w:color="000000" w:sz="6" w:space="0"/>
              <w:bottom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pacing w:val="-10"/>
                <w:sz w:val="24"/>
                <w:szCs w:val="24"/>
                <w:highlight w:val="none"/>
                <w14:textFill>
                  <w14:solidFill>
                    <w14:schemeClr w14:val="tx1"/>
                  </w14:solidFill>
                </w14:textFill>
              </w:rPr>
            </w:pPr>
            <w:r>
              <w:rPr>
                <w:rFonts w:hint="eastAsia" w:ascii="宋体" w:hAnsi="宋体" w:eastAsia="宋体" w:cs="宋体"/>
                <w:color w:val="000000" w:themeColor="text1"/>
                <w:spacing w:val="-10"/>
                <w:sz w:val="24"/>
                <w:szCs w:val="24"/>
                <w:highlight w:val="none"/>
                <w14:textFill>
                  <w14:solidFill>
                    <w14:schemeClr w14:val="tx1"/>
                  </w14:solidFill>
                </w14:textFill>
              </w:rPr>
              <w:t>环保投资总概算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pacing w:val="4"/>
                <w:sz w:val="24"/>
                <w:szCs w:val="24"/>
                <w:highlight w:val="none"/>
                <w14:textFill>
                  <w14:solidFill>
                    <w14:schemeClr w14:val="tx1"/>
                  </w14:solidFill>
                </w14:textFill>
              </w:rPr>
              <w:t>（</w:t>
            </w:r>
            <w:r>
              <w:rPr>
                <w:rFonts w:hint="eastAsia" w:ascii="宋体" w:hAnsi="宋体" w:eastAsia="宋体" w:cs="宋体"/>
                <w:color w:val="000000" w:themeColor="text1"/>
                <w:spacing w:val="2"/>
                <w:sz w:val="24"/>
                <w:szCs w:val="24"/>
                <w:highlight w:val="none"/>
                <w14:textFill>
                  <w14:solidFill>
                    <w14:schemeClr w14:val="tx1"/>
                  </w14:solidFill>
                </w14:textFill>
              </w:rPr>
              <w:t>万元</w:t>
            </w:r>
            <w:r>
              <w:rPr>
                <w:rFonts w:hint="eastAsia" w:ascii="宋体" w:hAnsi="宋体" w:eastAsia="宋体" w:cs="宋体"/>
                <w:color w:val="000000" w:themeColor="text1"/>
                <w:spacing w:val="2"/>
                <w:sz w:val="24"/>
                <w:szCs w:val="24"/>
                <w:highlight w:val="none"/>
                <w:lang w:eastAsia="zh-CN"/>
                <w14:textFill>
                  <w14:solidFill>
                    <w14:schemeClr w14:val="tx1"/>
                  </w14:solidFill>
                </w14:textFill>
              </w:rPr>
              <w:t>）</w:t>
            </w:r>
          </w:p>
        </w:tc>
        <w:tc>
          <w:tcPr>
            <w:tcW w:w="73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40</w:t>
            </w:r>
          </w:p>
        </w:tc>
        <w:tc>
          <w:tcPr>
            <w:tcW w:w="624"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比例</w:t>
            </w:r>
          </w:p>
        </w:tc>
        <w:tc>
          <w:tcPr>
            <w:tcW w:w="153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15.2%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953" w:type="dxa"/>
            <w:tcBorders>
              <w:top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实际总投资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（万元）</w:t>
            </w:r>
          </w:p>
        </w:tc>
        <w:tc>
          <w:tcPr>
            <w:tcW w:w="2286"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328.6</w:t>
            </w:r>
          </w:p>
        </w:tc>
        <w:tc>
          <w:tcPr>
            <w:tcW w:w="2165" w:type="dxa"/>
            <w:tcBorders>
              <w:top w:val="single" w:color="000000" w:sz="6" w:space="0"/>
              <w:left w:val="single" w:color="000000" w:sz="6" w:space="0"/>
              <w:right w:val="single" w:color="000000" w:sz="6" w:space="0"/>
            </w:tcBorders>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实际环保投资</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（万元）</w:t>
            </w:r>
          </w:p>
        </w:tc>
        <w:tc>
          <w:tcPr>
            <w:tcW w:w="73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default"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40</w:t>
            </w:r>
          </w:p>
        </w:tc>
        <w:tc>
          <w:tcPr>
            <w:tcW w:w="624"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比例</w:t>
            </w:r>
          </w:p>
        </w:tc>
        <w:tc>
          <w:tcPr>
            <w:tcW w:w="153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jc w:val="center"/>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15.</w:t>
            </w:r>
            <w:r>
              <w:rPr>
                <w:rFonts w:hint="eastAsia" w:ascii="Times New Roman" w:hAnsi="Times New Roman" w:eastAsia="宋体" w:cs="Times New Roman"/>
                <w:color w:val="000000" w:themeColor="text1"/>
                <w:sz w:val="24"/>
                <w:szCs w:val="24"/>
                <w:highlight w:val="none"/>
                <w14:textFill>
                  <w14:solidFill>
                    <w14:schemeClr w14:val="tx1"/>
                  </w14:solidFill>
                </w14:textFill>
              </w:rPr>
              <w:t>2%</w:t>
            </w:r>
          </w:p>
        </w:tc>
      </w:tr>
    </w:tbl>
    <w:p>
      <w:pPr>
        <w:spacing w:after="0"/>
        <w:rPr>
          <w:rFonts w:ascii="Times New Roman"/>
          <w:color w:val="000000" w:themeColor="text1"/>
          <w:sz w:val="21"/>
          <w:highlight w:val="none"/>
          <w14:textFill>
            <w14:solidFill>
              <w14:schemeClr w14:val="tx1"/>
            </w14:solidFill>
          </w14:textFill>
        </w:rPr>
        <w:sectPr>
          <w:pgSz w:w="11910" w:h="16840"/>
          <w:pgMar w:top="1380" w:right="1160" w:bottom="1180" w:left="1180" w:header="0" w:footer="991" w:gutter="0"/>
        </w:sectPr>
      </w:pPr>
    </w:p>
    <w:p>
      <w:pPr>
        <w:pStyle w:val="4"/>
        <w:numPr>
          <w:ilvl w:val="1"/>
          <w:numId w:val="2"/>
        </w:numPr>
        <w:tabs>
          <w:tab w:val="left" w:pos="1220"/>
        </w:tabs>
        <w:spacing w:before="84" w:after="0" w:line="240" w:lineRule="auto"/>
        <w:ind w:left="1220" w:right="0" w:hanging="603"/>
        <w:jc w:val="left"/>
      </w:pPr>
      <w:bookmarkStart w:id="6" w:name="1.2编制依据"/>
      <w:bookmarkEnd w:id="6"/>
      <w:bookmarkStart w:id="7" w:name="_bookmark2"/>
      <w:bookmarkEnd w:id="7"/>
      <w:bookmarkStart w:id="8" w:name="_bookmark2"/>
      <w:bookmarkEnd w:id="8"/>
      <w:r>
        <w:t>编制依据</w:t>
      </w:r>
    </w:p>
    <w:p>
      <w:pPr>
        <w:pStyle w:val="18"/>
        <w:numPr>
          <w:ilvl w:val="2"/>
          <w:numId w:val="2"/>
        </w:numPr>
        <w:tabs>
          <w:tab w:val="left" w:pos="1316"/>
        </w:tabs>
        <w:spacing w:before="245" w:after="0" w:line="240" w:lineRule="auto"/>
        <w:ind w:left="1316" w:right="0" w:hanging="699"/>
        <w:jc w:val="left"/>
        <w:rPr>
          <w:b/>
          <w:sz w:val="28"/>
        </w:rPr>
      </w:pPr>
      <w:bookmarkStart w:id="9" w:name="1.2.1建设项目环境保护相关法律、法规和规章制度"/>
      <w:bookmarkEnd w:id="9"/>
      <w:bookmarkStart w:id="10" w:name="1.2.1建设项目环境保护相关法律、法规和规章制度"/>
      <w:bookmarkEnd w:id="10"/>
      <w:r>
        <w:rPr>
          <w:b/>
          <w:sz w:val="28"/>
        </w:rPr>
        <w:t>建设项目环境保护相关法律、法规和规章制度</w:t>
      </w:r>
    </w:p>
    <w:p>
      <w:pPr>
        <w:pStyle w:val="2"/>
        <w:spacing w:before="10"/>
        <w:rPr>
          <w:rFonts w:hint="eastAsia" w:ascii="宋体" w:hAnsi="宋体" w:eastAsia="宋体" w:cs="宋体"/>
          <w:b/>
          <w:sz w:val="24"/>
          <w:szCs w:val="24"/>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1</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《中华人民共和国环境噪声污染防治法</w:t>
      </w:r>
      <w:r>
        <w:rPr>
          <w:rFonts w:hint="eastAsia" w:ascii="宋体" w:hAnsi="宋体" w:eastAsia="宋体" w:cs="宋体"/>
          <w:sz w:val="24"/>
          <w:szCs w:val="24"/>
        </w:rPr>
        <w:t>（2018年修订）</w:t>
      </w:r>
      <w:r>
        <w:rPr>
          <w:rFonts w:hint="eastAsia" w:ascii="宋体" w:hAnsi="宋体" w:eastAsia="宋体" w:cs="宋体"/>
          <w:spacing w:val="-2"/>
          <w:sz w:val="24"/>
          <w:szCs w:val="24"/>
        </w:rPr>
        <w:t>》主席令</w:t>
      </w:r>
      <w:r>
        <w:rPr>
          <w:rFonts w:hint="eastAsia" w:ascii="宋体" w:hAnsi="宋体" w:eastAsia="宋体" w:cs="宋体"/>
          <w:spacing w:val="-3"/>
          <w:sz w:val="24"/>
          <w:szCs w:val="24"/>
        </w:rPr>
        <w:t>（</w:t>
      </w:r>
      <w:r>
        <w:rPr>
          <w:rFonts w:hint="eastAsia" w:ascii="宋体" w:hAnsi="宋体" w:eastAsia="宋体" w:cs="宋体"/>
          <w:spacing w:val="-12"/>
          <w:sz w:val="24"/>
          <w:szCs w:val="24"/>
        </w:rPr>
        <w:t>第</w:t>
      </w:r>
      <w:r>
        <w:rPr>
          <w:rFonts w:hint="eastAsia" w:ascii="宋体" w:hAnsi="宋体" w:eastAsia="宋体" w:cs="宋体"/>
          <w:sz w:val="24"/>
          <w:szCs w:val="24"/>
        </w:rPr>
        <w:t>二十四号），中华人民共和国，2018-12-29 发布，2018-12-29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《中华人民共和国固体废物污染环境防治法（2016 年修订）》主席令（第五十八号），中华人民共和国， 2016-11-07 发布，2016-11-07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72" w:firstLineChars="200"/>
        <w:jc w:val="left"/>
        <w:textAlignment w:val="auto"/>
        <w:rPr>
          <w:rFonts w:hint="eastAsia" w:ascii="宋体" w:hAnsi="宋体" w:eastAsia="宋体" w:cs="宋体"/>
          <w:sz w:val="24"/>
          <w:szCs w:val="24"/>
        </w:rPr>
      </w:pPr>
      <w:r>
        <w:rPr>
          <w:rFonts w:hint="eastAsia" w:ascii="宋体" w:hAnsi="宋体" w:eastAsia="宋体" w:cs="宋体"/>
          <w:spacing w:val="-2"/>
          <w:sz w:val="24"/>
          <w:szCs w:val="24"/>
          <w:lang w:eastAsia="zh-CN"/>
        </w:rPr>
        <w:t>（</w:t>
      </w:r>
      <w:r>
        <w:rPr>
          <w:rFonts w:hint="eastAsia" w:ascii="宋体" w:hAnsi="宋体" w:eastAsia="宋体" w:cs="宋体"/>
          <w:spacing w:val="-2"/>
          <w:sz w:val="24"/>
          <w:szCs w:val="24"/>
          <w:lang w:val="en-US" w:eastAsia="zh-CN"/>
        </w:rPr>
        <w:t>3</w:t>
      </w:r>
      <w:r>
        <w:rPr>
          <w:rFonts w:hint="eastAsia" w:ascii="宋体" w:hAnsi="宋体" w:eastAsia="宋体" w:cs="宋体"/>
          <w:spacing w:val="-2"/>
          <w:sz w:val="24"/>
          <w:szCs w:val="24"/>
          <w:lang w:eastAsia="zh-CN"/>
        </w:rPr>
        <w:t>）</w:t>
      </w:r>
      <w:r>
        <w:rPr>
          <w:rFonts w:hint="eastAsia" w:ascii="宋体" w:hAnsi="宋体" w:eastAsia="宋体" w:cs="宋体"/>
          <w:spacing w:val="-2"/>
          <w:sz w:val="24"/>
          <w:szCs w:val="24"/>
        </w:rPr>
        <w:t>《中华人民共和国大气污染防治法</w:t>
      </w:r>
      <w:r>
        <w:rPr>
          <w:rFonts w:hint="eastAsia" w:ascii="宋体" w:hAnsi="宋体" w:eastAsia="宋体" w:cs="宋体"/>
          <w:sz w:val="24"/>
          <w:szCs w:val="24"/>
        </w:rPr>
        <w:t>（2018 年修正）》主席令（</w:t>
      </w:r>
      <w:r>
        <w:rPr>
          <w:rFonts w:hint="eastAsia" w:ascii="宋体" w:hAnsi="宋体" w:eastAsia="宋体" w:cs="宋体"/>
          <w:spacing w:val="-5"/>
          <w:sz w:val="24"/>
          <w:szCs w:val="24"/>
        </w:rPr>
        <w:t>第十六</w:t>
      </w:r>
      <w:r>
        <w:rPr>
          <w:rFonts w:hint="eastAsia" w:ascii="宋体" w:hAnsi="宋体" w:eastAsia="宋体" w:cs="宋体"/>
          <w:sz w:val="24"/>
          <w:szCs w:val="24"/>
        </w:rPr>
        <w:t>号），</w:t>
      </w:r>
      <w:r>
        <w:rPr>
          <w:rFonts w:hint="eastAsia" w:ascii="宋体" w:hAnsi="宋体" w:eastAsia="宋体" w:cs="宋体"/>
          <w:spacing w:val="-1"/>
          <w:sz w:val="24"/>
          <w:szCs w:val="24"/>
        </w:rPr>
        <w:t xml:space="preserve">中华人民共和国， </w:t>
      </w:r>
      <w:r>
        <w:rPr>
          <w:rFonts w:hint="eastAsia" w:ascii="宋体" w:hAnsi="宋体" w:eastAsia="宋体" w:cs="宋体"/>
          <w:sz w:val="24"/>
          <w:szCs w:val="24"/>
        </w:rPr>
        <w:t>2018-10-26 发布，2018-10-26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24" w:firstLineChars="200"/>
        <w:jc w:val="left"/>
        <w:textAlignment w:val="auto"/>
        <w:rPr>
          <w:rFonts w:hint="eastAsia" w:ascii="宋体" w:hAnsi="宋体" w:eastAsia="宋体" w:cs="宋体"/>
          <w:sz w:val="24"/>
          <w:szCs w:val="24"/>
        </w:rPr>
      </w:pP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lang w:val="en-US" w:eastAsia="zh-CN"/>
        </w:rPr>
        <w:t>4</w:t>
      </w:r>
      <w:r>
        <w:rPr>
          <w:rFonts w:hint="eastAsia" w:ascii="宋体" w:hAnsi="宋体" w:eastAsia="宋体" w:cs="宋体"/>
          <w:spacing w:val="-14"/>
          <w:sz w:val="24"/>
          <w:szCs w:val="24"/>
          <w:lang w:eastAsia="zh-CN"/>
        </w:rPr>
        <w:t>）</w:t>
      </w:r>
      <w:r>
        <w:rPr>
          <w:rFonts w:hint="eastAsia" w:ascii="宋体" w:hAnsi="宋体" w:eastAsia="宋体" w:cs="宋体"/>
          <w:spacing w:val="-14"/>
          <w:sz w:val="24"/>
          <w:szCs w:val="24"/>
        </w:rPr>
        <w:t>中华人民共和国，主席令</w:t>
      </w:r>
      <w:r>
        <w:rPr>
          <w:rFonts w:hint="eastAsia" w:ascii="宋体" w:hAnsi="宋体" w:eastAsia="宋体" w:cs="宋体"/>
          <w:spacing w:val="-5"/>
          <w:sz w:val="24"/>
          <w:szCs w:val="24"/>
        </w:rPr>
        <w:t>（</w:t>
      </w:r>
      <w:r>
        <w:rPr>
          <w:rFonts w:hint="eastAsia" w:ascii="宋体" w:hAnsi="宋体" w:eastAsia="宋体" w:cs="宋体"/>
          <w:sz w:val="24"/>
          <w:szCs w:val="24"/>
        </w:rPr>
        <w:t>第九号</w:t>
      </w:r>
      <w:r>
        <w:rPr>
          <w:rFonts w:hint="eastAsia" w:ascii="宋体" w:hAnsi="宋体" w:eastAsia="宋体" w:cs="宋体"/>
          <w:spacing w:val="-140"/>
          <w:sz w:val="24"/>
          <w:szCs w:val="24"/>
        </w:rPr>
        <w:t>）</w:t>
      </w:r>
      <w:r>
        <w:rPr>
          <w:rFonts w:hint="eastAsia" w:ascii="宋体" w:hAnsi="宋体" w:eastAsia="宋体" w:cs="宋体"/>
          <w:spacing w:val="-8"/>
          <w:sz w:val="24"/>
          <w:szCs w:val="24"/>
        </w:rPr>
        <w:t>《中华人民共和国环境保护法</w:t>
      </w:r>
      <w:r>
        <w:rPr>
          <w:rFonts w:hint="eastAsia" w:ascii="宋体" w:hAnsi="宋体" w:eastAsia="宋体" w:cs="宋体"/>
          <w:spacing w:val="-4"/>
          <w:sz w:val="24"/>
          <w:szCs w:val="24"/>
        </w:rPr>
        <w:t>（</w:t>
      </w:r>
      <w:r>
        <w:rPr>
          <w:rFonts w:hint="eastAsia" w:ascii="宋体" w:hAnsi="宋体" w:eastAsia="宋体" w:cs="宋体"/>
          <w:sz w:val="24"/>
          <w:szCs w:val="24"/>
        </w:rPr>
        <w:t>2014年修订）》，2014-04-24 发布，2015-01-01 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《中华人民共和国土壤污染防治法》主席令（第八号），中华人民共和国，2018-8-31 发布，2019-1-1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6</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《中华人民共和国水污染防治法</w:t>
      </w:r>
      <w:r>
        <w:rPr>
          <w:rFonts w:hint="eastAsia" w:ascii="宋体" w:hAnsi="宋体" w:eastAsia="宋体" w:cs="宋体"/>
          <w:sz w:val="24"/>
          <w:szCs w:val="24"/>
        </w:rPr>
        <w:t>（2017 年修订</w:t>
      </w:r>
      <w:r>
        <w:rPr>
          <w:rFonts w:hint="eastAsia" w:ascii="宋体" w:hAnsi="宋体" w:eastAsia="宋体" w:cs="宋体"/>
          <w:spacing w:val="-39"/>
          <w:sz w:val="24"/>
          <w:szCs w:val="24"/>
        </w:rPr>
        <w:t>）</w:t>
      </w:r>
      <w:r>
        <w:rPr>
          <w:rFonts w:hint="eastAsia" w:ascii="宋体" w:hAnsi="宋体" w:eastAsia="宋体" w:cs="宋体"/>
          <w:spacing w:val="-21"/>
          <w:sz w:val="24"/>
          <w:szCs w:val="24"/>
        </w:rPr>
        <w:t>》主席令</w:t>
      </w:r>
      <w:r>
        <w:rPr>
          <w:rFonts w:hint="eastAsia" w:ascii="宋体" w:hAnsi="宋体" w:eastAsia="宋体" w:cs="宋体"/>
          <w:spacing w:val="-3"/>
          <w:sz w:val="24"/>
          <w:szCs w:val="24"/>
        </w:rPr>
        <w:t>（</w:t>
      </w:r>
      <w:r>
        <w:rPr>
          <w:rFonts w:hint="eastAsia" w:ascii="宋体" w:hAnsi="宋体" w:eastAsia="宋体" w:cs="宋体"/>
          <w:sz w:val="24"/>
          <w:szCs w:val="24"/>
        </w:rPr>
        <w:t>第七十号</w:t>
      </w:r>
      <w:r>
        <w:rPr>
          <w:rFonts w:hint="eastAsia" w:ascii="宋体" w:hAnsi="宋体" w:eastAsia="宋体" w:cs="宋体"/>
          <w:spacing w:val="-126"/>
          <w:sz w:val="24"/>
          <w:szCs w:val="24"/>
        </w:rPr>
        <w:t>）</w:t>
      </w:r>
      <w:r>
        <w:rPr>
          <w:rFonts w:hint="eastAsia" w:ascii="宋体" w:hAnsi="宋体" w:eastAsia="宋体" w:cs="宋体"/>
          <w:spacing w:val="-2"/>
          <w:sz w:val="24"/>
          <w:szCs w:val="24"/>
        </w:rPr>
        <w:t>，中华人民共和国，</w:t>
      </w:r>
      <w:r>
        <w:rPr>
          <w:rFonts w:hint="eastAsia" w:ascii="宋体" w:hAnsi="宋体" w:eastAsia="宋体" w:cs="宋体"/>
          <w:sz w:val="24"/>
          <w:szCs w:val="24"/>
        </w:rPr>
        <w:t>2017-06-27 发布，2018-01-01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7</w:t>
      </w:r>
      <w:r>
        <w:rPr>
          <w:rFonts w:hint="eastAsia" w:ascii="宋体" w:hAnsi="宋体" w:eastAsia="宋体" w:cs="宋体"/>
          <w:sz w:val="24"/>
          <w:szCs w:val="24"/>
          <w:lang w:eastAsia="zh-CN"/>
        </w:rPr>
        <w:t>）</w:t>
      </w:r>
      <w:r>
        <w:rPr>
          <w:rFonts w:hint="eastAsia" w:ascii="宋体" w:hAnsi="宋体" w:eastAsia="宋体" w:cs="宋体"/>
          <w:sz w:val="24"/>
          <w:szCs w:val="24"/>
        </w:rPr>
        <w:t>《中华人民共和国土地管理法》（2004. 8）；</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中华人民共和国，主席令（第三号）《中华人民共和国森林法</w:t>
      </w:r>
      <w:r>
        <w:rPr>
          <w:rFonts w:hint="eastAsia" w:ascii="宋体" w:hAnsi="宋体" w:eastAsia="宋体" w:cs="宋体"/>
          <w:spacing w:val="-4"/>
          <w:sz w:val="24"/>
          <w:szCs w:val="24"/>
        </w:rPr>
        <w:t>（</w:t>
      </w:r>
      <w:r>
        <w:rPr>
          <w:rFonts w:hint="eastAsia" w:ascii="宋体" w:hAnsi="宋体" w:eastAsia="宋体" w:cs="宋体"/>
          <w:sz w:val="24"/>
          <w:szCs w:val="24"/>
        </w:rPr>
        <w:t>2009 年修订）》，2009-08-17 发布，2009-08-17 施行；</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9</w:t>
      </w:r>
      <w:r>
        <w:rPr>
          <w:rFonts w:hint="eastAsia" w:ascii="宋体" w:hAnsi="宋体" w:eastAsia="宋体" w:cs="宋体"/>
          <w:sz w:val="24"/>
          <w:szCs w:val="24"/>
          <w:lang w:eastAsia="zh-CN"/>
        </w:rPr>
        <w:t>）</w:t>
      </w:r>
      <w:r>
        <w:rPr>
          <w:rFonts w:hint="eastAsia" w:ascii="宋体" w:hAnsi="宋体" w:eastAsia="宋体" w:cs="宋体"/>
          <w:sz w:val="24"/>
          <w:szCs w:val="24"/>
        </w:rPr>
        <w:t>中华人民共和国，主席令（第三十九号）《中华人民共和国水土保持法（2010</w:t>
      </w:r>
      <w:r>
        <w:rPr>
          <w:rFonts w:hint="eastAsia" w:ascii="宋体" w:hAnsi="宋体" w:eastAsia="宋体" w:cs="宋体"/>
          <w:spacing w:val="-1"/>
          <w:sz w:val="24"/>
          <w:szCs w:val="24"/>
        </w:rPr>
        <w:t xml:space="preserve"> </w:t>
      </w:r>
      <w:r>
        <w:rPr>
          <w:rFonts w:hint="eastAsia" w:ascii="宋体" w:hAnsi="宋体" w:eastAsia="宋体" w:cs="宋体"/>
          <w:sz w:val="24"/>
          <w:szCs w:val="24"/>
        </w:rPr>
        <w:t>年修订）》，2010-12-25 发布，2011-03-01 施行；</w:t>
      </w:r>
    </w:p>
    <w:p>
      <w:pPr>
        <w:pStyle w:val="18"/>
        <w:keepNext w:val="0"/>
        <w:keepLines w:val="0"/>
        <w:pageBreakBefore w:val="0"/>
        <w:widowControl w:val="0"/>
        <w:numPr>
          <w:ilvl w:val="0"/>
          <w:numId w:val="0"/>
        </w:numPr>
        <w:tabs>
          <w:tab w:val="left" w:pos="1793"/>
        </w:tabs>
        <w:kinsoku/>
        <w:wordWrap/>
        <w:overflowPunct/>
        <w:topLinePunct w:val="0"/>
        <w:autoSpaceDE w:val="0"/>
        <w:autoSpaceDN w:val="0"/>
        <w:bidi w:val="0"/>
        <w:adjustRightInd/>
        <w:snapToGrid/>
        <w:spacing w:before="0" w:after="0" w:line="360" w:lineRule="auto"/>
        <w:ind w:leftChars="0" w:right="0" w:rightChars="0" w:firstLine="460" w:firstLineChars="200"/>
        <w:jc w:val="left"/>
        <w:textAlignment w:val="auto"/>
        <w:rPr>
          <w:rFonts w:hint="eastAsia" w:ascii="宋体" w:hAnsi="宋体" w:eastAsia="宋体" w:cs="宋体"/>
          <w:sz w:val="24"/>
          <w:szCs w:val="24"/>
        </w:rPr>
      </w:pPr>
      <w:r>
        <w:rPr>
          <w:rFonts w:hint="eastAsia" w:ascii="宋体" w:hAnsi="宋体" w:eastAsia="宋体" w:cs="宋体"/>
          <w:spacing w:val="-5"/>
          <w:sz w:val="24"/>
          <w:szCs w:val="24"/>
          <w:lang w:eastAsia="zh-CN"/>
        </w:rPr>
        <w:t>（</w:t>
      </w:r>
      <w:r>
        <w:rPr>
          <w:rFonts w:hint="eastAsia" w:ascii="宋体" w:hAnsi="宋体" w:eastAsia="宋体" w:cs="宋体"/>
          <w:spacing w:val="-5"/>
          <w:sz w:val="24"/>
          <w:szCs w:val="24"/>
          <w:lang w:val="en-US" w:eastAsia="zh-CN"/>
        </w:rPr>
        <w:t>10</w:t>
      </w:r>
      <w:r>
        <w:rPr>
          <w:rFonts w:hint="eastAsia" w:ascii="宋体" w:hAnsi="宋体" w:eastAsia="宋体" w:cs="宋体"/>
          <w:spacing w:val="-5"/>
          <w:sz w:val="24"/>
          <w:szCs w:val="24"/>
          <w:lang w:eastAsia="zh-CN"/>
        </w:rPr>
        <w:t>）</w:t>
      </w:r>
      <w:r>
        <w:rPr>
          <w:rFonts w:hint="eastAsia" w:ascii="宋体" w:hAnsi="宋体" w:eastAsia="宋体" w:cs="宋体"/>
          <w:spacing w:val="-5"/>
          <w:sz w:val="24"/>
          <w:szCs w:val="24"/>
        </w:rPr>
        <w:t>《中华人民共和国野生动物保护法》</w:t>
      </w:r>
      <w:r>
        <w:rPr>
          <w:rFonts w:hint="eastAsia" w:ascii="宋体" w:hAnsi="宋体" w:eastAsia="宋体" w:cs="宋体"/>
          <w:sz w:val="24"/>
          <w:szCs w:val="24"/>
        </w:rPr>
        <w:t xml:space="preserve">（2016 </w:t>
      </w:r>
      <w:r>
        <w:rPr>
          <w:rFonts w:hint="eastAsia" w:ascii="宋体" w:hAnsi="宋体" w:eastAsia="宋体" w:cs="宋体"/>
          <w:spacing w:val="-30"/>
          <w:sz w:val="24"/>
          <w:szCs w:val="24"/>
        </w:rPr>
        <w:t>年</w:t>
      </w:r>
      <w:r>
        <w:rPr>
          <w:rFonts w:hint="eastAsia" w:ascii="宋体" w:hAnsi="宋体" w:eastAsia="宋体" w:cs="宋体"/>
          <w:sz w:val="24"/>
          <w:szCs w:val="24"/>
        </w:rPr>
        <w:t xml:space="preserve"> 7 </w:t>
      </w:r>
      <w:r>
        <w:rPr>
          <w:rFonts w:hint="eastAsia" w:ascii="宋体" w:hAnsi="宋体" w:eastAsia="宋体" w:cs="宋体"/>
          <w:spacing w:val="-30"/>
          <w:sz w:val="24"/>
          <w:szCs w:val="24"/>
        </w:rPr>
        <w:t>月</w:t>
      </w:r>
      <w:r>
        <w:rPr>
          <w:rFonts w:hint="eastAsia" w:ascii="宋体" w:hAnsi="宋体" w:eastAsia="宋体" w:cs="宋体"/>
          <w:sz w:val="24"/>
          <w:szCs w:val="24"/>
        </w:rPr>
        <w:t xml:space="preserve"> 2 </w:t>
      </w:r>
      <w:r>
        <w:rPr>
          <w:rFonts w:hint="eastAsia" w:ascii="宋体" w:hAnsi="宋体" w:eastAsia="宋体" w:cs="宋体"/>
          <w:spacing w:val="-17"/>
          <w:sz w:val="24"/>
          <w:szCs w:val="24"/>
        </w:rPr>
        <w:t>日修订，自</w:t>
      </w:r>
      <w:r>
        <w:rPr>
          <w:rFonts w:hint="eastAsia" w:ascii="宋体" w:hAnsi="宋体" w:eastAsia="宋体" w:cs="宋体"/>
          <w:sz w:val="24"/>
          <w:szCs w:val="24"/>
        </w:rPr>
        <w:t xml:space="preserve"> 2017年 1 月 1 日起施行）；</w:t>
      </w:r>
    </w:p>
    <w:p>
      <w:pPr>
        <w:pStyle w:val="18"/>
        <w:keepNext w:val="0"/>
        <w:keepLines w:val="0"/>
        <w:pageBreakBefore w:val="0"/>
        <w:widowControl w:val="0"/>
        <w:numPr>
          <w:ilvl w:val="0"/>
          <w:numId w:val="0"/>
        </w:numPr>
        <w:tabs>
          <w:tab w:val="left" w:pos="1783"/>
        </w:tabs>
        <w:kinsoku/>
        <w:wordWrap/>
        <w:overflowPunct/>
        <w:topLinePunct w:val="0"/>
        <w:autoSpaceDE w:val="0"/>
        <w:autoSpaceDN w:val="0"/>
        <w:bidi w:val="0"/>
        <w:adjustRightInd/>
        <w:snapToGrid/>
        <w:spacing w:before="0" w:after="0" w:line="360" w:lineRule="auto"/>
        <w:ind w:leftChars="0" w:right="0" w:rightChars="0" w:firstLine="444" w:firstLineChars="200"/>
        <w:jc w:val="left"/>
        <w:textAlignment w:val="auto"/>
        <w:rPr>
          <w:rFonts w:hint="eastAsia" w:ascii="宋体" w:hAnsi="宋体" w:eastAsia="宋体" w:cs="宋体"/>
          <w:sz w:val="24"/>
          <w:szCs w:val="24"/>
        </w:rPr>
      </w:pPr>
      <w:r>
        <w:rPr>
          <w:rFonts w:hint="eastAsia" w:ascii="宋体" w:hAnsi="宋体" w:eastAsia="宋体" w:cs="宋体"/>
          <w:spacing w:val="-9"/>
          <w:sz w:val="24"/>
          <w:szCs w:val="24"/>
          <w:lang w:eastAsia="zh-CN"/>
        </w:rPr>
        <w:t>（</w:t>
      </w:r>
      <w:r>
        <w:rPr>
          <w:rFonts w:hint="eastAsia" w:ascii="宋体" w:hAnsi="宋体" w:eastAsia="宋体" w:cs="宋体"/>
          <w:spacing w:val="-9"/>
          <w:sz w:val="24"/>
          <w:szCs w:val="24"/>
          <w:lang w:val="en-US" w:eastAsia="zh-CN"/>
        </w:rPr>
        <w:t>11</w:t>
      </w:r>
      <w:r>
        <w:rPr>
          <w:rFonts w:hint="eastAsia" w:ascii="宋体" w:hAnsi="宋体" w:eastAsia="宋体" w:cs="宋体"/>
          <w:spacing w:val="-9"/>
          <w:sz w:val="24"/>
          <w:szCs w:val="24"/>
          <w:lang w:eastAsia="zh-CN"/>
        </w:rPr>
        <w:t>）</w:t>
      </w:r>
      <w:r>
        <w:rPr>
          <w:rFonts w:hint="eastAsia" w:ascii="宋体" w:hAnsi="宋体" w:eastAsia="宋体" w:cs="宋体"/>
          <w:spacing w:val="-9"/>
          <w:sz w:val="24"/>
          <w:szCs w:val="24"/>
        </w:rPr>
        <w:t>国务院，国令第</w:t>
      </w:r>
      <w:r>
        <w:rPr>
          <w:rFonts w:hint="eastAsia" w:ascii="宋体" w:hAnsi="宋体" w:eastAsia="宋体" w:cs="宋体"/>
          <w:sz w:val="24"/>
          <w:szCs w:val="24"/>
        </w:rPr>
        <w:t xml:space="preserve"> 682 号《建设项目环境保护管理条例》，2017-08-01 发布，2017-10-01 施行。</w:t>
      </w:r>
    </w:p>
    <w:p>
      <w:pPr>
        <w:pStyle w:val="18"/>
        <w:numPr>
          <w:ilvl w:val="2"/>
          <w:numId w:val="2"/>
        </w:numPr>
        <w:tabs>
          <w:tab w:val="left" w:pos="1316"/>
        </w:tabs>
        <w:spacing w:before="120" w:after="0" w:line="240" w:lineRule="auto"/>
        <w:ind w:left="1316" w:right="0" w:hanging="699"/>
        <w:jc w:val="left"/>
        <w:rPr>
          <w:b/>
          <w:sz w:val="28"/>
        </w:rPr>
      </w:pPr>
      <w:bookmarkStart w:id="11" w:name="1.2.2建设项目竣工环境保护设施验收技术规范和指南"/>
      <w:bookmarkEnd w:id="11"/>
      <w:bookmarkStart w:id="12" w:name="1.2.2建设项目竣工环境保护设施验收技术规范和指南"/>
      <w:bookmarkEnd w:id="12"/>
      <w:r>
        <w:rPr>
          <w:b/>
          <w:sz w:val="28"/>
        </w:rPr>
        <w:t>建设项目竣工环境保护设施验收技术规范和指南</w:t>
      </w:r>
    </w:p>
    <w:p>
      <w:pPr>
        <w:pStyle w:val="2"/>
        <w:spacing w:before="10"/>
        <w:rPr>
          <w:rFonts w:hint="eastAsia" w:ascii="宋体" w:hAnsi="宋体" w:eastAsia="宋体" w:cs="宋体"/>
          <w:b/>
          <w:sz w:val="24"/>
          <w:szCs w:val="24"/>
        </w:r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环境保护部，环环评[2018]11</w:t>
      </w:r>
      <w:r>
        <w:rPr>
          <w:rFonts w:hint="eastAsia" w:ascii="宋体" w:hAnsi="宋体" w:eastAsia="宋体" w:cs="宋体"/>
          <w:spacing w:val="20"/>
          <w:sz w:val="24"/>
          <w:szCs w:val="24"/>
        </w:rPr>
        <w:t xml:space="preserve"> </w:t>
      </w:r>
      <w:r>
        <w:rPr>
          <w:rFonts w:hint="eastAsia" w:ascii="宋体" w:hAnsi="宋体" w:eastAsia="宋体" w:cs="宋体"/>
          <w:sz w:val="24"/>
          <w:szCs w:val="24"/>
        </w:rPr>
        <w:t>号《关于强化建设项目环境影响评价事中事后监管的实施意见》，2018-01-25 发布，2018-01-26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2</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环境保护部，国环规环评</w:t>
      </w:r>
      <w:r>
        <w:rPr>
          <w:rFonts w:hint="eastAsia" w:ascii="宋体" w:hAnsi="宋体" w:eastAsia="宋体" w:cs="宋体"/>
          <w:sz w:val="24"/>
          <w:szCs w:val="24"/>
        </w:rPr>
        <w:t xml:space="preserve">[2017]4 </w:t>
      </w:r>
      <w:r>
        <w:rPr>
          <w:rFonts w:hint="eastAsia" w:ascii="宋体" w:hAnsi="宋体" w:eastAsia="宋体" w:cs="宋体"/>
          <w:spacing w:val="-5"/>
          <w:sz w:val="24"/>
          <w:szCs w:val="24"/>
        </w:rPr>
        <w:t>号《建设项目竣工环境保护验收暂行</w:t>
      </w:r>
      <w:r>
        <w:rPr>
          <w:rFonts w:hint="eastAsia" w:ascii="宋体" w:hAnsi="宋体" w:eastAsia="宋体" w:cs="宋体"/>
          <w:sz w:val="24"/>
          <w:szCs w:val="24"/>
        </w:rPr>
        <w:t>办法》，2017-11-20 发布，2017-11-20 施行。</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szCs w:val="24"/>
        </w:rPr>
        <w:sectPr>
          <w:pgSz w:w="11910" w:h="16840"/>
          <w:pgMar w:top="1580" w:right="1160" w:bottom="1180" w:left="1180" w:header="0" w:footer="991" w:gutter="0"/>
        </w:sectPr>
      </w:pPr>
    </w:p>
    <w:p>
      <w:pPr>
        <w:pStyle w:val="18"/>
        <w:keepNext w:val="0"/>
        <w:keepLines w:val="0"/>
        <w:pageBreakBefore w:val="0"/>
        <w:widowControl w:val="0"/>
        <w:numPr>
          <w:ilvl w:val="0"/>
          <w:numId w:val="0"/>
        </w:numPr>
        <w:tabs>
          <w:tab w:val="left" w:pos="1679"/>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w:t>
      </w:r>
      <w:r>
        <w:rPr>
          <w:rFonts w:hint="eastAsia" w:ascii="宋体" w:hAnsi="宋体" w:eastAsia="宋体" w:cs="宋体"/>
          <w:sz w:val="24"/>
          <w:szCs w:val="24"/>
        </w:rPr>
        <w:t>环境保护部，环办[2015]52 号《关于印发环评管理中部分行业建设项目重大变动清单的通知》，2015-06-04 发布，2015-06-04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68" w:firstLineChars="200"/>
        <w:jc w:val="left"/>
        <w:textAlignment w:val="auto"/>
        <w:rPr>
          <w:rFonts w:hint="eastAsia" w:ascii="宋体" w:hAnsi="宋体" w:eastAsia="宋体" w:cs="宋体"/>
          <w:sz w:val="24"/>
          <w:szCs w:val="24"/>
        </w:rPr>
      </w:pPr>
      <w:r>
        <w:rPr>
          <w:rFonts w:hint="eastAsia" w:ascii="宋体" w:hAnsi="宋体" w:eastAsia="宋体" w:cs="宋体"/>
          <w:spacing w:val="-3"/>
          <w:sz w:val="24"/>
          <w:szCs w:val="24"/>
          <w:lang w:eastAsia="zh-CN"/>
        </w:rPr>
        <w:t>（</w:t>
      </w:r>
      <w:r>
        <w:rPr>
          <w:rFonts w:hint="eastAsia" w:ascii="宋体" w:hAnsi="宋体" w:eastAsia="宋体" w:cs="宋体"/>
          <w:spacing w:val="-3"/>
          <w:sz w:val="24"/>
          <w:szCs w:val="24"/>
          <w:lang w:val="en-US" w:eastAsia="zh-CN"/>
        </w:rPr>
        <w:t>4</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环境保护部，环发</w:t>
      </w:r>
      <w:r>
        <w:rPr>
          <w:rFonts w:hint="eastAsia" w:ascii="宋体" w:hAnsi="宋体" w:eastAsia="宋体" w:cs="宋体"/>
          <w:sz w:val="24"/>
          <w:szCs w:val="24"/>
        </w:rPr>
        <w:t xml:space="preserve">[2015]163 </w:t>
      </w:r>
      <w:r>
        <w:rPr>
          <w:rFonts w:hint="eastAsia" w:ascii="宋体" w:hAnsi="宋体" w:eastAsia="宋体" w:cs="宋体"/>
          <w:spacing w:val="-5"/>
          <w:sz w:val="24"/>
          <w:szCs w:val="24"/>
        </w:rPr>
        <w:t>号《建设项目环境保护事中事后监督管理</w:t>
      </w:r>
      <w:r>
        <w:rPr>
          <w:rFonts w:hint="eastAsia" w:ascii="宋体" w:hAnsi="宋体" w:eastAsia="宋体" w:cs="宋体"/>
          <w:sz w:val="24"/>
          <w:szCs w:val="24"/>
        </w:rPr>
        <w:t>办法（试行）&gt;的通知》，2015-12-11 发布，2015-12-11 施行。</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r>
        <w:rPr>
          <w:rFonts w:hint="eastAsia" w:ascii="宋体" w:hAnsi="宋体" w:eastAsia="宋体" w:cs="宋体"/>
          <w:sz w:val="24"/>
          <w:szCs w:val="24"/>
          <w:lang w:eastAsia="zh-CN"/>
        </w:rPr>
        <w:t>）</w:t>
      </w:r>
      <w:r>
        <w:rPr>
          <w:rFonts w:hint="eastAsia" w:ascii="宋体" w:hAnsi="宋体" w:eastAsia="宋体" w:cs="宋体"/>
          <w:sz w:val="24"/>
          <w:szCs w:val="24"/>
        </w:rPr>
        <w:t>《建设项目竣工环境保护验收技术规范生态影响类》</w:t>
      </w:r>
      <w:r>
        <w:rPr>
          <w:rFonts w:hint="eastAsia" w:ascii="宋体" w:hAnsi="宋体" w:eastAsia="宋体" w:cs="宋体"/>
          <w:sz w:val="24"/>
          <w:szCs w:val="24"/>
          <w:lang w:eastAsia="zh-CN"/>
        </w:rPr>
        <w:t>（</w:t>
      </w:r>
      <w:r>
        <w:rPr>
          <w:rFonts w:hint="eastAsia" w:ascii="宋体" w:hAnsi="宋体" w:eastAsia="宋体" w:cs="宋体"/>
          <w:sz w:val="24"/>
          <w:szCs w:val="24"/>
        </w:rPr>
        <w:t>HJ394-2007</w:t>
      </w:r>
      <w:r>
        <w:rPr>
          <w:rFonts w:hint="eastAsia" w:ascii="宋体" w:hAnsi="宋体" w:eastAsia="宋体" w:cs="宋体"/>
          <w:sz w:val="24"/>
          <w:szCs w:val="24"/>
          <w:lang w:eastAsia="zh-CN"/>
        </w:rPr>
        <w:t>）</w:t>
      </w:r>
      <w:r>
        <w:rPr>
          <w:rFonts w:hint="eastAsia" w:ascii="宋体" w:hAnsi="宋体" w:eastAsia="宋体" w:cs="宋体"/>
          <w:sz w:val="24"/>
          <w:szCs w:val="24"/>
        </w:rPr>
        <w:t>；</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6</w:t>
      </w:r>
      <w:r>
        <w:rPr>
          <w:rFonts w:hint="eastAsia" w:ascii="宋体" w:hAnsi="宋体" w:eastAsia="宋体" w:cs="宋体"/>
          <w:sz w:val="24"/>
          <w:szCs w:val="24"/>
          <w:lang w:eastAsia="zh-CN"/>
        </w:rPr>
        <w:t>）</w:t>
      </w:r>
      <w:r>
        <w:rPr>
          <w:rFonts w:hint="eastAsia" w:ascii="宋体" w:hAnsi="宋体" w:eastAsia="宋体" w:cs="宋体"/>
          <w:sz w:val="24"/>
          <w:szCs w:val="24"/>
        </w:rPr>
        <w:t>《建设项目竣工环境保护验收技术规范水利水电》</w:t>
      </w:r>
      <w:r>
        <w:rPr>
          <w:rFonts w:hint="eastAsia" w:ascii="宋体" w:hAnsi="宋体" w:eastAsia="宋体" w:cs="宋体"/>
          <w:sz w:val="24"/>
          <w:szCs w:val="24"/>
          <w:lang w:eastAsia="zh-CN"/>
        </w:rPr>
        <w:t>（</w:t>
      </w:r>
      <w:r>
        <w:rPr>
          <w:rFonts w:hint="eastAsia" w:ascii="宋体" w:hAnsi="宋体" w:eastAsia="宋体" w:cs="宋体"/>
          <w:sz w:val="24"/>
          <w:szCs w:val="24"/>
        </w:rPr>
        <w:t>HJ 464-2009</w:t>
      </w:r>
      <w:r>
        <w:rPr>
          <w:rFonts w:hint="eastAsia" w:ascii="宋体" w:hAnsi="宋体" w:eastAsia="宋体" w:cs="宋体"/>
          <w:sz w:val="24"/>
          <w:szCs w:val="24"/>
          <w:lang w:eastAsia="zh-CN"/>
        </w:rPr>
        <w:t>）</w:t>
      </w:r>
      <w:r>
        <w:rPr>
          <w:rFonts w:hint="eastAsia" w:ascii="宋体" w:hAnsi="宋体" w:eastAsia="宋体" w:cs="宋体"/>
          <w:sz w:val="24"/>
          <w:szCs w:val="24"/>
        </w:rPr>
        <w:t>。</w:t>
      </w:r>
    </w:p>
    <w:p>
      <w:pPr>
        <w:pStyle w:val="2"/>
        <w:spacing w:before="12"/>
        <w:rPr>
          <w:sz w:val="21"/>
        </w:rPr>
      </w:pPr>
    </w:p>
    <w:p>
      <w:pPr>
        <w:pStyle w:val="18"/>
        <w:numPr>
          <w:ilvl w:val="2"/>
          <w:numId w:val="2"/>
        </w:numPr>
        <w:tabs>
          <w:tab w:val="left" w:pos="1316"/>
        </w:tabs>
        <w:spacing w:before="0" w:after="0" w:line="240" w:lineRule="auto"/>
        <w:ind w:left="1316" w:right="0" w:hanging="699"/>
        <w:jc w:val="left"/>
        <w:rPr>
          <w:b/>
          <w:sz w:val="28"/>
        </w:rPr>
      </w:pPr>
      <w:bookmarkStart w:id="13" w:name="1.2.3建设项目环境影响报告书及其审批部门审批决定"/>
      <w:bookmarkEnd w:id="13"/>
      <w:bookmarkStart w:id="14" w:name="1.2.3建设项目环境影响报告书及其审批部门审批决定"/>
      <w:bookmarkEnd w:id="14"/>
      <w:r>
        <w:rPr>
          <w:b/>
          <w:sz w:val="28"/>
        </w:rPr>
        <w:t>建设项目环境影响报告书及其审批部门审批决定</w:t>
      </w:r>
    </w:p>
    <w:p>
      <w:pPr>
        <w:pStyle w:val="2"/>
        <w:spacing w:before="8"/>
        <w:rPr>
          <w:b/>
          <w:color w:val="000000" w:themeColor="text1"/>
          <w:sz w:val="23"/>
          <w14:textFill>
            <w14:solidFill>
              <w14:schemeClr w14:val="tx1"/>
            </w14:solidFill>
          </w14:textFill>
        </w:r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1</w:t>
      </w:r>
      <w:r>
        <w:rPr>
          <w:rFonts w:hint="eastAsia" w:ascii="宋体" w:hAnsi="宋体" w:eastAsia="宋体" w:cs="宋体"/>
          <w:color w:val="000000" w:themeColor="text1"/>
          <w:sz w:val="24"/>
          <w:highlight w:val="none"/>
          <w:lang w:eastAsia="zh-CN"/>
          <w14:textFill>
            <w14:solidFill>
              <w14:schemeClr w14:val="tx1"/>
            </w14:solidFill>
          </w14:textFill>
        </w:rPr>
        <w:t>）江西晨晓环保有限公司</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z w:val="24"/>
          <w:highlight w:val="none"/>
          <w14:textFill>
            <w14:solidFill>
              <w14:schemeClr w14:val="tx1"/>
            </w14:solidFill>
          </w14:textFill>
        </w:rPr>
        <w:t>项目环境影响报告书》；20</w:t>
      </w:r>
      <w:r>
        <w:rPr>
          <w:rFonts w:hint="eastAsia" w:ascii="宋体" w:hAnsi="宋体" w:eastAsia="宋体" w:cs="宋体"/>
          <w:color w:val="000000" w:themeColor="text1"/>
          <w:sz w:val="24"/>
          <w:highlight w:val="none"/>
          <w:lang w:val="en-US" w:eastAsia="zh-CN"/>
          <w14:textFill>
            <w14:solidFill>
              <w14:schemeClr w14:val="tx1"/>
            </w14:solidFill>
          </w14:textFill>
        </w:rPr>
        <w:t>20</w:t>
      </w:r>
      <w:r>
        <w:rPr>
          <w:rFonts w:hint="eastAsia" w:ascii="宋体" w:hAnsi="宋体" w:eastAsia="宋体" w:cs="宋体"/>
          <w:color w:val="000000" w:themeColor="text1"/>
          <w:spacing w:val="-30"/>
          <w:sz w:val="24"/>
          <w:highlight w:val="none"/>
          <w14:textFill>
            <w14:solidFill>
              <w14:schemeClr w14:val="tx1"/>
            </w14:solidFill>
          </w14:textFill>
        </w:rPr>
        <w:t>年</w:t>
      </w:r>
      <w:r>
        <w:rPr>
          <w:rFonts w:hint="eastAsia" w:ascii="宋体" w:hAnsi="宋体" w:eastAsia="宋体" w:cs="宋体"/>
          <w:color w:val="000000" w:themeColor="text1"/>
          <w:sz w:val="24"/>
          <w:highlight w:val="none"/>
          <w:lang w:val="en-US" w:eastAsia="zh-CN"/>
          <w14:textFill>
            <w14:solidFill>
              <w14:schemeClr w14:val="tx1"/>
            </w14:solidFill>
          </w14:textFill>
        </w:rPr>
        <w:t>4</w:t>
      </w:r>
      <w:r>
        <w:rPr>
          <w:rFonts w:hint="eastAsia" w:ascii="宋体" w:hAnsi="宋体" w:eastAsia="宋体" w:cs="宋体"/>
          <w:color w:val="000000" w:themeColor="text1"/>
          <w:sz w:val="24"/>
          <w:highlight w:val="none"/>
          <w14:textFill>
            <w14:solidFill>
              <w14:schemeClr w14:val="tx1"/>
            </w14:solidFill>
          </w14:textFill>
        </w:rPr>
        <w:t>月。</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highlight w:val="none"/>
          <w:lang w:eastAsia="zh-CN"/>
        </w:rPr>
      </w:pPr>
      <w:r>
        <w:rPr>
          <w:rFonts w:hint="eastAsia" w:ascii="宋体" w:hAnsi="宋体" w:eastAsia="宋体" w:cs="宋体"/>
          <w:color w:val="000000" w:themeColor="text1"/>
          <w:sz w:val="24"/>
          <w:highlight w:val="none"/>
          <w:lang w:eastAsia="zh-CN"/>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2</w:t>
      </w:r>
      <w:r>
        <w:rPr>
          <w:rFonts w:hint="eastAsia" w:ascii="宋体" w:hAnsi="宋体" w:eastAsia="宋体" w:cs="宋体"/>
          <w:color w:val="000000" w:themeColor="text1"/>
          <w:sz w:val="24"/>
          <w:highlight w:val="none"/>
          <w:lang w:eastAsia="zh-CN"/>
          <w14:textFill>
            <w14:solidFill>
              <w14:schemeClr w14:val="tx1"/>
            </w14:solidFill>
          </w14:textFill>
        </w:rPr>
        <w:t>）吉安市生态环境</w:t>
      </w:r>
      <w:r>
        <w:rPr>
          <w:rFonts w:hint="eastAsia" w:ascii="宋体" w:hAnsi="宋体" w:eastAsia="宋体" w:cs="宋体"/>
          <w:color w:val="000000" w:themeColor="text1"/>
          <w:sz w:val="24"/>
          <w:highlight w:val="none"/>
          <w14:textFill>
            <w14:solidFill>
              <w14:schemeClr w14:val="tx1"/>
            </w14:solidFill>
          </w14:textFill>
        </w:rPr>
        <w:t>局，《</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color w:val="000000" w:themeColor="text1"/>
          <w:sz w:val="24"/>
          <w:highlight w:val="none"/>
          <w14:textFill>
            <w14:solidFill>
              <w14:schemeClr w14:val="tx1"/>
            </w14:solidFill>
          </w14:textFill>
        </w:rPr>
        <w:t>环境影响报告书的</w:t>
      </w:r>
      <w:r>
        <w:rPr>
          <w:rFonts w:hint="eastAsia" w:ascii="宋体" w:hAnsi="宋体" w:eastAsia="宋体" w:cs="宋体"/>
          <w:color w:val="000000" w:themeColor="text1"/>
          <w:sz w:val="24"/>
          <w:highlight w:val="none"/>
          <w:lang w:eastAsia="zh-CN"/>
          <w14:textFill>
            <w14:solidFill>
              <w14:schemeClr w14:val="tx1"/>
            </w14:solidFill>
          </w14:textFill>
        </w:rPr>
        <w:t>批复</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eastAsia="zh-CN"/>
          <w14:textFill>
            <w14:solidFill>
              <w14:schemeClr w14:val="tx1"/>
            </w14:solidFill>
          </w14:textFill>
        </w:rPr>
        <w:t>吉市</w:t>
      </w:r>
      <w:r>
        <w:rPr>
          <w:rFonts w:hint="eastAsia" w:ascii="宋体" w:hAnsi="宋体" w:eastAsia="宋体" w:cs="宋体"/>
          <w:color w:val="000000" w:themeColor="text1"/>
          <w:sz w:val="24"/>
          <w:highlight w:val="none"/>
          <w14:textFill>
            <w14:solidFill>
              <w14:schemeClr w14:val="tx1"/>
            </w14:solidFill>
          </w14:textFill>
        </w:rPr>
        <w:t>环</w:t>
      </w:r>
      <w:r>
        <w:rPr>
          <w:rFonts w:hint="eastAsia" w:ascii="宋体" w:hAnsi="宋体" w:eastAsia="宋体" w:cs="宋体"/>
          <w:color w:val="000000" w:themeColor="text1"/>
          <w:sz w:val="24"/>
          <w:highlight w:val="none"/>
          <w:lang w:eastAsia="zh-CN"/>
          <w14:textFill>
            <w14:solidFill>
              <w14:schemeClr w14:val="tx1"/>
            </w14:solidFill>
          </w14:textFill>
        </w:rPr>
        <w:t>评</w:t>
      </w:r>
      <w:r>
        <w:rPr>
          <w:rFonts w:hint="eastAsia" w:ascii="宋体" w:hAnsi="宋体" w:eastAsia="宋体" w:cs="宋体"/>
          <w:color w:val="000000" w:themeColor="text1"/>
          <w:sz w:val="24"/>
          <w:highlight w:val="none"/>
          <w14:textFill>
            <w14:solidFill>
              <w14:schemeClr w14:val="tx1"/>
            </w14:solidFill>
          </w14:textFill>
        </w:rPr>
        <w:t>字[20</w:t>
      </w:r>
      <w:r>
        <w:rPr>
          <w:rFonts w:hint="eastAsia" w:ascii="宋体" w:hAnsi="宋体" w:eastAsia="宋体" w:cs="宋体"/>
          <w:color w:val="000000" w:themeColor="text1"/>
          <w:sz w:val="24"/>
          <w:highlight w:val="none"/>
          <w:lang w:val="en-US" w:eastAsia="zh-CN"/>
          <w14:textFill>
            <w14:solidFill>
              <w14:schemeClr w14:val="tx1"/>
            </w14:solidFill>
          </w14:textFill>
        </w:rPr>
        <w:t>20</w:t>
      </w:r>
      <w:r>
        <w:rPr>
          <w:rFonts w:hint="eastAsia" w:ascii="宋体" w:hAnsi="宋体" w:eastAsia="宋体" w:cs="宋体"/>
          <w:color w:val="000000" w:themeColor="text1"/>
          <w:sz w:val="24"/>
          <w:highlight w:val="none"/>
          <w14:textFill>
            <w14:solidFill>
              <w14:schemeClr w14:val="tx1"/>
            </w14:solidFill>
          </w14:textFill>
        </w:rPr>
        <w:t>]</w:t>
      </w:r>
      <w:r>
        <w:rPr>
          <w:rFonts w:hint="eastAsia" w:ascii="宋体" w:hAnsi="宋体" w:eastAsia="宋体" w:cs="宋体"/>
          <w:color w:val="000000" w:themeColor="text1"/>
          <w:sz w:val="24"/>
          <w:highlight w:val="none"/>
          <w:lang w:val="en-US" w:eastAsia="zh-CN"/>
          <w14:textFill>
            <w14:solidFill>
              <w14:schemeClr w14:val="tx1"/>
            </w14:solidFill>
          </w14:textFill>
        </w:rPr>
        <w:t>76</w:t>
      </w:r>
      <w:r>
        <w:rPr>
          <w:rFonts w:hint="eastAsia" w:ascii="宋体" w:hAnsi="宋体" w:eastAsia="宋体" w:cs="宋体"/>
          <w:color w:val="000000" w:themeColor="text1"/>
          <w:sz w:val="24"/>
          <w:highlight w:val="none"/>
          <w14:textFill>
            <w14:solidFill>
              <w14:schemeClr w14:val="tx1"/>
            </w14:solidFill>
          </w14:textFill>
        </w:rPr>
        <w:t>号），2005</w:t>
      </w:r>
      <w:r>
        <w:rPr>
          <w:rFonts w:hint="eastAsia" w:ascii="宋体" w:hAnsi="宋体" w:eastAsia="宋体" w:cs="宋体"/>
          <w:color w:val="000000" w:themeColor="text1"/>
          <w:spacing w:val="-30"/>
          <w:sz w:val="24"/>
          <w:highlight w:val="none"/>
          <w14:textFill>
            <w14:solidFill>
              <w14:schemeClr w14:val="tx1"/>
            </w14:solidFill>
          </w14:textFill>
        </w:rPr>
        <w:t>年</w:t>
      </w:r>
      <w:r>
        <w:rPr>
          <w:rFonts w:hint="eastAsia" w:ascii="宋体" w:hAnsi="宋体" w:eastAsia="宋体" w:cs="宋体"/>
          <w:color w:val="000000" w:themeColor="text1"/>
          <w:spacing w:val="-30"/>
          <w:sz w:val="24"/>
          <w:highlight w:val="none"/>
          <w:lang w:val="en-US" w:eastAsia="zh-CN"/>
          <w14:textFill>
            <w14:solidFill>
              <w14:schemeClr w14:val="tx1"/>
            </w14:solidFill>
          </w14:textFill>
        </w:rPr>
        <w:t>0</w:t>
      </w:r>
      <w:r>
        <w:rPr>
          <w:rFonts w:hint="eastAsia" w:ascii="宋体" w:hAnsi="宋体" w:eastAsia="宋体" w:cs="宋体"/>
          <w:color w:val="000000" w:themeColor="text1"/>
          <w:sz w:val="24"/>
          <w:highlight w:val="none"/>
          <w14:textFill>
            <w14:solidFill>
              <w14:schemeClr w14:val="tx1"/>
            </w14:solidFill>
          </w14:textFill>
        </w:rPr>
        <w:t>7</w:t>
      </w:r>
      <w:r>
        <w:rPr>
          <w:rFonts w:hint="eastAsia" w:ascii="宋体" w:hAnsi="宋体" w:eastAsia="宋体" w:cs="宋体"/>
          <w:color w:val="000000" w:themeColor="text1"/>
          <w:spacing w:val="-30"/>
          <w:sz w:val="24"/>
          <w:highlight w:val="none"/>
          <w14:textFill>
            <w14:solidFill>
              <w14:schemeClr w14:val="tx1"/>
            </w14:solidFill>
          </w14:textFill>
        </w:rPr>
        <w:t>月</w:t>
      </w:r>
      <w:r>
        <w:rPr>
          <w:rFonts w:hint="eastAsia" w:ascii="宋体" w:hAnsi="宋体" w:eastAsia="宋体" w:cs="宋体"/>
          <w:color w:val="000000" w:themeColor="text1"/>
          <w:spacing w:val="-30"/>
          <w:sz w:val="24"/>
          <w:highlight w:val="none"/>
          <w:lang w:val="en-US" w:eastAsia="zh-CN"/>
          <w14:textFill>
            <w14:solidFill>
              <w14:schemeClr w14:val="tx1"/>
            </w14:solidFill>
          </w14:textFill>
        </w:rPr>
        <w:t>27</w:t>
      </w:r>
      <w:r>
        <w:rPr>
          <w:rFonts w:hint="eastAsia" w:ascii="宋体" w:hAnsi="宋体" w:eastAsia="宋体" w:cs="宋体"/>
          <w:color w:val="000000" w:themeColor="text1"/>
          <w:sz w:val="24"/>
          <w:highlight w:val="none"/>
          <w14:textFill>
            <w14:solidFill>
              <w14:schemeClr w14:val="tx1"/>
            </w14:solidFill>
          </w14:textFill>
        </w:rPr>
        <w:t>日</w:t>
      </w:r>
      <w:r>
        <w:rPr>
          <w:rFonts w:hint="eastAsia" w:ascii="宋体" w:hAnsi="宋体" w:eastAsia="宋体" w:cs="宋体"/>
          <w:color w:val="000000" w:themeColor="text1"/>
          <w:sz w:val="24"/>
          <w:highlight w:val="none"/>
          <w:lang w:eastAsia="zh-CN"/>
          <w14:textFill>
            <w14:solidFill>
              <w14:schemeClr w14:val="tx1"/>
            </w14:solidFill>
          </w14:textFill>
        </w:rPr>
        <w:t>。</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default" w:ascii="宋体" w:hAnsi="宋体" w:eastAsia="宋体" w:cs="宋体"/>
          <w:sz w:val="24"/>
          <w:lang w:val="en-US" w:eastAsia="zh-CN"/>
        </w:rPr>
      </w:pPr>
    </w:p>
    <w:p>
      <w:pPr>
        <w:pStyle w:val="4"/>
        <w:numPr>
          <w:ilvl w:val="1"/>
          <w:numId w:val="2"/>
        </w:numPr>
        <w:tabs>
          <w:tab w:val="left" w:pos="1220"/>
        </w:tabs>
        <w:spacing w:before="0" w:after="0" w:line="240" w:lineRule="auto"/>
        <w:ind w:left="1220" w:right="0" w:hanging="603"/>
        <w:jc w:val="left"/>
      </w:pPr>
      <w:bookmarkStart w:id="15" w:name="1.3调查目的和调查原则"/>
      <w:bookmarkEnd w:id="15"/>
      <w:bookmarkStart w:id="16" w:name="_bookmark3"/>
      <w:bookmarkEnd w:id="16"/>
      <w:bookmarkStart w:id="17" w:name="_bookmark3"/>
      <w:bookmarkEnd w:id="17"/>
      <w:r>
        <w:t>调查目的和调查原则</w:t>
      </w:r>
    </w:p>
    <w:p>
      <w:pPr>
        <w:pStyle w:val="18"/>
        <w:numPr>
          <w:ilvl w:val="2"/>
          <w:numId w:val="2"/>
        </w:numPr>
        <w:tabs>
          <w:tab w:val="left" w:pos="1316"/>
        </w:tabs>
        <w:spacing w:before="244" w:after="0" w:line="240" w:lineRule="auto"/>
        <w:ind w:left="1316" w:right="0" w:hanging="699"/>
        <w:jc w:val="left"/>
        <w:rPr>
          <w:b/>
          <w:sz w:val="28"/>
        </w:rPr>
      </w:pPr>
      <w:bookmarkStart w:id="18" w:name="1.3.1调查目的"/>
      <w:bookmarkEnd w:id="18"/>
      <w:bookmarkStart w:id="19" w:name="1.3.1调查目的"/>
      <w:bookmarkEnd w:id="19"/>
      <w:r>
        <w:rPr>
          <w:b/>
          <w:sz w:val="28"/>
        </w:rPr>
        <w:t>调查目的</w:t>
      </w:r>
    </w:p>
    <w:p>
      <w:pPr>
        <w:pStyle w:val="2"/>
        <w:spacing w:before="11"/>
        <w:rPr>
          <w:b/>
          <w:sz w:val="23"/>
        </w:r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调查工程在施工、运行和管理等方面落实环境影响报告书及其批复文件、工程设计所提环保设施落实情况。</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both"/>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调查本工程已采取的生态保护、水土保持及污染控制措施，并通过对</w:t>
      </w:r>
      <w:r>
        <w:rPr>
          <w:rFonts w:hint="eastAsia" w:ascii="宋体" w:hAnsi="宋体" w:eastAsia="宋体" w:cs="宋体"/>
          <w:spacing w:val="-8"/>
          <w:sz w:val="24"/>
        </w:rPr>
        <w:t>项目建设施工期、试运行期环境现状监测结果，分析各项措施实施的有效性，针</w:t>
      </w:r>
      <w:r>
        <w:rPr>
          <w:rFonts w:hint="eastAsia" w:ascii="宋体" w:hAnsi="宋体" w:eastAsia="宋体" w:cs="宋体"/>
          <w:spacing w:val="-6"/>
          <w:sz w:val="24"/>
        </w:rPr>
        <w:t>对存在的环境问题和潜在环境影响，提出切实可行的环保补救措施，对尚不完善</w:t>
      </w:r>
      <w:r>
        <w:rPr>
          <w:rFonts w:hint="eastAsia" w:ascii="宋体" w:hAnsi="宋体" w:eastAsia="宋体" w:cs="宋体"/>
          <w:sz w:val="24"/>
        </w:rPr>
        <w:t>的措施提出改进意见。</w:t>
      </w: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根据工程环境影响的调查结果，客观、公正地从技术上论证该电站建设项目是否符合竣工环境保护验收条件。</w:t>
      </w:r>
    </w:p>
    <w:p>
      <w:pPr>
        <w:pStyle w:val="18"/>
        <w:numPr>
          <w:ilvl w:val="2"/>
          <w:numId w:val="2"/>
        </w:numPr>
        <w:tabs>
          <w:tab w:val="left" w:pos="1316"/>
        </w:tabs>
        <w:spacing w:before="124" w:after="0" w:line="240" w:lineRule="auto"/>
        <w:ind w:left="1316" w:right="0" w:hanging="699"/>
        <w:jc w:val="left"/>
        <w:rPr>
          <w:b/>
          <w:sz w:val="28"/>
        </w:rPr>
      </w:pPr>
      <w:bookmarkStart w:id="20" w:name="1.3.2调查原则"/>
      <w:bookmarkEnd w:id="20"/>
      <w:bookmarkStart w:id="21" w:name="1.3.2调查原则"/>
      <w:bookmarkEnd w:id="21"/>
      <w:r>
        <w:rPr>
          <w:b/>
          <w:sz w:val="28"/>
        </w:rPr>
        <w:t>调查原则</w:t>
      </w:r>
    </w:p>
    <w:p>
      <w:pPr>
        <w:pStyle w:val="2"/>
        <w:spacing w:before="8"/>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firstLine="480" w:firstLineChars="200"/>
        <w:textAlignment w:val="auto"/>
        <w:rPr>
          <w:rFonts w:hint="eastAsia" w:ascii="宋体" w:hAnsi="宋体" w:eastAsia="宋体" w:cs="宋体"/>
        </w:rPr>
      </w:pPr>
      <w:r>
        <w:rPr>
          <w:rFonts w:hint="eastAsia" w:ascii="宋体" w:hAnsi="宋体" w:eastAsia="宋体" w:cs="宋体"/>
        </w:rPr>
        <w:t>本次竣工环保验收调查坚持以下原则：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认真贯彻国家与地方环保法律法规及规定；</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污染防治与生态保护并重原则；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资料收集与现场调查、现状监测相结合原则；</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达标排放原则。</w:t>
      </w:r>
    </w:p>
    <w:p>
      <w:pPr>
        <w:spacing w:after="0" w:line="240" w:lineRule="auto"/>
        <w:jc w:val="left"/>
        <w:rPr>
          <w:sz w:val="24"/>
        </w:rPr>
        <w:sectPr>
          <w:pgSz w:w="11910" w:h="16840"/>
          <w:pgMar w:top="1360" w:right="1160" w:bottom="1180" w:left="1180" w:header="0" w:footer="991" w:gutter="0"/>
        </w:sectPr>
      </w:pPr>
    </w:p>
    <w:p>
      <w:pPr>
        <w:pStyle w:val="4"/>
        <w:numPr>
          <w:ilvl w:val="1"/>
          <w:numId w:val="2"/>
        </w:numPr>
        <w:tabs>
          <w:tab w:val="left" w:pos="1220"/>
        </w:tabs>
        <w:spacing w:before="44" w:after="0" w:line="240" w:lineRule="auto"/>
        <w:ind w:left="1220" w:right="0" w:hanging="603"/>
        <w:jc w:val="left"/>
      </w:pPr>
      <w:bookmarkStart w:id="22" w:name="1.4调查方法"/>
      <w:bookmarkEnd w:id="22"/>
      <w:bookmarkStart w:id="23" w:name="_bookmark4"/>
      <w:bookmarkEnd w:id="23"/>
      <w:bookmarkStart w:id="24" w:name="_bookmark4"/>
      <w:bookmarkEnd w:id="24"/>
      <w:r>
        <w:t>调查方法</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rPr>
        <w:t>按照《建设项目竣工环境保护验收技术规范水利水电》HJ464-2009及《建设项目竣工环境保护验收技术规范生态影响类》HJ394-2007的要求，以批准的</w:t>
      </w:r>
      <w:r>
        <w:rPr>
          <w:rFonts w:hint="eastAsia" w:ascii="宋体" w:hAnsi="宋体" w:eastAsia="宋体" w:cs="宋体"/>
          <w:spacing w:val="-9"/>
        </w:rPr>
        <w:t>环境影响评价文件、审批文件为基本要求，对项目的环境保护设施和措施进行核</w:t>
      </w:r>
      <w:r>
        <w:rPr>
          <w:rFonts w:hint="eastAsia" w:ascii="宋体" w:hAnsi="宋体" w:eastAsia="宋体" w:cs="宋体"/>
          <w:spacing w:val="-10"/>
        </w:rPr>
        <w:t>查，调查电站施工期和运行期的实际环境影响；充分利用己有资料、工程建设过</w:t>
      </w:r>
      <w:r>
        <w:rPr>
          <w:rFonts w:hint="eastAsia" w:ascii="宋体" w:hAnsi="宋体" w:eastAsia="宋体" w:cs="宋体"/>
        </w:rPr>
        <w:t>程回顾，现场调查、环境监测相结合的方法。</w:t>
      </w:r>
    </w:p>
    <w:p>
      <w:pPr>
        <w:pStyle w:val="2"/>
        <w:spacing w:before="9"/>
        <w:rPr>
          <w:sz w:val="18"/>
        </w:rPr>
      </w:pPr>
    </w:p>
    <w:p>
      <w:pPr>
        <w:pStyle w:val="4"/>
        <w:numPr>
          <w:ilvl w:val="1"/>
          <w:numId w:val="2"/>
        </w:numPr>
        <w:tabs>
          <w:tab w:val="left" w:pos="1220"/>
        </w:tabs>
        <w:spacing w:before="0" w:after="0" w:line="240" w:lineRule="auto"/>
        <w:ind w:left="1220" w:right="0" w:hanging="603"/>
        <w:jc w:val="left"/>
      </w:pPr>
      <w:bookmarkStart w:id="25" w:name="_bookmark5"/>
      <w:bookmarkEnd w:id="25"/>
      <w:bookmarkStart w:id="26" w:name="_bookmark5"/>
      <w:bookmarkEnd w:id="26"/>
      <w:bookmarkStart w:id="27" w:name="1.5调查范围"/>
      <w:bookmarkEnd w:id="27"/>
      <w:r>
        <w:t>调查范围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本次竣工环境保护验收调查范围与环境影响评价范围一致，主要为工程建设</w:t>
      </w:r>
      <w:r>
        <w:rPr>
          <w:rFonts w:hint="eastAsia" w:ascii="宋体" w:hAnsi="宋体" w:eastAsia="宋体" w:cs="宋体"/>
        </w:rPr>
        <w:t>及影响区域，同时结合建设变更、现场踏勘情况进行适当调整。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未启用的区</w:t>
      </w:r>
      <w:r>
        <w:rPr>
          <w:rFonts w:hint="eastAsia" w:ascii="宋体" w:hAnsi="宋体" w:eastAsia="宋体" w:cs="宋体"/>
        </w:rPr>
        <w:t>域不列入调查范围。本次竣工环保验收调查范围如下：</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陆生生态：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spacing w:val="-10"/>
        </w:rPr>
        <w:t>直接影响区：包括引水隧洞、厂区枢纽区、临时便道及永久公路、料场、堆</w:t>
      </w:r>
      <w:r>
        <w:rPr>
          <w:rFonts w:hint="eastAsia" w:ascii="宋体" w:hAnsi="宋体" w:eastAsia="宋体" w:cs="宋体"/>
        </w:rPr>
        <w:t>渣场、永久及临时营地、临时施工场地等区域；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2" w:firstLineChars="200"/>
        <w:jc w:val="left"/>
        <w:textAlignment w:val="auto"/>
        <w:rPr>
          <w:rFonts w:hint="eastAsia" w:ascii="宋体" w:hAnsi="宋体" w:eastAsia="宋体" w:cs="宋体"/>
        </w:rPr>
      </w:pPr>
      <w:r>
        <w:rPr>
          <w:rFonts w:hint="eastAsia" w:ascii="宋体" w:hAnsi="宋体" w:eastAsia="宋体" w:cs="宋体"/>
          <w:spacing w:val="-12"/>
          <w:lang w:eastAsia="zh-CN"/>
        </w:rPr>
        <w:t>（</w:t>
      </w:r>
      <w:r>
        <w:rPr>
          <w:rFonts w:hint="eastAsia" w:ascii="宋体" w:hAnsi="宋体" w:eastAsia="宋体" w:cs="宋体"/>
          <w:spacing w:val="-12"/>
          <w:lang w:val="en-US" w:eastAsia="zh-CN"/>
        </w:rPr>
        <w:t>2</w:t>
      </w:r>
      <w:r>
        <w:rPr>
          <w:rFonts w:hint="eastAsia" w:ascii="宋体" w:hAnsi="宋体" w:eastAsia="宋体" w:cs="宋体"/>
          <w:spacing w:val="-12"/>
          <w:lang w:eastAsia="zh-CN"/>
        </w:rPr>
        <w:t>）</w:t>
      </w:r>
      <w:r>
        <w:rPr>
          <w:rFonts w:hint="eastAsia" w:ascii="宋体" w:hAnsi="宋体" w:eastAsia="宋体" w:cs="宋体"/>
          <w:spacing w:val="-12"/>
        </w:rPr>
        <w:t>间接影响区：</w:t>
      </w:r>
      <w:r>
        <w:rPr>
          <w:rFonts w:hint="eastAsia" w:ascii="宋体" w:hAnsi="宋体" w:eastAsia="宋体" w:cs="宋体"/>
          <w:spacing w:val="-6"/>
        </w:rPr>
        <w:t>高程范围、施工区周围</w:t>
      </w:r>
      <w:r>
        <w:rPr>
          <w:rFonts w:hint="eastAsia" w:ascii="宋体" w:hAnsi="宋体" w:eastAsia="宋体" w:cs="宋体"/>
        </w:rPr>
        <w:t>200m</w:t>
      </w:r>
      <w:r>
        <w:rPr>
          <w:rFonts w:hint="eastAsia" w:ascii="宋体" w:hAnsi="宋体" w:eastAsia="宋体" w:cs="宋体"/>
          <w:spacing w:val="-6"/>
        </w:rPr>
        <w:t>范围、施工道路两侧</w:t>
      </w:r>
      <w:r>
        <w:rPr>
          <w:rFonts w:hint="eastAsia" w:ascii="宋体" w:hAnsi="宋体" w:eastAsia="宋体" w:cs="宋体"/>
        </w:rPr>
        <w:t>200m范围，拦水堰坝集雨面</w:t>
      </w:r>
      <w:r>
        <w:rPr>
          <w:rFonts w:hint="eastAsia" w:ascii="宋体" w:hAnsi="宋体" w:eastAsia="宋体" w:cs="宋体"/>
          <w:spacing w:val="-5"/>
        </w:rPr>
        <w:t>积的范围，以及拦水堰坝下游</w:t>
      </w:r>
      <w:r>
        <w:rPr>
          <w:rFonts w:hint="eastAsia" w:ascii="宋体" w:hAnsi="宋体" w:eastAsia="宋体" w:cs="宋体"/>
        </w:rPr>
        <w:t>500m河段和厂址下游河段的范围；</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3</w:t>
      </w:r>
      <w:r>
        <w:rPr>
          <w:rFonts w:hint="eastAsia" w:ascii="宋体" w:hAnsi="宋体" w:eastAsia="宋体" w:cs="宋体"/>
          <w:spacing w:val="-6"/>
          <w:sz w:val="24"/>
          <w:lang w:eastAsia="zh-CN"/>
        </w:rPr>
        <w:t>）</w:t>
      </w:r>
      <w:r>
        <w:rPr>
          <w:rFonts w:hint="eastAsia" w:ascii="宋体" w:hAnsi="宋体" w:eastAsia="宋体" w:cs="宋体"/>
          <w:spacing w:val="-6"/>
          <w:sz w:val="24"/>
        </w:rPr>
        <w:t>鱼类：拦水堰坝下游</w:t>
      </w:r>
      <w:r>
        <w:rPr>
          <w:rFonts w:hint="eastAsia" w:ascii="宋体" w:hAnsi="宋体" w:eastAsia="宋体" w:cs="宋体"/>
          <w:sz w:val="24"/>
        </w:rPr>
        <w:t>500m河段和厂址下游；</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6"/>
          <w:sz w:val="24"/>
          <w:lang w:eastAsia="zh-CN"/>
        </w:rPr>
        <w:t>（</w:t>
      </w:r>
      <w:r>
        <w:rPr>
          <w:rFonts w:hint="eastAsia" w:ascii="宋体" w:hAnsi="宋体" w:eastAsia="宋体" w:cs="宋体"/>
          <w:spacing w:val="-6"/>
          <w:sz w:val="24"/>
          <w:lang w:val="en-US" w:eastAsia="zh-CN"/>
        </w:rPr>
        <w:t>4</w:t>
      </w:r>
      <w:r>
        <w:rPr>
          <w:rFonts w:hint="eastAsia" w:ascii="宋体" w:hAnsi="宋体" w:eastAsia="宋体" w:cs="宋体"/>
          <w:spacing w:val="-6"/>
          <w:sz w:val="24"/>
          <w:lang w:eastAsia="zh-CN"/>
        </w:rPr>
        <w:t>）</w:t>
      </w:r>
      <w:r>
        <w:rPr>
          <w:rFonts w:hint="eastAsia" w:ascii="宋体" w:hAnsi="宋体" w:eastAsia="宋体" w:cs="宋体"/>
          <w:spacing w:val="-6"/>
          <w:sz w:val="24"/>
        </w:rPr>
        <w:t>水环境：拦水堰坝下游</w:t>
      </w:r>
      <w:r>
        <w:rPr>
          <w:rFonts w:hint="eastAsia" w:ascii="宋体" w:hAnsi="宋体" w:eastAsia="宋体" w:cs="宋体"/>
          <w:sz w:val="24"/>
        </w:rPr>
        <w:t>500m</w:t>
      </w:r>
      <w:r>
        <w:rPr>
          <w:rFonts w:hint="eastAsia" w:ascii="宋体" w:hAnsi="宋体" w:eastAsia="宋体" w:cs="宋体"/>
          <w:spacing w:val="-8"/>
          <w:sz w:val="24"/>
        </w:rPr>
        <w:t>河段和厂址下游</w:t>
      </w:r>
      <w:r>
        <w:rPr>
          <w:rFonts w:hint="eastAsia" w:ascii="宋体" w:hAnsi="宋体" w:eastAsia="宋体" w:cs="宋体"/>
          <w:sz w:val="24"/>
        </w:rPr>
        <w:t>1000m河段；</w:t>
      </w:r>
    </w:p>
    <w:p>
      <w:pPr>
        <w:pStyle w:val="18"/>
        <w:keepNext w:val="0"/>
        <w:keepLines w:val="0"/>
        <w:pageBreakBefore w:val="0"/>
        <w:widowControl w:val="0"/>
        <w:numPr>
          <w:ilvl w:val="0"/>
          <w:numId w:val="0"/>
        </w:numPr>
        <w:tabs>
          <w:tab w:val="left" w:pos="1701"/>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pacing w:val="-1"/>
          <w:sz w:val="24"/>
          <w:lang w:eastAsia="zh-CN"/>
        </w:rPr>
        <w:t>（</w:t>
      </w:r>
      <w:r>
        <w:rPr>
          <w:rFonts w:hint="eastAsia" w:ascii="宋体" w:hAnsi="宋体" w:eastAsia="宋体" w:cs="宋体"/>
          <w:spacing w:val="-1"/>
          <w:sz w:val="24"/>
          <w:lang w:val="en-US" w:eastAsia="zh-CN"/>
        </w:rPr>
        <w:t>5</w:t>
      </w:r>
      <w:r>
        <w:rPr>
          <w:rFonts w:hint="eastAsia" w:ascii="宋体" w:hAnsi="宋体" w:eastAsia="宋体" w:cs="宋体"/>
          <w:spacing w:val="-1"/>
          <w:sz w:val="24"/>
          <w:lang w:eastAsia="zh-CN"/>
        </w:rPr>
        <w:t>）</w:t>
      </w:r>
      <w:r>
        <w:rPr>
          <w:rFonts w:hint="eastAsia" w:ascii="宋体" w:hAnsi="宋体" w:eastAsia="宋体" w:cs="宋体"/>
          <w:spacing w:val="-1"/>
          <w:sz w:val="24"/>
        </w:rPr>
        <w:t xml:space="preserve">大气环境：电站枢纽建设区，公路建设区，及与工程相关的石料场， </w:t>
      </w:r>
      <w:r>
        <w:rPr>
          <w:rFonts w:hint="eastAsia" w:ascii="宋体" w:hAnsi="宋体" w:eastAsia="宋体" w:cs="宋体"/>
          <w:spacing w:val="-9"/>
          <w:sz w:val="24"/>
        </w:rPr>
        <w:t xml:space="preserve">生活区，施工临时、永久建筑物布设区等及外延 </w:t>
      </w:r>
      <w:r>
        <w:rPr>
          <w:rFonts w:hint="eastAsia" w:ascii="宋体" w:hAnsi="宋体" w:eastAsia="宋体" w:cs="宋体"/>
          <w:sz w:val="24"/>
        </w:rPr>
        <w:t>500m</w:t>
      </w:r>
      <w:r>
        <w:rPr>
          <w:rFonts w:hint="eastAsia" w:ascii="宋体" w:hAnsi="宋体" w:eastAsia="宋体" w:cs="宋体"/>
          <w:spacing w:val="-2"/>
          <w:sz w:val="24"/>
        </w:rPr>
        <w:t xml:space="preserve"> 范围及施工活动可能影响</w:t>
      </w:r>
      <w:r>
        <w:rPr>
          <w:rFonts w:hint="eastAsia" w:ascii="宋体" w:hAnsi="宋体" w:eastAsia="宋体" w:cs="宋体"/>
          <w:sz w:val="24"/>
        </w:rPr>
        <w:t>到的居民区；</w:t>
      </w:r>
    </w:p>
    <w:p>
      <w:pPr>
        <w:pStyle w:val="18"/>
        <w:keepNext w:val="0"/>
        <w:keepLines w:val="0"/>
        <w:pageBreakBefore w:val="0"/>
        <w:widowControl w:val="0"/>
        <w:numPr>
          <w:ilvl w:val="0"/>
          <w:numId w:val="0"/>
        </w:numPr>
        <w:tabs>
          <w:tab w:val="left" w:pos="1710"/>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声环境调查范围：施工区域、电站发电厂房周界、周围敏感点200m</w:t>
      </w:r>
      <w:r>
        <w:rPr>
          <w:rFonts w:hint="eastAsia" w:ascii="宋体" w:hAnsi="宋体" w:eastAsia="宋体" w:cs="宋体"/>
        </w:rPr>
        <w:t>范围内；</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7</w:t>
      </w:r>
      <w:r>
        <w:rPr>
          <w:rFonts w:hint="eastAsia" w:ascii="宋体" w:hAnsi="宋体" w:eastAsia="宋体" w:cs="宋体"/>
          <w:sz w:val="24"/>
          <w:lang w:eastAsia="zh-CN"/>
        </w:rPr>
        <w:t>）</w:t>
      </w:r>
      <w:r>
        <w:rPr>
          <w:rFonts w:hint="eastAsia" w:ascii="宋体" w:hAnsi="宋体" w:eastAsia="宋体" w:cs="宋体"/>
          <w:sz w:val="24"/>
        </w:rPr>
        <w:t>固体废弃物：弃渣场、施工场地、施工营地、办公生活区；</w:t>
      </w:r>
    </w:p>
    <w:p>
      <w:pPr>
        <w:pStyle w:val="18"/>
        <w:keepNext w:val="0"/>
        <w:keepLines w:val="0"/>
        <w:pageBreakBefore w:val="0"/>
        <w:widowControl w:val="0"/>
        <w:numPr>
          <w:ilvl w:val="0"/>
          <w:numId w:val="0"/>
        </w:numPr>
        <w:tabs>
          <w:tab w:val="left" w:pos="1699"/>
        </w:tabs>
        <w:kinsoku/>
        <w:wordWrap/>
        <w:overflowPunct/>
        <w:topLinePunct w:val="0"/>
        <w:autoSpaceDE w:val="0"/>
        <w:autoSpaceDN w:val="0"/>
        <w:bidi w:val="0"/>
        <w:adjustRightInd/>
        <w:snapToGrid/>
        <w:spacing w:before="0" w:after="0" w:line="360" w:lineRule="auto"/>
        <w:ind w:leftChars="200" w:right="0" w:rightChars="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8</w:t>
      </w:r>
      <w:r>
        <w:rPr>
          <w:rFonts w:hint="eastAsia" w:ascii="宋体" w:hAnsi="宋体" w:eastAsia="宋体" w:cs="宋体"/>
          <w:sz w:val="24"/>
          <w:lang w:eastAsia="zh-CN"/>
        </w:rPr>
        <w:t>）</w:t>
      </w:r>
      <w:r>
        <w:rPr>
          <w:rFonts w:hint="eastAsia" w:ascii="宋体" w:hAnsi="宋体" w:eastAsia="宋体" w:cs="宋体"/>
          <w:sz w:val="24"/>
        </w:rPr>
        <w:t>社会环境：工程涉及的</w:t>
      </w:r>
      <w:r>
        <w:rPr>
          <w:rFonts w:hint="eastAsia" w:ascii="宋体" w:hAnsi="宋体" w:eastAsia="宋体" w:cs="宋体"/>
          <w:sz w:val="24"/>
          <w:lang w:eastAsia="zh-CN"/>
        </w:rPr>
        <w:t>东固畲族</w:t>
      </w:r>
      <w:r>
        <w:rPr>
          <w:rFonts w:hint="eastAsia" w:ascii="宋体" w:hAnsi="宋体" w:eastAsia="宋体" w:cs="宋体"/>
          <w:sz w:val="24"/>
        </w:rPr>
        <w:t>乡。</w:t>
      </w:r>
    </w:p>
    <w:p>
      <w:pPr>
        <w:pStyle w:val="2"/>
        <w:spacing w:before="4"/>
        <w:rPr>
          <w:sz w:val="31"/>
        </w:rPr>
      </w:pPr>
    </w:p>
    <w:p>
      <w:pPr>
        <w:pStyle w:val="4"/>
        <w:numPr>
          <w:ilvl w:val="1"/>
          <w:numId w:val="2"/>
        </w:numPr>
        <w:tabs>
          <w:tab w:val="left" w:pos="1220"/>
        </w:tabs>
        <w:spacing w:before="1" w:after="0" w:line="240" w:lineRule="auto"/>
        <w:ind w:left="1220" w:right="0" w:hanging="603"/>
        <w:jc w:val="left"/>
      </w:pPr>
      <w:bookmarkStart w:id="28" w:name="_bookmark6"/>
      <w:bookmarkEnd w:id="28"/>
      <w:bookmarkStart w:id="29" w:name="_bookmark6"/>
      <w:bookmarkEnd w:id="29"/>
      <w:bookmarkStart w:id="30" w:name="1.6调查因子"/>
      <w:bookmarkEnd w:id="30"/>
      <w:r>
        <w:t>调查因子</w:t>
      </w:r>
    </w:p>
    <w:p>
      <w:pPr>
        <w:spacing w:after="0" w:line="240" w:lineRule="auto"/>
        <w:jc w:val="left"/>
        <w:sectPr>
          <w:pgSz w:w="11910" w:h="16840"/>
          <w:pgMar w:top="1380" w:right="1160" w:bottom="1180" w:left="1180" w:header="0" w:footer="991" w:gutter="0"/>
        </w:sectPr>
      </w:pPr>
    </w:p>
    <w:p>
      <w:pPr>
        <w:pStyle w:val="18"/>
        <w:keepNext w:val="0"/>
        <w:keepLines w:val="0"/>
        <w:pageBreakBefore w:val="0"/>
        <w:widowControl w:val="0"/>
        <w:numPr>
          <w:ilvl w:val="0"/>
          <w:numId w:val="0"/>
        </w:numPr>
        <w:tabs>
          <w:tab w:val="left" w:pos="167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生态环境：工程占地、水库淹没、植被淹没、植被及动植物、鱼类及保护、水土流失、植被恢复；</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position w:val="2"/>
          <w:sz w:val="24"/>
          <w:lang w:eastAsia="zh-CN"/>
        </w:rPr>
        <w:t>（</w:t>
      </w:r>
      <w:r>
        <w:rPr>
          <w:rFonts w:hint="eastAsia" w:ascii="宋体" w:hAnsi="宋体" w:eastAsia="宋体" w:cs="宋体"/>
          <w:position w:val="2"/>
          <w:sz w:val="24"/>
          <w:lang w:val="en-US" w:eastAsia="zh-CN"/>
        </w:rPr>
        <w:t>2</w:t>
      </w:r>
      <w:r>
        <w:rPr>
          <w:rFonts w:hint="eastAsia" w:ascii="宋体" w:hAnsi="宋体" w:eastAsia="宋体" w:cs="宋体"/>
          <w:position w:val="2"/>
          <w:sz w:val="24"/>
          <w:lang w:eastAsia="zh-CN"/>
        </w:rPr>
        <w:t>）</w:t>
      </w:r>
      <w:r>
        <w:rPr>
          <w:rFonts w:hint="eastAsia" w:ascii="宋体" w:hAnsi="宋体" w:eastAsia="宋体" w:cs="宋体"/>
          <w:position w:val="2"/>
          <w:sz w:val="24"/>
        </w:rPr>
        <w:t>水环境：废污水排放源，pH、SS、COD</w:t>
      </w:r>
      <w:r>
        <w:rPr>
          <w:rFonts w:hint="eastAsia" w:ascii="宋体" w:hAnsi="宋体" w:eastAsia="宋体" w:cs="宋体"/>
          <w:position w:val="2"/>
          <w:sz w:val="24"/>
          <w:vertAlign w:val="subscript"/>
        </w:rPr>
        <w:t>cr</w:t>
      </w:r>
      <w:r>
        <w:rPr>
          <w:rFonts w:hint="eastAsia" w:ascii="宋体" w:hAnsi="宋体" w:eastAsia="宋体" w:cs="宋体"/>
          <w:position w:val="2"/>
          <w:sz w:val="24"/>
          <w:vertAlign w:val="baseline"/>
        </w:rPr>
        <w:t>、NH</w:t>
      </w:r>
      <w:r>
        <w:rPr>
          <w:rFonts w:hint="eastAsia" w:ascii="宋体" w:hAnsi="宋体" w:eastAsia="宋体" w:cs="宋体"/>
          <w:position w:val="2"/>
          <w:sz w:val="24"/>
          <w:vertAlign w:val="subscript"/>
        </w:rPr>
        <w:t>3</w:t>
      </w:r>
      <w:r>
        <w:rPr>
          <w:rFonts w:hint="eastAsia" w:ascii="宋体" w:hAnsi="宋体" w:eastAsia="宋体" w:cs="宋体"/>
          <w:position w:val="2"/>
          <w:sz w:val="24"/>
          <w:vertAlign w:val="baseline"/>
        </w:rPr>
        <w:t>-N、石油类等项；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大气环境：居民投诉情况、大气污染源；</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声环境调查：昼、夜间等效声级值；</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固体废弃物：工程弃渣、生活垃圾、废机油、废变压器油；</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社会环境：工程占地及淹没补偿。</w:t>
      </w:r>
    </w:p>
    <w:p>
      <w:pPr>
        <w:pStyle w:val="2"/>
        <w:spacing w:before="4"/>
        <w:rPr>
          <w:sz w:val="31"/>
        </w:rPr>
      </w:pPr>
    </w:p>
    <w:p>
      <w:pPr>
        <w:pStyle w:val="4"/>
        <w:numPr>
          <w:ilvl w:val="1"/>
          <w:numId w:val="2"/>
        </w:numPr>
        <w:tabs>
          <w:tab w:val="left" w:pos="1220"/>
        </w:tabs>
        <w:spacing w:before="1" w:after="0" w:line="240" w:lineRule="auto"/>
        <w:ind w:left="1220" w:right="0" w:hanging="603"/>
        <w:jc w:val="left"/>
        <w:rPr>
          <w:rFonts w:hint="eastAsia" w:ascii="宋体" w:hAnsi="宋体" w:eastAsia="宋体" w:cs="宋体"/>
        </w:rPr>
      </w:pPr>
      <w:bookmarkStart w:id="31" w:name="_bookmark7"/>
      <w:bookmarkEnd w:id="31"/>
      <w:bookmarkStart w:id="32" w:name="1.7调查重点和环境保护目标"/>
      <w:bookmarkEnd w:id="32"/>
      <w:bookmarkStart w:id="33" w:name="_bookmark7"/>
      <w:bookmarkEnd w:id="33"/>
      <w:r>
        <w:rPr>
          <w:rFonts w:hint="eastAsia" w:ascii="宋体" w:hAnsi="宋体" w:eastAsia="宋体" w:cs="宋体"/>
          <w:w w:val="95"/>
        </w:rPr>
        <w:t>调查重点和环境保护目标</w:t>
      </w:r>
    </w:p>
    <w:p>
      <w:pPr>
        <w:pStyle w:val="18"/>
        <w:numPr>
          <w:ilvl w:val="2"/>
          <w:numId w:val="2"/>
        </w:numPr>
        <w:tabs>
          <w:tab w:val="left" w:pos="1316"/>
        </w:tabs>
        <w:spacing w:before="244" w:after="0" w:line="240" w:lineRule="auto"/>
        <w:ind w:left="1316" w:right="0" w:hanging="699"/>
        <w:jc w:val="left"/>
        <w:rPr>
          <w:rFonts w:hint="eastAsia" w:ascii="宋体" w:hAnsi="宋体" w:eastAsia="宋体" w:cs="宋体"/>
          <w:b/>
          <w:sz w:val="28"/>
        </w:rPr>
      </w:pPr>
      <w:bookmarkStart w:id="34" w:name="1.7.1调查重点"/>
      <w:bookmarkEnd w:id="34"/>
      <w:bookmarkStart w:id="35" w:name="1.7.1调查重点"/>
      <w:bookmarkEnd w:id="35"/>
      <w:r>
        <w:rPr>
          <w:rFonts w:hint="eastAsia" w:ascii="宋体" w:hAnsi="宋体" w:eastAsia="宋体" w:cs="宋体"/>
          <w:b/>
          <w:sz w:val="28"/>
        </w:rPr>
        <w:t>调查重点</w:t>
      </w:r>
    </w:p>
    <w:p>
      <w:pPr>
        <w:pStyle w:val="2"/>
        <w:spacing w:before="10"/>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工程组成、建设、占地、设计及其变更情况；环保措施“三同时”制度执行</w:t>
      </w:r>
      <w:r>
        <w:rPr>
          <w:rFonts w:hint="eastAsia" w:ascii="宋体" w:hAnsi="宋体" w:eastAsia="宋体" w:cs="宋体"/>
        </w:rPr>
        <w:t>情况；环保投资落实及其变化情况；电站试运行情况。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生态环境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工程占地、水库淹没及建设对区域植被、动植物、鱼类等的影响；水土保持</w:t>
      </w:r>
      <w:r>
        <w:rPr>
          <w:rFonts w:hint="eastAsia" w:ascii="宋体" w:hAnsi="宋体" w:eastAsia="宋体" w:cs="宋体"/>
        </w:rPr>
        <w:t>治理、生态恢复、鱼类保护措施落实情况。</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水环境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工程施工期和试运行期废、污水产生和排放情况，废、污水处理设施落实情</w:t>
      </w:r>
      <w:r>
        <w:rPr>
          <w:rFonts w:hint="eastAsia" w:ascii="宋体" w:hAnsi="宋体" w:eastAsia="宋体" w:cs="宋体"/>
          <w:spacing w:val="-10"/>
        </w:rPr>
        <w:t>况及处理效果；工程建设对开发河段地表水水质、水资源利用的影响及生态用水</w:t>
      </w:r>
      <w:r>
        <w:rPr>
          <w:rFonts w:hint="eastAsia" w:ascii="宋体" w:hAnsi="宋体" w:eastAsia="宋体" w:cs="宋体"/>
        </w:rPr>
        <w:t>的保障。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环境空气、声环境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工程施工期和试运行期对环境空气和声环境保护目标的影响，保护措施落实情况及效果。</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固体废弃物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工程施工期和试运行期弃土弃渣、生活垃圾处置措施落实情况及其效果、废机油的收处措施。</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6</w:t>
      </w:r>
      <w:r>
        <w:rPr>
          <w:rFonts w:hint="eastAsia" w:ascii="宋体" w:hAnsi="宋体" w:eastAsia="宋体" w:cs="宋体"/>
          <w:sz w:val="24"/>
          <w:lang w:eastAsia="zh-CN"/>
        </w:rPr>
        <w:t>）</w:t>
      </w:r>
      <w:r>
        <w:rPr>
          <w:rFonts w:hint="eastAsia" w:ascii="宋体" w:hAnsi="宋体" w:eastAsia="宋体" w:cs="宋体"/>
          <w:sz w:val="24"/>
        </w:rPr>
        <w:t>社会环境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生产安置、占地淹没补偿、水资源利用保障措施落实情况。</w:t>
      </w:r>
    </w:p>
    <w:p>
      <w:pPr>
        <w:pStyle w:val="2"/>
        <w:spacing w:before="10"/>
        <w:rPr>
          <w:sz w:val="21"/>
        </w:rPr>
      </w:pPr>
    </w:p>
    <w:p>
      <w:pPr>
        <w:pStyle w:val="18"/>
        <w:numPr>
          <w:ilvl w:val="2"/>
          <w:numId w:val="2"/>
        </w:numPr>
        <w:tabs>
          <w:tab w:val="left" w:pos="1316"/>
        </w:tabs>
        <w:spacing w:before="0" w:after="0" w:line="240" w:lineRule="auto"/>
        <w:ind w:left="1316" w:right="0" w:hanging="699"/>
        <w:jc w:val="left"/>
        <w:rPr>
          <w:rFonts w:hint="eastAsia" w:ascii="宋体" w:hAnsi="宋体" w:eastAsia="宋体" w:cs="宋体"/>
          <w:b/>
          <w:sz w:val="28"/>
        </w:rPr>
      </w:pPr>
      <w:bookmarkStart w:id="36" w:name="1.7.2环境保护目标"/>
      <w:bookmarkEnd w:id="36"/>
      <w:bookmarkStart w:id="37" w:name="1.7.2环境保护目标"/>
      <w:bookmarkEnd w:id="37"/>
      <w:r>
        <w:rPr>
          <w:rFonts w:hint="eastAsia" w:ascii="宋体" w:hAnsi="宋体" w:eastAsia="宋体" w:cs="宋体"/>
          <w:b/>
          <w:sz w:val="28"/>
        </w:rPr>
        <w:t>环境保护目标</w:t>
      </w:r>
    </w:p>
    <w:p>
      <w:pPr>
        <w:spacing w:after="0" w:line="240" w:lineRule="auto"/>
        <w:jc w:val="left"/>
        <w:rPr>
          <w:sz w:val="28"/>
        </w:rPr>
        <w:sectPr>
          <w:pgSz w:w="11910" w:h="16840"/>
          <w:pgMar w:top="1360" w:right="1160" w:bottom="1180" w:left="1180" w:header="0" w:footer="991" w:gutter="0"/>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8" w:firstLineChars="200"/>
        <w:jc w:val="left"/>
        <w:textAlignment w:val="auto"/>
        <w:rPr>
          <w:rFonts w:hint="eastAsia" w:ascii="宋体" w:hAnsi="宋体" w:eastAsia="宋体" w:cs="宋体"/>
        </w:rPr>
      </w:pPr>
      <w:r>
        <w:rPr>
          <w:rFonts w:hint="eastAsia" w:ascii="宋体" w:hAnsi="宋体" w:eastAsia="宋体" w:cs="宋体"/>
          <w:spacing w:val="-8"/>
        </w:rPr>
        <w:t>根据《</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sz w:val="24"/>
          <w:highlight w:val="none"/>
        </w:rPr>
        <w:t>环境影响报告书</w:t>
      </w:r>
      <w:r>
        <w:rPr>
          <w:rFonts w:hint="eastAsia" w:ascii="宋体" w:hAnsi="宋体" w:eastAsia="宋体" w:cs="宋体"/>
          <w:spacing w:val="-8"/>
        </w:rPr>
        <w:t>》，评价的保护对象主要为评</w:t>
      </w:r>
      <w:r>
        <w:rPr>
          <w:rFonts w:hint="eastAsia" w:ascii="宋体" w:hAnsi="宋体" w:eastAsia="宋体" w:cs="宋体"/>
          <w:spacing w:val="-6"/>
        </w:rPr>
        <w:t>价范围内的生态系统和附近自然村等居民点。施工期环境噪声以水电站周围居民</w:t>
      </w:r>
      <w:r>
        <w:rPr>
          <w:rFonts w:hint="eastAsia" w:ascii="宋体" w:hAnsi="宋体" w:eastAsia="宋体" w:cs="宋体"/>
          <w:spacing w:val="-9"/>
        </w:rPr>
        <w:t>点为主要保护目标。本次调查针对这些保护目标受影响的情况进行调查，详见表</w:t>
      </w:r>
      <w:r>
        <w:rPr>
          <w:rFonts w:hint="eastAsia" w:ascii="宋体" w:hAnsi="宋体" w:eastAsia="宋体" w:cs="宋体"/>
        </w:rPr>
        <w:t>1-</w:t>
      </w:r>
      <w:r>
        <w:rPr>
          <w:rFonts w:hint="eastAsia" w:ascii="宋体" w:hAnsi="宋体" w:eastAsia="宋体" w:cs="宋体"/>
          <w:spacing w:val="-25"/>
        </w:rPr>
        <w:t xml:space="preserve"> </w:t>
      </w:r>
      <w:r>
        <w:rPr>
          <w:rFonts w:hint="eastAsia" w:ascii="宋体" w:hAnsi="宋体" w:eastAsia="宋体" w:cs="宋体"/>
          <w:spacing w:val="4"/>
        </w:rPr>
        <w:t>2</w:t>
      </w:r>
      <w:r>
        <w:rPr>
          <w:rFonts w:hint="eastAsia" w:ascii="宋体" w:hAnsi="宋体" w:eastAsia="宋体" w:cs="宋体"/>
        </w:rPr>
        <w:t>。</w:t>
      </w:r>
    </w:p>
    <w:p>
      <w:pPr>
        <w:spacing w:before="0" w:line="265" w:lineRule="exact"/>
        <w:ind w:left="0" w:right="12" w:firstLine="0"/>
        <w:jc w:val="center"/>
        <w:rPr>
          <w:b/>
          <w:sz w:val="21"/>
        </w:rPr>
      </w:pPr>
      <w:r>
        <w:rPr>
          <w:b/>
          <w:sz w:val="21"/>
        </w:rPr>
        <w:t xml:space="preserve">表 </w:t>
      </w:r>
      <w:r>
        <w:rPr>
          <w:rFonts w:ascii="Times New Roman" w:eastAsia="Times New Roman"/>
          <w:b/>
          <w:sz w:val="21"/>
        </w:rPr>
        <w:t>1- 2</w:t>
      </w:r>
      <w:r>
        <w:rPr>
          <w:b/>
          <w:sz w:val="21"/>
        </w:rPr>
        <w:t>工程环境保护目标一览表</w:t>
      </w:r>
    </w:p>
    <w:p>
      <w:pPr>
        <w:pStyle w:val="2"/>
        <w:spacing w:before="11" w:after="1"/>
        <w:rPr>
          <w:b/>
          <w:sz w:val="10"/>
        </w:rPr>
      </w:pPr>
    </w:p>
    <w:tbl>
      <w:tblPr>
        <w:tblStyle w:val="13"/>
        <w:tblW w:w="9615" w:type="dxa"/>
        <w:tblInd w:w="-2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10"/>
        <w:gridCol w:w="750"/>
        <w:gridCol w:w="1605"/>
        <w:gridCol w:w="1335"/>
        <w:gridCol w:w="3075"/>
        <w:gridCol w:w="204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1560" w:type="dxa"/>
            <w:gridSpan w:val="2"/>
            <w:tcBorders>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环境要素</w:t>
            </w:r>
          </w:p>
        </w:tc>
        <w:tc>
          <w:tcPr>
            <w:tcW w:w="160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环评阶段保护目标</w:t>
            </w:r>
          </w:p>
        </w:tc>
        <w:tc>
          <w:tcPr>
            <w:tcW w:w="133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竣工验收保护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目标</w:t>
            </w:r>
          </w:p>
        </w:tc>
        <w:tc>
          <w:tcPr>
            <w:tcW w:w="3075" w:type="dxa"/>
            <w:tcBorders>
              <w:left w:val="single" w:color="000000" w:sz="6" w:space="0"/>
              <w:righ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保护等级、标准要求</w:t>
            </w:r>
          </w:p>
        </w:tc>
        <w:tc>
          <w:tcPr>
            <w:tcW w:w="2040" w:type="dxa"/>
            <w:tcBorders>
              <w:left w:val="single" w:color="000000" w:sz="6" w:space="0"/>
            </w:tcBorders>
            <w:shd w:val="clear" w:color="auto" w:fill="FFFFFF" w:themeFill="background1"/>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位置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b/>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水环境</w:t>
            </w: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东固水支流龙家塘水</w:t>
            </w:r>
          </w:p>
        </w:tc>
        <w:tc>
          <w:tcPr>
            <w:tcW w:w="133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GB3838-2002《地表水环境质量标准》Ⅲ类水质标准</w:t>
            </w:r>
          </w:p>
        </w:tc>
        <w:tc>
          <w:tcPr>
            <w:tcW w:w="204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拦水堰坝下游河</w:t>
            </w:r>
            <w:r>
              <w:rPr>
                <w:rFonts w:hint="eastAsia" w:ascii="宋体" w:hAnsi="宋体" w:eastAsia="宋体" w:cs="宋体"/>
                <w:spacing w:val="-8"/>
                <w:sz w:val="21"/>
              </w:rPr>
              <w:t>段、电站厂房厂址下游、坝前壅水区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1" w:hRule="atLeast"/>
        </w:trPr>
        <w:tc>
          <w:tcPr>
            <w:tcW w:w="1560" w:type="dxa"/>
            <w:gridSpan w:val="2"/>
            <w:vMerge w:val="continue"/>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pPr>
          </w:p>
        </w:tc>
        <w:tc>
          <w:tcPr>
            <w:tcW w:w="1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东固水</w:t>
            </w:r>
          </w:p>
        </w:tc>
        <w:tc>
          <w:tcPr>
            <w:tcW w:w="133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vMerge w:val="continue"/>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2040" w:type="dxa"/>
            <w:vMerge w:val="continue"/>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67" w:hRule="atLeast"/>
        </w:trPr>
        <w:tc>
          <w:tcPr>
            <w:tcW w:w="1560" w:type="dxa"/>
            <w:gridSpan w:val="2"/>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b/>
                <w:sz w:val="26"/>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生态环境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森林植被、陆生动植物</w:t>
            </w:r>
          </w:p>
        </w:tc>
        <w:tc>
          <w:tcPr>
            <w:tcW w:w="133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避免工程建设对区域生态造成影响</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电站工程陆生生态评价区域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水生</w:t>
            </w:r>
            <w:r>
              <w:rPr>
                <w:rFonts w:hint="eastAsia" w:ascii="宋体" w:hAnsi="宋体" w:eastAsia="宋体" w:cs="宋体"/>
                <w:sz w:val="21"/>
                <w:lang w:eastAsia="zh-CN"/>
              </w:rPr>
              <w:t>动</w:t>
            </w:r>
            <w:r>
              <w:rPr>
                <w:rFonts w:hint="eastAsia" w:ascii="宋体" w:hAnsi="宋体" w:eastAsia="宋体" w:cs="宋体"/>
                <w:sz w:val="21"/>
              </w:rPr>
              <w:t>植物，主要是鱼类</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电站工程水生生态评价区域</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1560" w:type="dxa"/>
            <w:gridSpan w:val="2"/>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水土保持</w:t>
            </w:r>
          </w:p>
        </w:tc>
        <w:tc>
          <w:tcPr>
            <w:tcW w:w="1335" w:type="dxa"/>
            <w:vMerge w:val="continue"/>
            <w:tcBorders>
              <w:top w:val="nil"/>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达到水土保持设施验收行政许可决定书的要求</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8"/>
                <w:sz w:val="21"/>
              </w:rPr>
              <w:t>施工区域、壅水淹</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没区及直接影响区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031" w:hRule="atLeast"/>
        </w:trPr>
        <w:tc>
          <w:tcPr>
            <w:tcW w:w="1560" w:type="dxa"/>
            <w:gridSpan w:val="2"/>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b/>
                <w:sz w:val="22"/>
              </w:rPr>
            </w:pPr>
            <w:bookmarkStart w:id="217" w:name="_GoBack" w:colFirst="2" w:colLast="2"/>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环境空气和声环境</w:t>
            </w:r>
          </w:p>
        </w:tc>
        <w:tc>
          <w:tcPr>
            <w:tcW w:w="1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color w:val="000000" w:themeColor="text1"/>
                <w:sz w:val="21"/>
                <w14:textFill>
                  <w14:solidFill>
                    <w14:schemeClr w14:val="tx1"/>
                  </w14:solidFill>
                </w14:textFill>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color w:val="000000" w:themeColor="text1"/>
                <w:sz w:val="21"/>
                <w14:textFill>
                  <w14:solidFill>
                    <w14:schemeClr w14:val="tx1"/>
                  </w14:solidFill>
                </w14:textFill>
              </w:rPr>
            </w:pPr>
            <w:r>
              <w:rPr>
                <w:rFonts w:hint="eastAsia" w:ascii="宋体" w:hAnsi="宋体" w:eastAsia="宋体" w:cs="宋体"/>
                <w:b w:val="0"/>
                <w:bCs w:val="0"/>
                <w:color w:val="000000" w:themeColor="text1"/>
                <w:sz w:val="21"/>
                <w:szCs w:val="21"/>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1"/>
                <w:szCs w:val="21"/>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1"/>
                <w:szCs w:val="21"/>
                <w14:textFill>
                  <w14:solidFill>
                    <w14:schemeClr w14:val="tx1"/>
                  </w14:solidFill>
                </w14:textFill>
              </w:rPr>
              <w:t>水电站</w:t>
            </w:r>
            <w:r>
              <w:rPr>
                <w:rFonts w:hint="eastAsia" w:ascii="宋体" w:hAnsi="宋体" w:eastAsia="宋体" w:cs="宋体"/>
                <w:color w:val="000000" w:themeColor="text1"/>
                <w:sz w:val="21"/>
                <w14:textFill>
                  <w14:solidFill>
                    <w14:schemeClr w14:val="tx1"/>
                  </w14:solidFill>
                </w14:textFill>
              </w:rPr>
              <w:t>及坝址周边居民点</w:t>
            </w:r>
          </w:p>
        </w:tc>
        <w:tc>
          <w:tcPr>
            <w:tcW w:w="133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GB3095-1996《环境空气环境质量标准》二级标准；GB12523-2011《建筑施工场界环境噪声排放标准》；GB3096-2008《声环境质量标准》1类</w:t>
            </w:r>
          </w:p>
        </w:tc>
        <w:tc>
          <w:tcPr>
            <w:tcW w:w="204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7"/>
                <w:sz w:val="21"/>
              </w:rPr>
              <w:t>首部施工区、引水隧洞施工区、厂房</w:t>
            </w:r>
            <w:r>
              <w:rPr>
                <w:rFonts w:hint="eastAsia" w:ascii="宋体" w:hAnsi="宋体" w:eastAsia="宋体" w:cs="宋体"/>
                <w:sz w:val="21"/>
              </w:rPr>
              <w:t>施工区及施工支洞洞口及石料场小型施工区</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b/>
                <w:sz w:val="22"/>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社会环境</w:t>
            </w: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人群</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健康</w:t>
            </w:r>
          </w:p>
        </w:tc>
        <w:tc>
          <w:tcPr>
            <w:tcW w:w="160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both"/>
              <w:textAlignment w:val="auto"/>
              <w:rPr>
                <w:rFonts w:hint="eastAsia" w:ascii="宋体" w:hAnsi="宋体" w:eastAsia="宋体" w:cs="宋体"/>
                <w:color w:val="000000" w:themeColor="text1"/>
                <w:sz w:val="21"/>
                <w14:textFill>
                  <w14:solidFill>
                    <w14:schemeClr w14:val="tx1"/>
                  </w14:solidFill>
                </w14:textFill>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color w:val="000000" w:themeColor="text1"/>
                <w:sz w:val="21"/>
                <w14:textFill>
                  <w14:solidFill>
                    <w14:schemeClr w14:val="tx1"/>
                  </w14:solidFill>
                </w14:textFill>
              </w:rPr>
            </w:pPr>
            <w:r>
              <w:rPr>
                <w:rFonts w:hint="eastAsia" w:ascii="宋体" w:hAnsi="宋体" w:eastAsia="宋体" w:cs="宋体"/>
                <w:b w:val="0"/>
                <w:bCs w:val="0"/>
                <w:color w:val="000000" w:themeColor="text1"/>
                <w:sz w:val="21"/>
                <w:szCs w:val="21"/>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1"/>
                <w:szCs w:val="21"/>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1"/>
                <w:szCs w:val="21"/>
                <w14:textFill>
                  <w14:solidFill>
                    <w14:schemeClr w14:val="tx1"/>
                  </w14:solidFill>
                </w14:textFill>
              </w:rPr>
              <w:t>水电站</w:t>
            </w:r>
            <w:r>
              <w:rPr>
                <w:rFonts w:hint="eastAsia" w:ascii="宋体" w:hAnsi="宋体" w:eastAsia="宋体" w:cs="宋体"/>
                <w:color w:val="000000" w:themeColor="text1"/>
                <w:sz w:val="21"/>
                <w14:textFill>
                  <w14:solidFill>
                    <w14:schemeClr w14:val="tx1"/>
                  </w14:solidFill>
                </w14:textFill>
              </w:rPr>
              <w:t>周边村庄</w:t>
            </w:r>
          </w:p>
        </w:tc>
        <w:tc>
          <w:tcPr>
            <w:tcW w:w="133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同环评阶段保护目标一致</w:t>
            </w:r>
          </w:p>
        </w:tc>
        <w:tc>
          <w:tcPr>
            <w:tcW w:w="307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保证施工人员身体健康，避</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免传染病发生和流行</w:t>
            </w:r>
          </w:p>
        </w:tc>
        <w:tc>
          <w:tcPr>
            <w:tcW w:w="2040" w:type="dxa"/>
            <w:vMerge w:val="restart"/>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z w:val="21"/>
              </w:rPr>
              <w:t>工程建设影响区</w:t>
            </w:r>
          </w:p>
        </w:tc>
      </w:tr>
      <w:bookmarkEnd w:id="217"/>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750"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生活</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质量</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p>
        </w:tc>
        <w:tc>
          <w:tcPr>
            <w:tcW w:w="3075" w:type="dxa"/>
            <w:vMerge w:val="restart"/>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r>
              <w:rPr>
                <w:rFonts w:hint="eastAsia" w:ascii="宋体" w:hAnsi="宋体" w:eastAsia="宋体" w:cs="宋体"/>
                <w:sz w:val="21"/>
                <w:szCs w:val="22"/>
                <w:lang w:val="zh-CN" w:eastAsia="zh-CN" w:bidi="zh-CN"/>
              </w:rPr>
              <w:t>按规定对耕地被占的居民给予经济补偿，不影响其正常生活，生活水平不低于受</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szCs w:val="22"/>
                <w:lang w:val="zh-CN" w:eastAsia="zh-CN" w:bidi="zh-CN"/>
              </w:rPr>
            </w:pPr>
            <w:r>
              <w:rPr>
                <w:rFonts w:hint="eastAsia" w:ascii="宋体" w:hAnsi="宋体" w:eastAsia="宋体" w:cs="宋体"/>
                <w:sz w:val="21"/>
                <w:szCs w:val="22"/>
                <w:lang w:val="zh-CN" w:eastAsia="zh-CN" w:bidi="zh-CN"/>
              </w:rPr>
              <w:t>影响前</w:t>
            </w: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7" w:hRule="atLeast"/>
        </w:trPr>
        <w:tc>
          <w:tcPr>
            <w:tcW w:w="810"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750"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社会</w:t>
            </w:r>
          </w:p>
          <w:p>
            <w:pPr>
              <w:pStyle w:val="19"/>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1"/>
              </w:rPr>
            </w:pPr>
            <w:r>
              <w:rPr>
                <w:rFonts w:hint="eastAsia" w:ascii="宋体" w:hAnsi="宋体" w:eastAsia="宋体" w:cs="宋体"/>
                <w:spacing w:val="-1"/>
                <w:w w:val="95"/>
                <w:sz w:val="21"/>
              </w:rPr>
              <w:t>经济</w:t>
            </w:r>
          </w:p>
        </w:tc>
        <w:tc>
          <w:tcPr>
            <w:tcW w:w="160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133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3075" w:type="dxa"/>
            <w:vMerge w:val="continue"/>
            <w:tcBorders>
              <w:top w:val="nil"/>
              <w:left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c>
          <w:tcPr>
            <w:tcW w:w="204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center"/>
              <w:textAlignment w:val="auto"/>
              <w:rPr>
                <w:rFonts w:hint="eastAsia" w:ascii="宋体" w:hAnsi="宋体" w:eastAsia="宋体" w:cs="宋体"/>
                <w:sz w:val="2"/>
                <w:szCs w:val="2"/>
              </w:rPr>
            </w:pPr>
          </w:p>
        </w:tc>
      </w:tr>
    </w:tbl>
    <w:p>
      <w:pPr>
        <w:pStyle w:val="2"/>
        <w:rPr>
          <w:b/>
          <w:sz w:val="19"/>
        </w:rPr>
      </w:pPr>
    </w:p>
    <w:p>
      <w:pPr>
        <w:pStyle w:val="4"/>
        <w:numPr>
          <w:ilvl w:val="1"/>
          <w:numId w:val="2"/>
        </w:numPr>
        <w:tabs>
          <w:tab w:val="left" w:pos="1220"/>
        </w:tabs>
        <w:spacing w:before="0" w:after="0" w:line="240" w:lineRule="auto"/>
        <w:ind w:left="1220" w:right="0" w:hanging="603"/>
        <w:jc w:val="left"/>
      </w:pPr>
      <w:bookmarkStart w:id="38" w:name="_bookmark8"/>
      <w:bookmarkEnd w:id="38"/>
      <w:bookmarkStart w:id="39" w:name="_bookmark8"/>
      <w:bookmarkEnd w:id="39"/>
      <w:bookmarkStart w:id="40" w:name="1.8验收标准"/>
      <w:bookmarkEnd w:id="40"/>
      <w:r>
        <w:t>验收标准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本次竣工环保验收调查执行环评报告书执行的环境质量标准和排放标准。同时，根据新颁布的环境标准进行校核。</w:t>
      </w:r>
    </w:p>
    <w:p>
      <w:pPr>
        <w:pStyle w:val="18"/>
        <w:numPr>
          <w:ilvl w:val="2"/>
          <w:numId w:val="2"/>
        </w:numPr>
        <w:tabs>
          <w:tab w:val="left" w:pos="1316"/>
        </w:tabs>
        <w:spacing w:before="125" w:after="0" w:line="240" w:lineRule="auto"/>
        <w:ind w:left="1316" w:right="0" w:hanging="699"/>
        <w:jc w:val="left"/>
        <w:rPr>
          <w:b/>
          <w:sz w:val="28"/>
        </w:rPr>
      </w:pPr>
      <w:bookmarkStart w:id="41" w:name="1.8.1环境质量标准"/>
      <w:bookmarkEnd w:id="41"/>
      <w:bookmarkStart w:id="42" w:name="1.8.1环境质量标准"/>
      <w:bookmarkEnd w:id="42"/>
      <w:r>
        <w:rPr>
          <w:b/>
          <w:sz w:val="28"/>
        </w:rPr>
        <w:t>环境质量标准</w:t>
      </w:r>
    </w:p>
    <w:p>
      <w:pPr>
        <w:pStyle w:val="2"/>
        <w:spacing w:before="11"/>
        <w:rPr>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环境空气质量标准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项目环境空气质量满足《环境空气质量标准》（GB3059-1996）二级标准； 参照《环境空气质量标准》（GB3059-2012）复核，具体见表 1- 3。</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sz w:val="24"/>
          <w:szCs w:val="24"/>
        </w:rPr>
      </w:pPr>
    </w:p>
    <w:p>
      <w:pPr>
        <w:tabs>
          <w:tab w:val="left" w:pos="2841"/>
        </w:tabs>
        <w:spacing w:before="62"/>
        <w:ind w:left="0" w:right="6" w:firstLine="0"/>
        <w:jc w:val="center"/>
        <w:rPr>
          <w:rFonts w:hint="eastAsia" w:ascii="宋体" w:hAnsi="宋体" w:eastAsia="宋体" w:cs="宋体"/>
          <w:b/>
          <w:sz w:val="13"/>
        </w:rPr>
      </w:pPr>
      <w:r>
        <w:rPr>
          <w:rFonts w:hint="eastAsia" w:ascii="宋体" w:hAnsi="宋体" w:eastAsia="宋体" w:cs="宋体"/>
          <w:b/>
          <w:sz w:val="21"/>
        </w:rPr>
        <w:t>表</w:t>
      </w:r>
      <w:r>
        <w:rPr>
          <w:rFonts w:hint="eastAsia" w:ascii="宋体" w:hAnsi="宋体" w:eastAsia="宋体" w:cs="宋体"/>
          <w:b/>
          <w:spacing w:val="-3"/>
          <w:sz w:val="21"/>
        </w:rPr>
        <w:t xml:space="preserve"> </w:t>
      </w:r>
      <w:r>
        <w:rPr>
          <w:rFonts w:hint="eastAsia" w:ascii="宋体" w:hAnsi="宋体" w:eastAsia="宋体" w:cs="宋体"/>
          <w:b/>
          <w:sz w:val="21"/>
        </w:rPr>
        <w:t>1-</w:t>
      </w:r>
      <w:r>
        <w:rPr>
          <w:rFonts w:hint="eastAsia" w:ascii="宋体" w:hAnsi="宋体" w:eastAsia="宋体" w:cs="宋体"/>
          <w:b/>
          <w:spacing w:val="-20"/>
          <w:sz w:val="21"/>
        </w:rPr>
        <w:t xml:space="preserve"> </w:t>
      </w:r>
      <w:r>
        <w:rPr>
          <w:rFonts w:hint="eastAsia" w:ascii="宋体" w:hAnsi="宋体" w:eastAsia="宋体" w:cs="宋体"/>
          <w:b/>
          <w:sz w:val="21"/>
        </w:rPr>
        <w:t>3环境空气质量标准</w:t>
      </w:r>
      <w:r>
        <w:rPr>
          <w:rFonts w:hint="eastAsia" w:ascii="宋体" w:hAnsi="宋体" w:eastAsia="宋体" w:cs="宋体"/>
          <w:b/>
          <w:sz w:val="21"/>
        </w:rPr>
        <w:tab/>
      </w:r>
      <w:r>
        <w:rPr>
          <w:rFonts w:hint="eastAsia" w:ascii="宋体" w:hAnsi="宋体" w:eastAsia="宋体" w:cs="宋体"/>
          <w:b/>
          <w:sz w:val="21"/>
        </w:rPr>
        <w:t>单位：μg/Nm</w:t>
      </w:r>
      <w:r>
        <w:rPr>
          <w:rFonts w:hint="eastAsia" w:ascii="宋体" w:hAnsi="宋体" w:eastAsia="宋体" w:cs="宋体"/>
          <w:b/>
          <w:position w:val="7"/>
          <w:sz w:val="13"/>
        </w:rPr>
        <w:t>3</w:t>
      </w:r>
    </w:p>
    <w:p>
      <w:pPr>
        <w:pStyle w:val="2"/>
        <w:rPr>
          <w:rFonts w:ascii="Times New Roman"/>
          <w:b/>
          <w:sz w:val="22"/>
        </w:rPr>
      </w:pPr>
    </w:p>
    <w:tbl>
      <w:tblPr>
        <w:tblStyle w:val="13"/>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788"/>
        <w:gridCol w:w="2786"/>
        <w:gridCol w:w="278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污染物名称</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取值时间</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b/>
                <w:color w:val="auto"/>
                <w:spacing w:val="0"/>
                <w:w w:val="100"/>
                <w:kern w:val="0"/>
                <w:position w:val="0"/>
              </w:rPr>
            </w:pPr>
            <w:r>
              <w:rPr>
                <w:rFonts w:ascii="Times New Roman" w:hAnsi="Times New Roman" w:cs="Times New Roman"/>
                <w:b/>
                <w:color w:val="auto"/>
                <w:spacing w:val="0"/>
                <w:w w:val="100"/>
                <w:kern w:val="0"/>
                <w:position w:val="0"/>
              </w:rPr>
              <w:t>标准限值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TSP</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PM2.5</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0.35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0.75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PM10</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SO2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NO2</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年平均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CO</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24小时平均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4"/>
                <w:szCs w:val="24"/>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restart"/>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O3</w:t>
            </w: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日最大8小时平均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0.16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788" w:type="dxa"/>
            <w:vMerge w:val="continue"/>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cs="Times New Roman"/>
                <w:color w:val="auto"/>
                <w:spacing w:val="0"/>
                <w:w w:val="100"/>
                <w:kern w:val="0"/>
                <w:position w:val="0"/>
                <w:sz w:val="2"/>
                <w:szCs w:val="2"/>
              </w:rPr>
            </w:pPr>
          </w:p>
        </w:tc>
        <w:tc>
          <w:tcPr>
            <w:tcW w:w="2786"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hint="eastAsia" w:ascii="宋体" w:hAnsi="宋体" w:eastAsia="宋体" w:cs="宋体"/>
                <w:color w:val="auto"/>
                <w:spacing w:val="0"/>
                <w:w w:val="100"/>
                <w:kern w:val="0"/>
                <w:position w:val="0"/>
              </w:rPr>
            </w:pPr>
            <w:r>
              <w:rPr>
                <w:rFonts w:hint="eastAsia" w:ascii="宋体" w:hAnsi="宋体" w:eastAsia="宋体" w:cs="宋体"/>
                <w:color w:val="auto"/>
                <w:spacing w:val="0"/>
                <w:w w:val="100"/>
                <w:kern w:val="0"/>
                <w:position w:val="0"/>
              </w:rPr>
              <w:t>1小时平均</w:t>
            </w:r>
          </w:p>
        </w:tc>
        <w:tc>
          <w:tcPr>
            <w:tcW w:w="2788" w:type="dxa"/>
            <w:tcBorders>
              <w:tl2br w:val="nil"/>
              <w:tr2bl w:val="nil"/>
            </w:tcBorders>
            <w:noWrap w:val="0"/>
            <w:vAlign w:val="center"/>
          </w:tcPr>
          <w:p>
            <w:pPr>
              <w:pageBreakBefore w:val="0"/>
              <w:kinsoku/>
              <w:wordWrap/>
              <w:overflowPunct/>
              <w:topLinePunct w:val="0"/>
              <w:autoSpaceDE/>
              <w:autoSpaceDN/>
              <w:bidi w:val="0"/>
              <w:adjustRightInd/>
              <w:snapToGrid/>
              <w:jc w:val="center"/>
              <w:rPr>
                <w:rFonts w:ascii="Times New Roman" w:hAnsi="Times New Roman" w:eastAsia="Times New Roman" w:cs="Times New Roman"/>
                <w:color w:val="auto"/>
                <w:spacing w:val="0"/>
                <w:w w:val="100"/>
                <w:kern w:val="0"/>
                <w:position w:val="0"/>
                <w:sz w:val="24"/>
                <w:szCs w:val="24"/>
              </w:rPr>
            </w:pPr>
            <w:r>
              <w:rPr>
                <w:rFonts w:ascii="Times New Roman" w:hAnsi="Times New Roman" w:eastAsia="Times New Roman" w:cs="Times New Roman"/>
                <w:color w:val="auto"/>
                <w:spacing w:val="0"/>
                <w:w w:val="100"/>
                <w:kern w:val="0"/>
                <w:position w:val="0"/>
                <w:sz w:val="24"/>
                <w:szCs w:val="24"/>
              </w:rPr>
              <w:t>0.2</w:t>
            </w:r>
          </w:p>
        </w:tc>
      </w:tr>
    </w:tbl>
    <w:p>
      <w:pPr>
        <w:pStyle w:val="2"/>
        <w:rPr>
          <w:sz w:val="20"/>
        </w:rPr>
      </w:pPr>
    </w:p>
    <w:p>
      <w:pPr>
        <w:pStyle w:val="2"/>
        <w:spacing w:before="7"/>
        <w:rPr>
          <w:sz w:val="22"/>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水环境质量标准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项目附近地表水执行《地表水环境质量标准》（GB3838-2002）Ⅲ类水质标准，详见表 1- 4。</w:t>
      </w:r>
    </w:p>
    <w:p>
      <w:pPr>
        <w:tabs>
          <w:tab w:val="left" w:pos="4795"/>
        </w:tabs>
        <w:spacing w:before="0" w:line="267" w:lineRule="exact"/>
        <w:ind w:left="0" w:right="3" w:firstLine="0"/>
        <w:jc w:val="center"/>
        <w:rPr>
          <w:rFonts w:hint="eastAsia" w:ascii="宋体" w:hAnsi="宋体" w:eastAsia="宋体" w:cs="宋体"/>
          <w:b/>
          <w:sz w:val="21"/>
          <w:szCs w:val="22"/>
        </w:rPr>
      </w:pPr>
      <w:r>
        <w:rPr>
          <w:rFonts w:hint="eastAsia" w:ascii="宋体" w:hAnsi="宋体" w:eastAsia="宋体" w:cs="宋体"/>
          <w:b/>
          <w:sz w:val="21"/>
          <w:szCs w:val="22"/>
        </w:rPr>
        <w:t>表</w:t>
      </w:r>
      <w:r>
        <w:rPr>
          <w:rFonts w:hint="eastAsia" w:ascii="宋体" w:hAnsi="宋体" w:eastAsia="宋体" w:cs="宋体"/>
          <w:b/>
          <w:spacing w:val="-5"/>
          <w:sz w:val="21"/>
          <w:szCs w:val="22"/>
        </w:rPr>
        <w:t xml:space="preserve"> </w:t>
      </w:r>
      <w:r>
        <w:rPr>
          <w:rFonts w:hint="eastAsia" w:ascii="宋体" w:hAnsi="宋体" w:eastAsia="宋体" w:cs="宋体"/>
          <w:b/>
          <w:sz w:val="21"/>
          <w:szCs w:val="22"/>
        </w:rPr>
        <w:t>1-</w:t>
      </w:r>
      <w:r>
        <w:rPr>
          <w:rFonts w:hint="eastAsia" w:ascii="宋体" w:hAnsi="宋体" w:eastAsia="宋体" w:cs="宋体"/>
          <w:b/>
          <w:spacing w:val="-18"/>
          <w:sz w:val="21"/>
          <w:szCs w:val="22"/>
        </w:rPr>
        <w:t xml:space="preserve"> </w:t>
      </w:r>
      <w:r>
        <w:rPr>
          <w:rFonts w:hint="eastAsia" w:ascii="宋体" w:hAnsi="宋体" w:eastAsia="宋体" w:cs="宋体"/>
          <w:b/>
          <w:sz w:val="21"/>
          <w:szCs w:val="22"/>
        </w:rPr>
        <w:t>4《地表水环境质量标准》（GB3838-2002）</w:t>
      </w:r>
      <w:r>
        <w:rPr>
          <w:rFonts w:hint="eastAsia" w:ascii="宋体" w:hAnsi="宋体" w:eastAsia="宋体" w:cs="宋体"/>
          <w:b/>
          <w:sz w:val="21"/>
          <w:szCs w:val="22"/>
        </w:rPr>
        <w:tab/>
      </w:r>
      <w:r>
        <w:rPr>
          <w:rFonts w:hint="eastAsia" w:ascii="宋体" w:hAnsi="宋体" w:eastAsia="宋体" w:cs="宋体"/>
          <w:b/>
          <w:sz w:val="21"/>
          <w:szCs w:val="22"/>
        </w:rPr>
        <w:t>单位：除pH外，mg/L</w:t>
      </w:r>
    </w:p>
    <w:p>
      <w:pPr>
        <w:pStyle w:val="2"/>
        <w:spacing w:before="1" w:after="1"/>
        <w:rPr>
          <w:rFonts w:ascii="Times New Roman"/>
          <w:b/>
          <w:sz w:val="12"/>
        </w:rPr>
      </w:pPr>
    </w:p>
    <w:tbl>
      <w:tblPr>
        <w:tblStyle w:val="13"/>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435"/>
        <w:gridCol w:w="3218"/>
        <w:gridCol w:w="1845"/>
        <w:gridCol w:w="184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right w:val="single" w:color="000000" w:sz="6" w:space="0"/>
            </w:tcBorders>
            <w:shd w:val="clear" w:color="auto" w:fill="FFFFFF" w:themeFill="background1"/>
          </w:tcPr>
          <w:p>
            <w:pPr>
              <w:pStyle w:val="19"/>
              <w:spacing w:before="63"/>
              <w:ind w:left="488" w:right="464"/>
              <w:jc w:val="center"/>
              <w:rPr>
                <w:sz w:val="21"/>
              </w:rPr>
            </w:pPr>
            <w:r>
              <w:rPr>
                <w:sz w:val="21"/>
              </w:rPr>
              <w:t>序号</w:t>
            </w:r>
          </w:p>
        </w:tc>
        <w:tc>
          <w:tcPr>
            <w:tcW w:w="5063" w:type="dxa"/>
            <w:gridSpan w:val="2"/>
            <w:tcBorders>
              <w:left w:val="single" w:color="000000" w:sz="6" w:space="0"/>
              <w:right w:val="single" w:color="000000" w:sz="6" w:space="0"/>
            </w:tcBorders>
            <w:shd w:val="clear" w:color="auto" w:fill="FFFFFF" w:themeFill="background1"/>
          </w:tcPr>
          <w:p>
            <w:pPr>
              <w:pStyle w:val="19"/>
              <w:spacing w:before="63"/>
              <w:ind w:left="2253" w:right="2230"/>
              <w:jc w:val="center"/>
              <w:rPr>
                <w:sz w:val="21"/>
              </w:rPr>
            </w:pPr>
            <w:r>
              <w:rPr>
                <w:sz w:val="21"/>
              </w:rPr>
              <w:t>项目</w:t>
            </w:r>
          </w:p>
        </w:tc>
        <w:tc>
          <w:tcPr>
            <w:tcW w:w="1844" w:type="dxa"/>
            <w:tcBorders>
              <w:left w:val="single" w:color="000000" w:sz="6" w:space="0"/>
            </w:tcBorders>
            <w:shd w:val="clear" w:color="auto" w:fill="FFFFFF" w:themeFill="background1"/>
          </w:tcPr>
          <w:p>
            <w:pPr>
              <w:pStyle w:val="19"/>
              <w:spacing w:before="63"/>
              <w:ind w:left="26"/>
              <w:jc w:val="center"/>
              <w:rPr>
                <w:sz w:val="21"/>
              </w:rPr>
            </w:pPr>
            <w:r>
              <w:rPr>
                <w:sz w:val="21"/>
              </w:rPr>
              <w:t>Ⅲ类标准值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1</w:t>
            </w:r>
          </w:p>
        </w:tc>
        <w:tc>
          <w:tcPr>
            <w:tcW w:w="5063" w:type="dxa"/>
            <w:gridSpan w:val="2"/>
            <w:tcBorders>
              <w:left w:val="single" w:color="000000" w:sz="6" w:space="0"/>
              <w:bottom w:val="single" w:color="000000" w:sz="6" w:space="0"/>
              <w:right w:val="single" w:color="000000" w:sz="6" w:space="0"/>
            </w:tcBorders>
          </w:tcPr>
          <w:p>
            <w:pPr>
              <w:pStyle w:val="19"/>
              <w:spacing w:before="61"/>
              <w:ind w:left="2258" w:right="2230"/>
              <w:jc w:val="center"/>
              <w:rPr>
                <w:sz w:val="21"/>
              </w:rPr>
            </w:pPr>
            <w:r>
              <w:rPr>
                <w:rFonts w:ascii="Times New Roman" w:eastAsia="Times New Roman"/>
                <w:sz w:val="21"/>
              </w:rPr>
              <w:t xml:space="preserve">pH </w:t>
            </w:r>
            <w:r>
              <w:rPr>
                <w:sz w:val="21"/>
              </w:rPr>
              <w:t>值</w:t>
            </w:r>
          </w:p>
        </w:tc>
        <w:tc>
          <w:tcPr>
            <w:tcW w:w="1844" w:type="dxa"/>
            <w:tcBorders>
              <w:left w:val="single" w:color="000000" w:sz="6" w:space="0"/>
              <w:bottom w:val="single" w:color="000000" w:sz="6" w:space="0"/>
            </w:tcBorders>
          </w:tcPr>
          <w:p>
            <w:pPr>
              <w:pStyle w:val="19"/>
              <w:spacing w:before="61"/>
              <w:ind w:left="27"/>
              <w:jc w:val="center"/>
              <w:rPr>
                <w:rFonts w:ascii="Times New Roman" w:eastAsia="Times New Roman"/>
                <w:sz w:val="21"/>
              </w:rPr>
            </w:pPr>
            <w:r>
              <w:rPr>
                <w:rFonts w:ascii="Times New Roman" w:eastAsia="Times New Roman"/>
                <w:sz w:val="21"/>
              </w:rPr>
              <w:t>6</w:t>
            </w:r>
            <w:r>
              <w:rPr>
                <w:sz w:val="21"/>
              </w:rPr>
              <w:t>～</w:t>
            </w:r>
            <w:r>
              <w:rPr>
                <w:rFonts w:ascii="Times New Roman" w:eastAsia="Times New Roman"/>
                <w:sz w:val="21"/>
              </w:rPr>
              <w:t>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2</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溶解氧</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3</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87" w:right="363"/>
              <w:jc w:val="center"/>
              <w:rPr>
                <w:rFonts w:hint="eastAsia" w:ascii="宋体" w:hAnsi="宋体" w:eastAsia="宋体" w:cs="宋体"/>
                <w:sz w:val="21"/>
              </w:rPr>
            </w:pPr>
            <w:r>
              <w:rPr>
                <w:rFonts w:hint="eastAsia" w:ascii="宋体" w:hAnsi="宋体" w:eastAsia="宋体" w:cs="宋体"/>
                <w:sz w:val="21"/>
              </w:rPr>
              <w:t>高锰酸盐指数</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4</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90" w:right="363"/>
              <w:jc w:val="center"/>
              <w:rPr>
                <w:rFonts w:hint="eastAsia" w:ascii="宋体" w:hAnsi="宋体" w:eastAsia="宋体" w:cs="宋体"/>
                <w:sz w:val="21"/>
              </w:rPr>
            </w:pPr>
            <w:r>
              <w:rPr>
                <w:rFonts w:hint="eastAsia" w:ascii="宋体" w:hAnsi="宋体" w:eastAsia="宋体" w:cs="宋体"/>
                <w:sz w:val="21"/>
              </w:rPr>
              <w:t>化学需氧量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5"/>
              <w:ind w:left="29"/>
              <w:jc w:val="center"/>
              <w:rPr>
                <w:rFonts w:hint="default" w:ascii="Times New Roman" w:hAnsi="Times New Roman" w:cs="Times New Roman"/>
                <w:sz w:val="21"/>
              </w:rPr>
            </w:pPr>
            <w:r>
              <w:rPr>
                <w:rFonts w:hint="default" w:ascii="Times New Roman" w:hAnsi="Times New Roman" w:cs="Times New Roman"/>
                <w:sz w:val="21"/>
              </w:rPr>
              <w:t>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5</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五日生化需氧量</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4"/>
              <w:jc w:val="center"/>
              <w:rPr>
                <w:rFonts w:hint="default" w:ascii="Times New Roman" w:hAnsi="Times New Roman" w:cs="Times New Roman"/>
                <w:sz w:val="21"/>
              </w:rPr>
            </w:pPr>
            <w:r>
              <w:rPr>
                <w:rFonts w:hint="default" w:ascii="Times New Roman" w:hAnsi="Times New Roman" w:cs="Times New Roman"/>
                <w:w w:val="99"/>
                <w:sz w:val="21"/>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6</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59"/>
              <w:ind w:left="390" w:right="359"/>
              <w:jc w:val="center"/>
              <w:rPr>
                <w:rFonts w:hint="eastAsia" w:ascii="宋体" w:hAnsi="宋体" w:eastAsia="宋体" w:cs="宋体"/>
                <w:sz w:val="21"/>
              </w:rPr>
            </w:pPr>
            <w:r>
              <w:rPr>
                <w:rFonts w:hint="eastAsia" w:ascii="宋体" w:hAnsi="宋体" w:eastAsia="宋体" w:cs="宋体"/>
                <w:position w:val="2"/>
                <w:sz w:val="21"/>
              </w:rPr>
              <w:t>氨氮(NH</w:t>
            </w:r>
            <w:r>
              <w:rPr>
                <w:rFonts w:hint="eastAsia" w:ascii="宋体" w:hAnsi="宋体" w:eastAsia="宋体" w:cs="宋体"/>
                <w:position w:val="2"/>
                <w:sz w:val="21"/>
                <w:vertAlign w:val="subscript"/>
              </w:rPr>
              <w:t>3</w:t>
            </w:r>
            <w:r>
              <w:rPr>
                <w:rFonts w:hint="eastAsia" w:ascii="宋体" w:hAnsi="宋体" w:eastAsia="宋体" w:cs="宋体"/>
                <w:position w:val="2"/>
                <w:sz w:val="21"/>
                <w:vertAlign w:val="baseline"/>
              </w:rPr>
              <w:t>-N)</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5"/>
              <w:ind w:left="27"/>
              <w:jc w:val="center"/>
              <w:rPr>
                <w:rFonts w:ascii="Times New Roman"/>
                <w:sz w:val="21"/>
              </w:rPr>
            </w:pPr>
            <w:r>
              <w:rPr>
                <w:rFonts w:ascii="Times New Roman"/>
                <w:w w:val="99"/>
                <w:sz w:val="21"/>
              </w:rPr>
              <w:t>7</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1"/>
              <w:ind w:left="387" w:right="363"/>
              <w:jc w:val="center"/>
              <w:rPr>
                <w:rFonts w:hint="eastAsia" w:ascii="宋体" w:hAnsi="宋体" w:eastAsia="宋体" w:cs="宋体"/>
                <w:sz w:val="21"/>
              </w:rPr>
            </w:pPr>
            <w:r>
              <w:rPr>
                <w:rFonts w:hint="eastAsia" w:ascii="宋体" w:hAnsi="宋体" w:eastAsia="宋体" w:cs="宋体"/>
                <w:sz w:val="21"/>
              </w:rPr>
              <w:t>总磷（以 P 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5"/>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61"/>
              <w:ind w:left="28"/>
              <w:jc w:val="center"/>
              <w:rPr>
                <w:rFonts w:hint="default" w:ascii="Times New Roman" w:hAnsi="Times New Roman" w:cs="Times New Roman"/>
                <w:sz w:val="21"/>
              </w:rPr>
            </w:pPr>
            <w:r>
              <w:rPr>
                <w:rFonts w:hint="default" w:ascii="Times New Roman" w:hAnsi="Times New Roman" w:eastAsia="Times New Roman" w:cs="Times New Roman"/>
                <w:sz w:val="21"/>
              </w:rPr>
              <w:t>0.2</w:t>
            </w:r>
            <w:r>
              <w:rPr>
                <w:rFonts w:hint="default" w:ascii="Times New Roman" w:hAnsi="Times New Roman" w:cs="Times New Roman"/>
                <w:sz w:val="21"/>
              </w:rPr>
              <w:t xml:space="preserve">（湖、库 </w:t>
            </w:r>
            <w:r>
              <w:rPr>
                <w:rFonts w:hint="default" w:ascii="Times New Roman" w:hAnsi="Times New Roman" w:eastAsia="Times New Roman" w:cs="Times New Roman"/>
                <w:sz w:val="21"/>
              </w:rPr>
              <w:t>0.05</w:t>
            </w:r>
            <w:r>
              <w:rPr>
                <w:rFonts w:hint="default" w:ascii="Times New Roman" w:hAnsi="Times New Roman" w:cs="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8</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3"/>
              <w:jc w:val="center"/>
              <w:rPr>
                <w:rFonts w:hint="eastAsia" w:ascii="宋体" w:hAnsi="宋体" w:eastAsia="宋体" w:cs="宋体"/>
                <w:sz w:val="21"/>
              </w:rPr>
            </w:pPr>
            <w:r>
              <w:rPr>
                <w:rFonts w:hint="eastAsia" w:ascii="宋体" w:hAnsi="宋体" w:eastAsia="宋体" w:cs="宋体"/>
                <w:sz w:val="21"/>
              </w:rPr>
              <w:t>总氮（湖、库，以 N 计）</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bottom w:val="single" w:color="000000" w:sz="6" w:space="0"/>
              <w:right w:val="single" w:color="000000" w:sz="6" w:space="0"/>
            </w:tcBorders>
          </w:tcPr>
          <w:p>
            <w:pPr>
              <w:pStyle w:val="19"/>
              <w:spacing w:before="76"/>
              <w:ind w:left="27"/>
              <w:jc w:val="center"/>
              <w:rPr>
                <w:rFonts w:ascii="Times New Roman"/>
                <w:sz w:val="21"/>
              </w:rPr>
            </w:pPr>
            <w:r>
              <w:rPr>
                <w:rFonts w:ascii="Times New Roman"/>
                <w:w w:val="99"/>
                <w:sz w:val="21"/>
              </w:rPr>
              <w:t>9</w:t>
            </w:r>
          </w:p>
        </w:tc>
        <w:tc>
          <w:tcPr>
            <w:tcW w:w="3218" w:type="dxa"/>
            <w:tcBorders>
              <w:top w:val="single" w:color="000000" w:sz="6" w:space="0"/>
              <w:left w:val="single" w:color="000000" w:sz="6" w:space="0"/>
              <w:bottom w:val="single" w:color="000000" w:sz="6" w:space="0"/>
              <w:right w:val="single" w:color="000000" w:sz="6" w:space="0"/>
            </w:tcBorders>
          </w:tcPr>
          <w:p>
            <w:pPr>
              <w:pStyle w:val="19"/>
              <w:spacing w:before="62"/>
              <w:ind w:left="390" w:right="361"/>
              <w:jc w:val="center"/>
              <w:rPr>
                <w:rFonts w:hint="eastAsia" w:ascii="宋体" w:hAnsi="宋体" w:eastAsia="宋体" w:cs="宋体"/>
                <w:sz w:val="21"/>
              </w:rPr>
            </w:pPr>
            <w:r>
              <w:rPr>
                <w:rFonts w:hint="eastAsia" w:ascii="宋体" w:hAnsi="宋体" w:eastAsia="宋体" w:cs="宋体"/>
                <w:sz w:val="21"/>
              </w:rPr>
              <w:t>石油类</w:t>
            </w:r>
          </w:p>
        </w:tc>
        <w:tc>
          <w:tcPr>
            <w:tcW w:w="1845" w:type="dxa"/>
            <w:tcBorders>
              <w:top w:val="single" w:color="000000" w:sz="6" w:space="0"/>
              <w:left w:val="single" w:color="000000" w:sz="6" w:space="0"/>
              <w:bottom w:val="single" w:color="000000" w:sz="6" w:space="0"/>
              <w:right w:val="single" w:color="000000" w:sz="6" w:space="0"/>
            </w:tcBorders>
          </w:tcPr>
          <w:p>
            <w:pPr>
              <w:pStyle w:val="19"/>
              <w:spacing w:before="76"/>
              <w:ind w:left="30"/>
              <w:jc w:val="center"/>
              <w:rPr>
                <w:rFonts w:hint="default" w:ascii="Times New Roman" w:hAnsi="Times New Roman" w:cs="Times New Roman"/>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bottom w:val="single" w:color="000000" w:sz="6" w:space="0"/>
            </w:tcBorders>
          </w:tcPr>
          <w:p>
            <w:pPr>
              <w:pStyle w:val="19"/>
              <w:spacing w:before="76"/>
              <w:ind w:left="29"/>
              <w:jc w:val="center"/>
              <w:rPr>
                <w:rFonts w:hint="default" w:ascii="Times New Roman" w:hAnsi="Times New Roman" w:cs="Times New Roman"/>
                <w:sz w:val="21"/>
              </w:rPr>
            </w:pPr>
            <w:r>
              <w:rPr>
                <w:rFonts w:hint="default" w:ascii="Times New Roman" w:hAnsi="Times New Roman" w:cs="Times New Roman"/>
                <w:sz w:val="21"/>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1435" w:type="dxa"/>
            <w:tcBorders>
              <w:top w:val="single" w:color="000000" w:sz="6" w:space="0"/>
              <w:right w:val="single" w:color="000000" w:sz="6" w:space="0"/>
            </w:tcBorders>
          </w:tcPr>
          <w:p>
            <w:pPr>
              <w:pStyle w:val="19"/>
              <w:spacing w:before="76"/>
              <w:ind w:left="27"/>
              <w:jc w:val="center"/>
              <w:rPr>
                <w:rFonts w:hint="default" w:ascii="Times New Roman" w:eastAsia="仿宋"/>
                <w:w w:val="99"/>
                <w:sz w:val="21"/>
                <w:lang w:val="en-US" w:eastAsia="zh-CN"/>
              </w:rPr>
            </w:pPr>
            <w:r>
              <w:rPr>
                <w:rFonts w:hint="eastAsia" w:ascii="Times New Roman"/>
                <w:w w:val="99"/>
                <w:sz w:val="21"/>
                <w:lang w:val="en-US" w:eastAsia="zh-CN"/>
              </w:rPr>
              <w:t>10</w:t>
            </w:r>
          </w:p>
        </w:tc>
        <w:tc>
          <w:tcPr>
            <w:tcW w:w="3218" w:type="dxa"/>
            <w:tcBorders>
              <w:top w:val="single" w:color="000000" w:sz="6" w:space="0"/>
              <w:left w:val="single" w:color="000000" w:sz="6" w:space="0"/>
              <w:right w:val="single" w:color="000000" w:sz="6" w:space="0"/>
            </w:tcBorders>
          </w:tcPr>
          <w:p>
            <w:pPr>
              <w:pStyle w:val="19"/>
              <w:spacing w:before="62"/>
              <w:ind w:left="390" w:right="361"/>
              <w:jc w:val="center"/>
              <w:rPr>
                <w:rFonts w:hint="eastAsia" w:ascii="宋体" w:hAnsi="宋体" w:eastAsia="宋体" w:cs="宋体"/>
                <w:sz w:val="21"/>
                <w:lang w:eastAsia="zh-CN"/>
              </w:rPr>
            </w:pPr>
            <w:r>
              <w:rPr>
                <w:rFonts w:hint="eastAsia" w:ascii="宋体" w:hAnsi="宋体" w:eastAsia="宋体" w:cs="宋体"/>
                <w:sz w:val="21"/>
                <w:lang w:eastAsia="zh-CN"/>
              </w:rPr>
              <w:t>悬浮物（</w:t>
            </w:r>
            <w:r>
              <w:rPr>
                <w:rFonts w:hint="eastAsia" w:ascii="宋体" w:hAnsi="宋体" w:eastAsia="宋体" w:cs="宋体"/>
                <w:sz w:val="21"/>
                <w:lang w:val="en-US" w:eastAsia="zh-CN"/>
              </w:rPr>
              <w:t>SS</w:t>
            </w:r>
            <w:r>
              <w:rPr>
                <w:rFonts w:hint="eastAsia" w:ascii="宋体" w:hAnsi="宋体" w:eastAsia="宋体" w:cs="宋体"/>
                <w:sz w:val="21"/>
                <w:lang w:eastAsia="zh-CN"/>
              </w:rPr>
              <w:t>）</w:t>
            </w:r>
          </w:p>
        </w:tc>
        <w:tc>
          <w:tcPr>
            <w:tcW w:w="1845" w:type="dxa"/>
            <w:tcBorders>
              <w:top w:val="single" w:color="000000" w:sz="6" w:space="0"/>
              <w:left w:val="single" w:color="000000" w:sz="6" w:space="0"/>
              <w:right w:val="single" w:color="000000" w:sz="6" w:space="0"/>
            </w:tcBorders>
          </w:tcPr>
          <w:p>
            <w:pPr>
              <w:pStyle w:val="19"/>
              <w:spacing w:before="76"/>
              <w:ind w:left="30"/>
              <w:jc w:val="center"/>
              <w:rPr>
                <w:rFonts w:hint="default" w:ascii="Times New Roman" w:hAnsi="Times New Roman" w:cs="Times New Roman"/>
                <w:w w:val="99"/>
                <w:sz w:val="21"/>
              </w:rPr>
            </w:pPr>
            <w:r>
              <w:rPr>
                <w:rFonts w:hint="default" w:ascii="Times New Roman" w:hAnsi="Times New Roman" w:cs="Times New Roman"/>
                <w:w w:val="99"/>
                <w:sz w:val="21"/>
              </w:rPr>
              <w:t>≤</w:t>
            </w:r>
          </w:p>
        </w:tc>
        <w:tc>
          <w:tcPr>
            <w:tcW w:w="1844" w:type="dxa"/>
            <w:tcBorders>
              <w:top w:val="single" w:color="000000" w:sz="6" w:space="0"/>
              <w:left w:val="single" w:color="000000" w:sz="6" w:space="0"/>
            </w:tcBorders>
          </w:tcPr>
          <w:p>
            <w:pPr>
              <w:pStyle w:val="19"/>
              <w:spacing w:before="76"/>
              <w:ind w:left="29"/>
              <w:jc w:val="center"/>
              <w:rPr>
                <w:rFonts w:hint="default" w:ascii="Times New Roman" w:hAnsi="Times New Roman" w:eastAsia="仿宋" w:cs="Times New Roman"/>
                <w:sz w:val="21"/>
                <w:lang w:val="en-US" w:eastAsia="zh-CN"/>
              </w:rPr>
            </w:pPr>
            <w:r>
              <w:rPr>
                <w:rFonts w:hint="eastAsia" w:ascii="Times New Roman" w:hAnsi="Times New Roman" w:cs="Times New Roman"/>
                <w:sz w:val="21"/>
                <w:lang w:val="en-US" w:eastAsia="zh-CN"/>
              </w:rPr>
              <w:t>30</w:t>
            </w:r>
          </w:p>
        </w:tc>
      </w:tr>
    </w:tbl>
    <w:p>
      <w:pPr>
        <w:pStyle w:val="18"/>
        <w:numPr>
          <w:ilvl w:val="0"/>
          <w:numId w:val="0"/>
        </w:numPr>
        <w:tabs>
          <w:tab w:val="left" w:pos="1673"/>
        </w:tabs>
        <w:spacing w:before="2" w:after="0" w:line="240" w:lineRule="auto"/>
        <w:ind w:right="0" w:rightChars="0"/>
        <w:jc w:val="left"/>
        <w:rPr>
          <w:sz w:val="24"/>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声环境质量标准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工程影响范围内声环境质量执行《声环境质量标准》（GB3096－2008）2类标准</w:t>
      </w:r>
      <w:r>
        <w:rPr>
          <w:rFonts w:hint="eastAsia" w:ascii="宋体" w:hAnsi="宋体" w:eastAsia="宋体" w:cs="宋体"/>
          <w:lang w:eastAsia="zh-CN"/>
        </w:rPr>
        <w:t>，</w:t>
      </w:r>
      <w:r>
        <w:rPr>
          <w:rFonts w:hint="eastAsia" w:ascii="宋体" w:hAnsi="宋体" w:eastAsia="宋体" w:cs="宋体"/>
        </w:rPr>
        <w:t>具体见表1- 5。</w:t>
      </w:r>
    </w:p>
    <w:p>
      <w:pPr>
        <w:tabs>
          <w:tab w:val="left" w:pos="2421"/>
        </w:tabs>
        <w:spacing w:before="159"/>
        <w:ind w:left="0" w:right="12" w:firstLine="0"/>
        <w:jc w:val="center"/>
        <w:rPr>
          <w:rFonts w:ascii="Times New Roman" w:eastAsia="Times New Roman"/>
          <w:b/>
          <w:sz w:val="21"/>
        </w:rPr>
      </w:pPr>
      <w:r>
        <w:rPr>
          <w:b/>
          <w:sz w:val="21"/>
        </w:rPr>
        <w:t>表</w:t>
      </w:r>
      <w:r>
        <w:rPr>
          <w:b/>
          <w:spacing w:val="-2"/>
          <w:sz w:val="21"/>
        </w:rPr>
        <w:t xml:space="preserve"> </w:t>
      </w:r>
      <w:r>
        <w:rPr>
          <w:rFonts w:ascii="Times New Roman" w:eastAsia="Times New Roman"/>
          <w:b/>
          <w:sz w:val="21"/>
        </w:rPr>
        <w:t>1-</w:t>
      </w:r>
      <w:r>
        <w:rPr>
          <w:rFonts w:ascii="Times New Roman" w:eastAsia="Times New Roman"/>
          <w:b/>
          <w:spacing w:val="-18"/>
          <w:sz w:val="21"/>
        </w:rPr>
        <w:t xml:space="preserve"> </w:t>
      </w:r>
      <w:r>
        <w:rPr>
          <w:rFonts w:ascii="Times New Roman" w:eastAsia="Times New Roman"/>
          <w:b/>
          <w:sz w:val="21"/>
        </w:rPr>
        <w:t>5</w:t>
      </w:r>
      <w:r>
        <w:rPr>
          <w:b/>
          <w:sz w:val="21"/>
        </w:rPr>
        <w:t>声环境质量标准</w:t>
      </w:r>
      <w:r>
        <w:rPr>
          <w:b/>
          <w:sz w:val="21"/>
        </w:rPr>
        <w:tab/>
      </w:r>
      <w:r>
        <w:rPr>
          <w:b/>
          <w:sz w:val="21"/>
        </w:rPr>
        <w:t>单位：</w:t>
      </w:r>
      <w:r>
        <w:rPr>
          <w:rFonts w:ascii="Times New Roman" w:eastAsia="Times New Roman"/>
          <w:b/>
          <w:sz w:val="21"/>
        </w:rPr>
        <w:t>dB</w:t>
      </w:r>
    </w:p>
    <w:p>
      <w:pPr>
        <w:pStyle w:val="2"/>
        <w:spacing w:after="1"/>
        <w:rPr>
          <w:rFonts w:ascii="Times New Roman"/>
          <w:b/>
          <w:sz w:val="12"/>
        </w:rPr>
      </w:pPr>
    </w:p>
    <w:tbl>
      <w:tblPr>
        <w:tblStyle w:val="13"/>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741"/>
        <w:gridCol w:w="2800"/>
        <w:gridCol w:w="280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restart"/>
            <w:tcBorders>
              <w:top w:val="single" w:color="auto" w:sz="4" w:space="0"/>
              <w:left w:val="single" w:color="auto" w:sz="4" w:space="0"/>
              <w:bottom w:val="single" w:color="auto" w:sz="4" w:space="0"/>
              <w:right w:val="single" w:color="auto" w:sz="4" w:space="0"/>
            </w:tcBorders>
            <w:shd w:val="clear" w:color="auto" w:fill="FFFFFF"/>
          </w:tcPr>
          <w:p>
            <w:pPr>
              <w:pStyle w:val="19"/>
              <w:spacing w:before="11"/>
              <w:rPr>
                <w:rFonts w:ascii="Times New Roman"/>
                <w:b/>
                <w:color w:val="000000"/>
                <w:sz w:val="23"/>
              </w:rPr>
            </w:pPr>
          </w:p>
          <w:p>
            <w:pPr>
              <w:pStyle w:val="19"/>
              <w:ind w:left="932" w:right="906"/>
              <w:jc w:val="center"/>
              <w:rPr>
                <w:color w:val="000000"/>
                <w:sz w:val="21"/>
              </w:rPr>
            </w:pPr>
            <w:r>
              <w:rPr>
                <w:color w:val="000000"/>
                <w:sz w:val="21"/>
              </w:rPr>
              <w:t>区域类别</w:t>
            </w:r>
          </w:p>
        </w:tc>
        <w:tc>
          <w:tcPr>
            <w:tcW w:w="5601" w:type="dxa"/>
            <w:gridSpan w:val="2"/>
            <w:tcBorders>
              <w:top w:val="single" w:color="auto" w:sz="4" w:space="0"/>
              <w:left w:val="single" w:color="auto" w:sz="4" w:space="0"/>
              <w:bottom w:val="single" w:color="auto" w:sz="4" w:space="0"/>
              <w:right w:val="single" w:color="auto" w:sz="4" w:space="0"/>
            </w:tcBorders>
            <w:shd w:val="clear" w:color="auto" w:fill="FFFFFF"/>
          </w:tcPr>
          <w:p>
            <w:pPr>
              <w:pStyle w:val="19"/>
              <w:spacing w:before="64"/>
              <w:ind w:left="2466" w:right="2442"/>
              <w:jc w:val="center"/>
              <w:rPr>
                <w:color w:val="000000"/>
                <w:sz w:val="21"/>
              </w:rPr>
            </w:pPr>
            <w:r>
              <w:rPr>
                <w:color w:val="000000"/>
                <w:sz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741" w:type="dxa"/>
            <w:vMerge w:val="continue"/>
            <w:tcBorders>
              <w:top w:val="single" w:color="auto" w:sz="4" w:space="0"/>
              <w:left w:val="single" w:color="auto" w:sz="4" w:space="0"/>
              <w:bottom w:val="single" w:color="auto" w:sz="4" w:space="0"/>
              <w:right w:val="single" w:color="auto" w:sz="4" w:space="0"/>
            </w:tcBorders>
            <w:shd w:val="clear" w:color="auto" w:fill="FFFFFF"/>
          </w:tcPr>
          <w:p>
            <w:pPr>
              <w:rPr>
                <w:color w:val="000000"/>
                <w:sz w:val="2"/>
                <w:szCs w:val="2"/>
              </w:rPr>
            </w:pPr>
          </w:p>
        </w:tc>
        <w:tc>
          <w:tcPr>
            <w:tcW w:w="2800"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4" w:right="1150"/>
              <w:jc w:val="center"/>
              <w:rPr>
                <w:color w:val="000000"/>
                <w:sz w:val="21"/>
              </w:rPr>
            </w:pPr>
            <w:r>
              <w:rPr>
                <w:color w:val="000000"/>
                <w:sz w:val="21"/>
              </w:rPr>
              <w:t>昼间</w:t>
            </w:r>
          </w:p>
        </w:tc>
        <w:tc>
          <w:tcPr>
            <w:tcW w:w="2801" w:type="dxa"/>
            <w:tcBorders>
              <w:top w:val="single" w:color="auto" w:sz="4" w:space="0"/>
              <w:left w:val="single" w:color="auto" w:sz="4" w:space="0"/>
              <w:bottom w:val="single" w:color="auto" w:sz="4" w:space="0"/>
              <w:right w:val="single" w:color="auto" w:sz="4" w:space="0"/>
            </w:tcBorders>
            <w:shd w:val="clear" w:color="auto" w:fill="FFFFFF"/>
          </w:tcPr>
          <w:p>
            <w:pPr>
              <w:pStyle w:val="19"/>
              <w:spacing w:before="62"/>
              <w:ind w:left="1170" w:right="1147"/>
              <w:jc w:val="center"/>
              <w:rPr>
                <w:color w:val="000000"/>
                <w:sz w:val="21"/>
              </w:rPr>
            </w:pPr>
            <w:r>
              <w:rPr>
                <w:color w:val="000000"/>
                <w:sz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741" w:type="dxa"/>
            <w:tcBorders>
              <w:top w:val="single" w:color="auto" w:sz="4" w:space="0"/>
              <w:left w:val="single" w:color="auto" w:sz="4" w:space="0"/>
              <w:bottom w:val="single" w:color="auto" w:sz="4" w:space="0"/>
              <w:right w:val="single" w:color="auto" w:sz="4" w:space="0"/>
            </w:tcBorders>
          </w:tcPr>
          <w:p>
            <w:pPr>
              <w:pStyle w:val="19"/>
              <w:spacing w:before="63"/>
              <w:ind w:left="932" w:right="904"/>
              <w:jc w:val="center"/>
              <w:rPr>
                <w:sz w:val="21"/>
              </w:rPr>
            </w:pPr>
            <w:r>
              <w:rPr>
                <w:rFonts w:hint="eastAsia" w:ascii="Times New Roman" w:eastAsia="宋体"/>
                <w:sz w:val="21"/>
                <w:lang w:val="en-US" w:eastAsia="zh-CN"/>
              </w:rPr>
              <w:t>2</w:t>
            </w:r>
            <w:r>
              <w:rPr>
                <w:sz w:val="21"/>
              </w:rPr>
              <w:t>类</w:t>
            </w:r>
          </w:p>
        </w:tc>
        <w:tc>
          <w:tcPr>
            <w:tcW w:w="2800" w:type="dxa"/>
            <w:tcBorders>
              <w:top w:val="single" w:color="auto" w:sz="4" w:space="0"/>
              <w:left w:val="single" w:color="auto" w:sz="4" w:space="0"/>
              <w:bottom w:val="single" w:color="auto" w:sz="4" w:space="0"/>
              <w:right w:val="single" w:color="auto" w:sz="4" w:space="0"/>
            </w:tcBorders>
          </w:tcPr>
          <w:p>
            <w:pPr>
              <w:pStyle w:val="19"/>
              <w:spacing w:before="77"/>
              <w:ind w:left="1174" w:right="1146"/>
              <w:jc w:val="center"/>
              <w:rPr>
                <w:rFonts w:hint="default" w:ascii="Times New Roman" w:eastAsia="仿宋"/>
                <w:sz w:val="21"/>
                <w:lang w:val="en-US" w:eastAsia="zh-CN"/>
              </w:rPr>
            </w:pPr>
            <w:r>
              <w:rPr>
                <w:rFonts w:hint="eastAsia" w:ascii="Times New Roman"/>
                <w:sz w:val="21"/>
                <w:lang w:val="en-US" w:eastAsia="zh-CN"/>
              </w:rPr>
              <w:t>60</w:t>
            </w:r>
          </w:p>
        </w:tc>
        <w:tc>
          <w:tcPr>
            <w:tcW w:w="2801" w:type="dxa"/>
            <w:tcBorders>
              <w:top w:val="single" w:color="auto" w:sz="4" w:space="0"/>
              <w:left w:val="single" w:color="auto" w:sz="4" w:space="0"/>
              <w:bottom w:val="single" w:color="auto" w:sz="4" w:space="0"/>
              <w:right w:val="single" w:color="auto" w:sz="4" w:space="0"/>
            </w:tcBorders>
          </w:tcPr>
          <w:p>
            <w:pPr>
              <w:pStyle w:val="19"/>
              <w:spacing w:before="77"/>
              <w:ind w:left="1170" w:right="1144"/>
              <w:jc w:val="center"/>
              <w:rPr>
                <w:rFonts w:hint="default" w:ascii="Times New Roman" w:eastAsia="仿宋"/>
                <w:sz w:val="21"/>
                <w:lang w:val="en-US" w:eastAsia="zh-CN"/>
              </w:rPr>
            </w:pPr>
            <w:r>
              <w:rPr>
                <w:rFonts w:hint="eastAsia" w:ascii="Times New Roman"/>
                <w:sz w:val="21"/>
                <w:lang w:val="en-US" w:eastAsia="zh-CN"/>
              </w:rPr>
              <w:t>50</w:t>
            </w:r>
          </w:p>
        </w:tc>
      </w:tr>
    </w:tbl>
    <w:p>
      <w:pPr>
        <w:pStyle w:val="18"/>
        <w:numPr>
          <w:ilvl w:val="2"/>
          <w:numId w:val="2"/>
        </w:numPr>
        <w:tabs>
          <w:tab w:val="left" w:pos="1316"/>
        </w:tabs>
        <w:spacing w:before="123" w:after="0" w:line="240" w:lineRule="auto"/>
        <w:ind w:left="1316" w:right="0" w:hanging="699"/>
        <w:jc w:val="left"/>
        <w:rPr>
          <w:rFonts w:hint="eastAsia" w:ascii="宋体" w:hAnsi="宋体" w:eastAsia="宋体" w:cs="宋体"/>
          <w:b/>
          <w:sz w:val="28"/>
        </w:rPr>
      </w:pPr>
      <w:bookmarkStart w:id="43" w:name="1.8.2污染源排放标准"/>
      <w:bookmarkEnd w:id="43"/>
      <w:bookmarkStart w:id="44" w:name="1.8.2污染源排放标准"/>
      <w:bookmarkEnd w:id="44"/>
      <w:r>
        <w:rPr>
          <w:rFonts w:hint="eastAsia" w:ascii="宋体" w:hAnsi="宋体" w:eastAsia="宋体" w:cs="宋体"/>
          <w:b/>
          <w:sz w:val="28"/>
        </w:rPr>
        <w:t>污染源排放标准</w:t>
      </w:r>
    </w:p>
    <w:p>
      <w:pPr>
        <w:pStyle w:val="2"/>
        <w:spacing w:before="11"/>
        <w:rPr>
          <w:rFonts w:hint="eastAsia" w:ascii="宋体" w:hAnsi="宋体" w:eastAsia="宋体" w:cs="宋体"/>
          <w:b/>
          <w:sz w:val="23"/>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废气污染源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本项目运营期不产生生产废气。</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废水污染源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项目运行期产生的生活污水经化粪池预处理后定期清掏灌溉周围的农田，不外排。</w:t>
      </w: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噪声污染源</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12" w:firstLineChars="200"/>
        <w:textAlignment w:val="auto"/>
        <w:rPr>
          <w:rFonts w:hint="eastAsia" w:ascii="宋体" w:hAnsi="宋体" w:eastAsia="宋体" w:cs="宋体"/>
        </w:rPr>
      </w:pPr>
      <w:r>
        <w:rPr>
          <w:rFonts w:hint="eastAsia" w:ascii="宋体" w:hAnsi="宋体" w:eastAsia="宋体" w:cs="宋体"/>
          <w:spacing w:val="-17"/>
        </w:rPr>
        <w:t>运营期噪声执行《工业企业厂界环境噪声排放标准》</w:t>
      </w:r>
      <w:r>
        <w:rPr>
          <w:rFonts w:hint="default" w:ascii="Times New Roman" w:hAnsi="Times New Roman" w:eastAsia="宋体" w:cs="Times New Roman"/>
          <w:spacing w:val="-10"/>
        </w:rPr>
        <w:t>（GB12348-90）</w:t>
      </w:r>
      <w:r>
        <w:rPr>
          <w:rFonts w:hint="eastAsia" w:ascii="宋体" w:hAnsi="宋体" w:eastAsia="宋体" w:cs="宋体"/>
          <w:spacing w:val="-15"/>
        </w:rPr>
        <w:t>中</w:t>
      </w:r>
      <w:r>
        <w:rPr>
          <w:rFonts w:hint="eastAsia" w:ascii="宋体" w:hAnsi="宋体" w:eastAsia="宋体" w:cs="宋体"/>
          <w:spacing w:val="-10"/>
          <w:lang w:val="en-US" w:eastAsia="zh-CN"/>
        </w:rPr>
        <w:t>2</w:t>
      </w:r>
      <w:r>
        <w:rPr>
          <w:rFonts w:hint="eastAsia" w:ascii="宋体" w:hAnsi="宋体" w:eastAsia="宋体" w:cs="宋体"/>
          <w:spacing w:val="-13"/>
        </w:rPr>
        <w:t xml:space="preserve">类标准； </w:t>
      </w:r>
      <w:r>
        <w:rPr>
          <w:rFonts w:hint="eastAsia" w:ascii="宋体" w:hAnsi="宋体" w:eastAsia="宋体" w:cs="宋体"/>
          <w:spacing w:val="-23"/>
        </w:rPr>
        <w:t>参照《工业企业厂界环境噪声排放标准》</w:t>
      </w:r>
      <w:r>
        <w:rPr>
          <w:rFonts w:hint="eastAsia" w:ascii="宋体" w:hAnsi="宋体" w:eastAsia="宋体" w:cs="宋体"/>
          <w:spacing w:val="-11"/>
        </w:rPr>
        <w:t>（</w:t>
      </w:r>
      <w:r>
        <w:rPr>
          <w:rFonts w:hint="eastAsia" w:ascii="Times New Roman" w:hAnsi="Times New Roman" w:eastAsia="宋体" w:cs="Times New Roman"/>
        </w:rPr>
        <w:t>GB12348</w:t>
      </w:r>
      <w:r>
        <w:rPr>
          <w:rFonts w:hint="eastAsia" w:ascii="Times New Roman" w:hAnsi="Times New Roman" w:eastAsia="宋体" w:cs="Times New Roman"/>
          <w:spacing w:val="-10"/>
        </w:rPr>
        <w:t>-2008</w:t>
      </w:r>
      <w:r>
        <w:rPr>
          <w:rFonts w:hint="eastAsia" w:ascii="宋体" w:hAnsi="宋体" w:eastAsia="宋体" w:cs="宋体"/>
          <w:spacing w:val="-11"/>
        </w:rPr>
        <w:t>）</w:t>
      </w:r>
      <w:r>
        <w:rPr>
          <w:rFonts w:hint="eastAsia" w:ascii="宋体" w:hAnsi="宋体" w:eastAsia="宋体" w:cs="宋体"/>
          <w:spacing w:val="-11"/>
          <w:lang w:val="en-US" w:eastAsia="zh-CN"/>
        </w:rPr>
        <w:t>2</w:t>
      </w:r>
      <w:r>
        <w:rPr>
          <w:rFonts w:hint="eastAsia" w:ascii="宋体" w:hAnsi="宋体" w:eastAsia="宋体" w:cs="宋体"/>
          <w:spacing w:val="-19"/>
        </w:rPr>
        <w:t>类标准复核；</w:t>
      </w:r>
    </w:p>
    <w:p>
      <w:pPr>
        <w:tabs>
          <w:tab w:val="left" w:pos="5806"/>
        </w:tabs>
        <w:spacing w:before="3"/>
        <w:ind w:left="2859" w:right="0" w:firstLine="0"/>
        <w:jc w:val="left"/>
        <w:rPr>
          <w:rFonts w:ascii="Times New Roman" w:eastAsia="Times New Roman"/>
          <w:b/>
          <w:sz w:val="21"/>
        </w:rPr>
      </w:pPr>
      <w:r>
        <w:rPr>
          <w:b/>
          <w:sz w:val="21"/>
        </w:rPr>
        <w:t>表</w:t>
      </w:r>
      <w:r>
        <w:rPr>
          <w:b/>
          <w:spacing w:val="-1"/>
          <w:sz w:val="21"/>
        </w:rPr>
        <w:t xml:space="preserve"> </w:t>
      </w:r>
      <w:r>
        <w:rPr>
          <w:rFonts w:ascii="Times New Roman" w:eastAsia="Times New Roman"/>
          <w:b/>
          <w:sz w:val="21"/>
        </w:rPr>
        <w:t>1-</w:t>
      </w:r>
      <w:r>
        <w:rPr>
          <w:rFonts w:ascii="Times New Roman" w:eastAsia="Times New Roman"/>
          <w:b/>
          <w:spacing w:val="-18"/>
          <w:sz w:val="21"/>
        </w:rPr>
        <w:t xml:space="preserve"> </w:t>
      </w:r>
      <w:r>
        <w:rPr>
          <w:rFonts w:ascii="Times New Roman" w:eastAsia="Times New Roman"/>
          <w:b/>
          <w:sz w:val="21"/>
        </w:rPr>
        <w:t>6</w:t>
      </w:r>
      <w:r>
        <w:rPr>
          <w:rFonts w:ascii="Times New Roman" w:eastAsia="Times New Roman"/>
          <w:b/>
          <w:spacing w:val="51"/>
          <w:sz w:val="21"/>
        </w:rPr>
        <w:t xml:space="preserve"> </w:t>
      </w:r>
      <w:r>
        <w:rPr>
          <w:b/>
          <w:sz w:val="21"/>
        </w:rPr>
        <w:t>噪声排放标准限值</w:t>
      </w:r>
      <w:r>
        <w:rPr>
          <w:b/>
          <w:sz w:val="21"/>
        </w:rPr>
        <w:tab/>
      </w:r>
      <w:r>
        <w:rPr>
          <w:b/>
          <w:sz w:val="21"/>
        </w:rPr>
        <w:t>单位：</w:t>
      </w:r>
      <w:r>
        <w:rPr>
          <w:rFonts w:ascii="Times New Roman" w:eastAsia="Times New Roman"/>
          <w:b/>
          <w:sz w:val="21"/>
        </w:rPr>
        <w:t>dB</w:t>
      </w:r>
    </w:p>
    <w:p>
      <w:pPr>
        <w:pStyle w:val="2"/>
        <w:spacing w:before="1"/>
        <w:rPr>
          <w:rFonts w:ascii="Times New Roman"/>
          <w:b/>
          <w:sz w:val="12"/>
        </w:rPr>
      </w:pPr>
    </w:p>
    <w:tbl>
      <w:tblPr>
        <w:tblStyle w:val="13"/>
        <w:tblW w:w="0" w:type="auto"/>
        <w:tblInd w:w="61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863"/>
        <w:gridCol w:w="2723"/>
        <w:gridCol w:w="2756"/>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restart"/>
            <w:tcBorders>
              <w:bottom w:val="single" w:color="000000" w:sz="6" w:space="0"/>
              <w:right w:val="single" w:color="000000" w:sz="6" w:space="0"/>
            </w:tcBorders>
            <w:shd w:val="clear" w:color="auto" w:fill="FFFFFF" w:themeFill="background1"/>
          </w:tcPr>
          <w:p>
            <w:pPr>
              <w:pStyle w:val="19"/>
              <w:spacing w:before="11"/>
              <w:rPr>
                <w:rFonts w:hint="eastAsia" w:ascii="宋体" w:hAnsi="宋体" w:eastAsia="宋体" w:cs="宋体"/>
                <w:b/>
                <w:sz w:val="21"/>
                <w:szCs w:val="21"/>
              </w:rPr>
            </w:pPr>
          </w:p>
          <w:p>
            <w:pPr>
              <w:pStyle w:val="19"/>
              <w:ind w:left="992" w:right="968"/>
              <w:jc w:val="center"/>
              <w:rPr>
                <w:rFonts w:hint="eastAsia" w:ascii="宋体" w:hAnsi="宋体" w:eastAsia="宋体" w:cs="宋体"/>
                <w:sz w:val="21"/>
                <w:szCs w:val="21"/>
              </w:rPr>
            </w:pPr>
            <w:r>
              <w:rPr>
                <w:rFonts w:hint="eastAsia" w:ascii="宋体" w:hAnsi="宋体" w:eastAsia="宋体" w:cs="宋体"/>
                <w:sz w:val="21"/>
                <w:szCs w:val="21"/>
              </w:rPr>
              <w:t>区域类别</w:t>
            </w:r>
          </w:p>
        </w:tc>
        <w:tc>
          <w:tcPr>
            <w:tcW w:w="5479" w:type="dxa"/>
            <w:gridSpan w:val="2"/>
            <w:tcBorders>
              <w:left w:val="single" w:color="000000" w:sz="6" w:space="0"/>
            </w:tcBorders>
            <w:shd w:val="clear" w:color="auto" w:fill="FFFFFF" w:themeFill="background1"/>
          </w:tcPr>
          <w:p>
            <w:pPr>
              <w:pStyle w:val="19"/>
              <w:spacing w:before="62"/>
              <w:ind w:left="2406" w:right="2379"/>
              <w:jc w:val="center"/>
              <w:rPr>
                <w:rFonts w:hint="eastAsia" w:ascii="宋体" w:hAnsi="宋体" w:eastAsia="宋体" w:cs="宋体"/>
                <w:sz w:val="21"/>
                <w:szCs w:val="21"/>
              </w:rPr>
            </w:pPr>
            <w:r>
              <w:rPr>
                <w:rFonts w:hint="eastAsia" w:ascii="宋体" w:hAnsi="宋体" w:eastAsia="宋体" w:cs="宋体"/>
                <w:sz w:val="21"/>
                <w:szCs w:val="21"/>
              </w:rPr>
              <w:t>噪声值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2863" w:type="dxa"/>
            <w:vMerge w:val="continue"/>
            <w:tcBorders>
              <w:top w:val="nil"/>
              <w:bottom w:val="single" w:color="000000" w:sz="6" w:space="0"/>
              <w:right w:val="single" w:color="000000" w:sz="6" w:space="0"/>
            </w:tcBorders>
            <w:shd w:val="clear" w:color="auto" w:fill="FFFFFF" w:themeFill="background1"/>
          </w:tcPr>
          <w:p>
            <w:pPr>
              <w:rPr>
                <w:rFonts w:hint="eastAsia" w:ascii="宋体" w:hAnsi="宋体" w:eastAsia="宋体" w:cs="宋体"/>
                <w:sz w:val="21"/>
                <w:szCs w:val="21"/>
              </w:rPr>
            </w:pPr>
          </w:p>
        </w:tc>
        <w:tc>
          <w:tcPr>
            <w:tcW w:w="2723" w:type="dxa"/>
            <w:tcBorders>
              <w:left w:val="single" w:color="000000" w:sz="6" w:space="0"/>
              <w:bottom w:val="single" w:color="000000" w:sz="6" w:space="0"/>
              <w:right w:val="single" w:color="000000" w:sz="6" w:space="0"/>
            </w:tcBorders>
            <w:shd w:val="clear" w:color="auto" w:fill="FFFFFF" w:themeFill="background1"/>
          </w:tcPr>
          <w:p>
            <w:pPr>
              <w:pStyle w:val="19"/>
              <w:spacing w:before="62"/>
              <w:ind w:left="1136" w:right="1111"/>
              <w:jc w:val="center"/>
              <w:rPr>
                <w:rFonts w:hint="eastAsia" w:ascii="宋体" w:hAnsi="宋体" w:eastAsia="宋体" w:cs="宋体"/>
                <w:sz w:val="21"/>
                <w:szCs w:val="21"/>
              </w:rPr>
            </w:pPr>
            <w:r>
              <w:rPr>
                <w:rFonts w:hint="eastAsia" w:ascii="宋体" w:hAnsi="宋体" w:eastAsia="宋体" w:cs="宋体"/>
                <w:sz w:val="21"/>
                <w:szCs w:val="21"/>
              </w:rPr>
              <w:t>昼间</w:t>
            </w:r>
          </w:p>
        </w:tc>
        <w:tc>
          <w:tcPr>
            <w:tcW w:w="2756" w:type="dxa"/>
            <w:tcBorders>
              <w:left w:val="single" w:color="000000" w:sz="6" w:space="0"/>
              <w:bottom w:val="single" w:color="000000" w:sz="6" w:space="0"/>
            </w:tcBorders>
            <w:shd w:val="clear" w:color="auto" w:fill="FFFFFF" w:themeFill="background1"/>
          </w:tcPr>
          <w:p>
            <w:pPr>
              <w:pStyle w:val="19"/>
              <w:spacing w:before="62"/>
              <w:ind w:left="1149" w:right="1123"/>
              <w:jc w:val="center"/>
              <w:rPr>
                <w:rFonts w:hint="eastAsia" w:ascii="宋体" w:hAnsi="宋体" w:eastAsia="宋体" w:cs="宋体"/>
                <w:sz w:val="21"/>
                <w:szCs w:val="21"/>
              </w:rPr>
            </w:pPr>
            <w:r>
              <w:rPr>
                <w:rFonts w:hint="eastAsia" w:ascii="宋体" w:hAnsi="宋体" w:eastAsia="宋体" w:cs="宋体"/>
                <w:sz w:val="21"/>
                <w:szCs w:val="21"/>
              </w:rPr>
              <w:t>夜间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2863" w:type="dxa"/>
            <w:tcBorders>
              <w:top w:val="single" w:color="000000" w:sz="6" w:space="0"/>
              <w:right w:val="single" w:color="000000" w:sz="6" w:space="0"/>
            </w:tcBorders>
          </w:tcPr>
          <w:p>
            <w:pPr>
              <w:pStyle w:val="19"/>
              <w:spacing w:before="62"/>
              <w:ind w:left="992" w:right="966"/>
              <w:jc w:val="center"/>
              <w:rPr>
                <w:rFonts w:hint="default" w:ascii="Times New Roman" w:hAnsi="Times New Roman" w:cs="Times New Roman"/>
                <w:sz w:val="21"/>
              </w:rPr>
            </w:pPr>
            <w:r>
              <w:rPr>
                <w:rFonts w:hint="default" w:ascii="Times New Roman" w:hAnsi="Times New Roman" w:cs="Times New Roman"/>
                <w:sz w:val="21"/>
                <w:lang w:val="en-US" w:eastAsia="zh-CN"/>
              </w:rPr>
              <w:t>2</w:t>
            </w:r>
            <w:r>
              <w:rPr>
                <w:rFonts w:hint="eastAsia" w:ascii="宋体" w:hAnsi="宋体" w:eastAsia="宋体" w:cs="宋体"/>
                <w:sz w:val="21"/>
              </w:rPr>
              <w:t>类</w:t>
            </w:r>
          </w:p>
        </w:tc>
        <w:tc>
          <w:tcPr>
            <w:tcW w:w="2723" w:type="dxa"/>
            <w:tcBorders>
              <w:top w:val="single" w:color="000000" w:sz="6" w:space="0"/>
              <w:left w:val="single" w:color="000000" w:sz="6" w:space="0"/>
              <w:right w:val="single" w:color="000000" w:sz="6" w:space="0"/>
            </w:tcBorders>
          </w:tcPr>
          <w:p>
            <w:pPr>
              <w:pStyle w:val="19"/>
              <w:spacing w:before="76"/>
              <w:ind w:left="1136" w:right="1107"/>
              <w:jc w:val="center"/>
              <w:rPr>
                <w:rFonts w:hint="default" w:ascii="Times New Roman" w:hAnsi="Times New Roman" w:eastAsia="仿宋" w:cs="Times New Roman"/>
                <w:sz w:val="21"/>
                <w:lang w:val="en-US" w:eastAsia="zh-CN"/>
              </w:rPr>
            </w:pPr>
            <w:r>
              <w:rPr>
                <w:rFonts w:hint="default" w:ascii="Times New Roman" w:hAnsi="Times New Roman" w:eastAsia="宋体" w:cs="Times New Roman"/>
                <w:sz w:val="24"/>
                <w:szCs w:val="24"/>
                <w:lang w:val="en-US" w:eastAsia="zh-CN" w:bidi="zh-CN"/>
              </w:rPr>
              <w:t>60</w:t>
            </w:r>
          </w:p>
        </w:tc>
        <w:tc>
          <w:tcPr>
            <w:tcW w:w="2756" w:type="dxa"/>
            <w:tcBorders>
              <w:top w:val="single" w:color="000000" w:sz="6" w:space="0"/>
              <w:left w:val="single" w:color="000000" w:sz="6" w:space="0"/>
            </w:tcBorders>
          </w:tcPr>
          <w:p>
            <w:pPr>
              <w:pStyle w:val="19"/>
              <w:spacing w:before="76"/>
              <w:ind w:left="1149" w:right="1120"/>
              <w:jc w:val="center"/>
              <w:rPr>
                <w:rFonts w:hint="default" w:ascii="Times New Roman" w:hAnsi="Times New Roman" w:eastAsia="仿宋" w:cs="Times New Roman"/>
                <w:sz w:val="21"/>
                <w:lang w:val="en-US" w:eastAsia="zh-CN"/>
              </w:rPr>
            </w:pPr>
            <w:r>
              <w:rPr>
                <w:rFonts w:hint="default" w:ascii="Times New Roman" w:hAnsi="Times New Roman" w:cs="Times New Roman"/>
                <w:sz w:val="21"/>
                <w:lang w:val="en-US" w:eastAsia="zh-CN"/>
              </w:rPr>
              <w:t>50</w:t>
            </w:r>
          </w:p>
        </w:tc>
      </w:tr>
    </w:tbl>
    <w:p>
      <w:pPr>
        <w:pStyle w:val="2"/>
        <w:spacing w:before="1"/>
        <w:rPr>
          <w:rFonts w:ascii="Times New Roman"/>
          <w:b/>
          <w:sz w:val="12"/>
        </w:rPr>
      </w:pPr>
    </w:p>
    <w:p>
      <w:pPr>
        <w:pStyle w:val="18"/>
        <w:keepNext w:val="0"/>
        <w:keepLines w:val="0"/>
        <w:pageBreakBefore w:val="0"/>
        <w:widowControl w:val="0"/>
        <w:numPr>
          <w:ilvl w:val="0"/>
          <w:numId w:val="0"/>
        </w:numPr>
        <w:tabs>
          <w:tab w:val="left" w:pos="167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项目固体废弃物中的危险废物按照《国家危险废物名录》</w:t>
      </w:r>
      <w:r>
        <w:rPr>
          <w:rFonts w:hint="eastAsia" w:ascii="宋体" w:hAnsi="宋体" w:eastAsia="宋体" w:cs="宋体"/>
        </w:rPr>
        <w:t>（环境保护部令第39</w:t>
      </w:r>
      <w:r>
        <w:rPr>
          <w:rFonts w:hint="eastAsia" w:ascii="宋体" w:hAnsi="宋体" w:eastAsia="宋体" w:cs="宋体"/>
          <w:spacing w:val="11"/>
        </w:rPr>
        <w:t xml:space="preserve"> 号 </w:t>
      </w:r>
      <w:r>
        <w:rPr>
          <w:rFonts w:hint="eastAsia" w:ascii="Times New Roman" w:hAnsi="Times New Roman" w:eastAsia="宋体" w:cs="Times New Roman"/>
        </w:rPr>
        <w:t>2016.6.14</w:t>
      </w:r>
      <w:r>
        <w:rPr>
          <w:rFonts w:hint="eastAsia" w:ascii="宋体" w:hAnsi="宋体" w:eastAsia="宋体" w:cs="宋体"/>
        </w:rPr>
        <w:t>）</w:t>
      </w:r>
      <w:r>
        <w:rPr>
          <w:rFonts w:hint="eastAsia" w:ascii="宋体" w:hAnsi="宋体" w:eastAsia="宋体" w:cs="宋体"/>
          <w:spacing w:val="5"/>
        </w:rPr>
        <w:t>分类，危险废物贮存应符合《危险废物贮存污染控制标准》</w:t>
      </w:r>
      <w:r>
        <w:rPr>
          <w:rFonts w:hint="eastAsia" w:ascii="宋体" w:hAnsi="宋体" w:eastAsia="宋体" w:cs="宋体"/>
        </w:rPr>
        <w:t>（</w:t>
      </w:r>
      <w:r>
        <w:rPr>
          <w:rFonts w:hint="eastAsia" w:ascii="Times New Roman" w:hAnsi="Times New Roman" w:eastAsia="宋体" w:cs="Times New Roman"/>
        </w:rPr>
        <w:t>GB18597-2001</w:t>
      </w:r>
      <w:r>
        <w:rPr>
          <w:rFonts w:hint="eastAsia" w:ascii="宋体" w:hAnsi="宋体" w:eastAsia="宋体" w:cs="宋体"/>
        </w:rPr>
        <w:t>）及其标准修改单（</w:t>
      </w:r>
      <w:r>
        <w:rPr>
          <w:rFonts w:hint="eastAsia" w:ascii="宋体" w:hAnsi="宋体" w:eastAsia="宋体" w:cs="宋体"/>
          <w:spacing w:val="-7"/>
        </w:rPr>
        <w:t>环境保护部公告</w:t>
      </w:r>
      <w:r>
        <w:rPr>
          <w:rFonts w:hint="eastAsia" w:ascii="Times New Roman" w:hAnsi="Times New Roman" w:eastAsia="宋体" w:cs="Times New Roman"/>
        </w:rPr>
        <w:t xml:space="preserve"> 2013 </w:t>
      </w:r>
      <w:r>
        <w:rPr>
          <w:rFonts w:hint="eastAsia" w:ascii="宋体" w:hAnsi="宋体" w:eastAsia="宋体" w:cs="宋体"/>
          <w:spacing w:val="-16"/>
        </w:rPr>
        <w:t>年第</w:t>
      </w:r>
      <w:r>
        <w:rPr>
          <w:rFonts w:hint="eastAsia" w:ascii="Times New Roman" w:hAnsi="Times New Roman" w:eastAsia="宋体" w:cs="Times New Roman"/>
        </w:rPr>
        <w:t xml:space="preserve"> 36 </w:t>
      </w:r>
      <w:r>
        <w:rPr>
          <w:rFonts w:hint="eastAsia" w:ascii="宋体" w:hAnsi="宋体" w:eastAsia="宋体" w:cs="宋体"/>
          <w:spacing w:val="4"/>
        </w:rPr>
        <w:t>号</w:t>
      </w:r>
      <w:r>
        <w:rPr>
          <w:rFonts w:hint="eastAsia" w:ascii="宋体" w:hAnsi="宋体" w:eastAsia="宋体" w:cs="宋体"/>
          <w:spacing w:val="3"/>
        </w:rPr>
        <w:t>）</w:t>
      </w:r>
      <w:r>
        <w:rPr>
          <w:rFonts w:hint="eastAsia" w:ascii="宋体" w:hAnsi="宋体" w:eastAsia="宋体" w:cs="宋体"/>
        </w:rPr>
        <w:t>，《危险废物收集、贮存、运输技术规范》（</w:t>
      </w:r>
      <w:r>
        <w:rPr>
          <w:rFonts w:hint="default" w:ascii="Times New Roman" w:hAnsi="Times New Roman" w:eastAsia="宋体" w:cs="Times New Roman"/>
        </w:rPr>
        <w:t>HJ2025-2012</w:t>
      </w:r>
      <w:r>
        <w:rPr>
          <w:rFonts w:hint="eastAsia" w:ascii="宋体" w:hAnsi="宋体" w:eastAsia="宋体" w:cs="宋体"/>
        </w:rPr>
        <w:t>）要求；一般工业固体废弃物的贮存场所应符合《一般工业固体废物贮存、处置场污染控制标准》（</w:t>
      </w:r>
      <w:r>
        <w:rPr>
          <w:rFonts w:hint="eastAsia" w:ascii="Times New Roman" w:hAnsi="Times New Roman" w:eastAsia="宋体" w:cs="Times New Roman"/>
        </w:rPr>
        <w:t>GB18599-2001</w:t>
      </w:r>
      <w:r>
        <w:rPr>
          <w:rFonts w:hint="eastAsia" w:ascii="宋体" w:hAnsi="宋体" w:eastAsia="宋体" w:cs="宋体"/>
        </w:rPr>
        <w:t>）及其标准修改单（环境保护部公告</w:t>
      </w:r>
      <w:r>
        <w:rPr>
          <w:rFonts w:hint="eastAsia" w:ascii="Times New Roman" w:hAnsi="Times New Roman" w:eastAsia="宋体" w:cs="Times New Roman"/>
        </w:rPr>
        <w:t xml:space="preserve"> 2013 </w:t>
      </w:r>
      <w:r>
        <w:rPr>
          <w:rFonts w:hint="eastAsia" w:ascii="宋体" w:hAnsi="宋体" w:eastAsia="宋体" w:cs="宋体"/>
        </w:rPr>
        <w:t xml:space="preserve">年第 </w:t>
      </w:r>
      <w:r>
        <w:rPr>
          <w:rFonts w:hint="eastAsia" w:ascii="Times New Roman" w:hAnsi="Times New Roman" w:eastAsia="宋体" w:cs="Times New Roman"/>
        </w:rPr>
        <w:t xml:space="preserve">36 </w:t>
      </w:r>
      <w:r>
        <w:rPr>
          <w:rFonts w:hint="eastAsia" w:ascii="宋体" w:hAnsi="宋体" w:eastAsia="宋体" w:cs="宋体"/>
        </w:rPr>
        <w:t>号）要求。</w:t>
      </w:r>
    </w:p>
    <w:p>
      <w:pPr>
        <w:spacing w:after="0" w:line="306" w:lineRule="exact"/>
        <w:sectPr>
          <w:footerReference r:id="rId5" w:type="default"/>
          <w:pgSz w:w="11910" w:h="16840"/>
          <w:pgMar w:top="1360" w:right="1160" w:bottom="1180" w:left="1180" w:header="0" w:footer="991" w:gutter="0"/>
        </w:sectPr>
      </w:pPr>
    </w:p>
    <w:p>
      <w:pPr>
        <w:pStyle w:val="3"/>
        <w:numPr>
          <w:ilvl w:val="0"/>
          <w:numId w:val="3"/>
        </w:numPr>
        <w:tabs>
          <w:tab w:val="left" w:pos="978"/>
        </w:tabs>
        <w:spacing w:before="83" w:after="0" w:line="240" w:lineRule="auto"/>
        <w:ind w:left="977" w:right="0" w:hanging="361"/>
        <w:jc w:val="both"/>
        <w:rPr>
          <w:rFonts w:hint="eastAsia" w:ascii="宋体" w:hAnsi="宋体" w:eastAsia="宋体" w:cs="宋体"/>
        </w:rPr>
      </w:pPr>
      <w:bookmarkStart w:id="45" w:name="_bookmark9"/>
      <w:bookmarkEnd w:id="45"/>
      <w:bookmarkStart w:id="46" w:name="2工程调查"/>
      <w:bookmarkEnd w:id="46"/>
      <w:bookmarkStart w:id="47" w:name="_bookmark9"/>
      <w:bookmarkEnd w:id="47"/>
      <w:r>
        <w:rPr>
          <w:rFonts w:hint="eastAsia" w:ascii="宋体" w:hAnsi="宋体" w:eastAsia="宋体" w:cs="宋体"/>
        </w:rPr>
        <w:t>工程调查</w:t>
      </w:r>
    </w:p>
    <w:p>
      <w:pPr>
        <w:pStyle w:val="2"/>
        <w:spacing w:before="7"/>
        <w:rPr>
          <w:rFonts w:hint="eastAsia" w:ascii="宋体" w:hAnsi="宋体" w:eastAsia="宋体" w:cs="宋体"/>
          <w:b/>
          <w:sz w:val="37"/>
        </w:rPr>
      </w:pPr>
    </w:p>
    <w:p>
      <w:pPr>
        <w:pStyle w:val="4"/>
        <w:numPr>
          <w:ilvl w:val="1"/>
          <w:numId w:val="3"/>
        </w:numPr>
        <w:tabs>
          <w:tab w:val="left" w:pos="1220"/>
        </w:tabs>
        <w:spacing w:before="0" w:after="0" w:line="240" w:lineRule="auto"/>
        <w:ind w:left="1220" w:right="0" w:hanging="603"/>
        <w:jc w:val="left"/>
        <w:rPr>
          <w:rFonts w:hint="eastAsia" w:ascii="宋体" w:hAnsi="宋体" w:eastAsia="宋体" w:cs="宋体"/>
        </w:rPr>
      </w:pPr>
      <w:bookmarkStart w:id="48" w:name="_bookmark10"/>
      <w:bookmarkEnd w:id="48"/>
      <w:bookmarkStart w:id="49" w:name="_bookmark10"/>
      <w:bookmarkEnd w:id="49"/>
      <w:bookmarkStart w:id="50" w:name="2.1工程立项、设计与审批"/>
      <w:bookmarkEnd w:id="50"/>
      <w:r>
        <w:rPr>
          <w:rFonts w:hint="eastAsia" w:ascii="宋体" w:hAnsi="宋体" w:eastAsia="宋体" w:cs="宋体"/>
        </w:rPr>
        <w:t>工程立项、设计与审批</w:t>
      </w:r>
    </w:p>
    <w:p>
      <w:pPr>
        <w:pStyle w:val="18"/>
        <w:numPr>
          <w:ilvl w:val="2"/>
          <w:numId w:val="3"/>
        </w:numPr>
        <w:tabs>
          <w:tab w:val="left" w:pos="1316"/>
        </w:tabs>
        <w:spacing w:before="244" w:after="0" w:line="240" w:lineRule="auto"/>
        <w:ind w:left="1316" w:right="0" w:hanging="699"/>
        <w:jc w:val="left"/>
        <w:rPr>
          <w:rFonts w:hint="eastAsia" w:ascii="宋体" w:hAnsi="宋体" w:eastAsia="宋体" w:cs="宋体"/>
          <w:b/>
          <w:sz w:val="28"/>
        </w:rPr>
      </w:pPr>
      <w:bookmarkStart w:id="51" w:name="2.1.1工程审批"/>
      <w:bookmarkEnd w:id="51"/>
      <w:bookmarkStart w:id="52" w:name="2.1.1工程审批"/>
      <w:bookmarkEnd w:id="52"/>
      <w:r>
        <w:rPr>
          <w:rFonts w:hint="eastAsia" w:ascii="宋体" w:hAnsi="宋体" w:eastAsia="宋体" w:cs="宋体"/>
          <w:b/>
          <w:sz w:val="28"/>
        </w:rPr>
        <w:t>工程审批</w:t>
      </w:r>
    </w:p>
    <w:p>
      <w:pPr>
        <w:pStyle w:val="2"/>
        <w:spacing w:before="11"/>
        <w:rPr>
          <w:b/>
          <w:sz w:val="23"/>
        </w:rPr>
      </w:pPr>
    </w:p>
    <w:p>
      <w:pPr>
        <w:pageBreakBefore w:val="0"/>
        <w:tabs>
          <w:tab w:val="left" w:pos="1413"/>
          <w:tab w:val="left" w:pos="9460"/>
        </w:tabs>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rPr>
      </w:pPr>
      <w:r>
        <w:rPr>
          <w:rFonts w:hint="eastAsia" w:ascii="宋体" w:hAnsi="宋体" w:eastAsia="宋体" w:cs="宋体"/>
          <w:color w:val="auto"/>
          <w:spacing w:val="0"/>
          <w:w w:val="100"/>
          <w:kern w:val="0"/>
          <w:position w:val="0"/>
          <w:sz w:val="24"/>
        </w:rPr>
        <w:t>为保证电站正常、安全运行，合理利用水能资源，提高电站运行效率和发电效益，</w:t>
      </w:r>
      <w:r>
        <w:rPr>
          <w:rFonts w:hint="eastAsia" w:ascii="宋体" w:hAnsi="宋体" w:eastAsia="宋体" w:cs="宋体"/>
          <w:color w:val="auto"/>
          <w:spacing w:val="0"/>
          <w:w w:val="100"/>
          <w:kern w:val="0"/>
          <w:position w:val="0"/>
          <w:sz w:val="24"/>
          <w:lang w:val="en-US" w:eastAsia="zh-CN"/>
        </w:rPr>
        <w:t>2016年电站进行了增效扩容改造。</w:t>
      </w:r>
      <w:r>
        <w:rPr>
          <w:rFonts w:hint="eastAsia" w:ascii="宋体" w:hAnsi="宋体" w:eastAsia="宋体" w:cs="宋体"/>
          <w:color w:val="auto"/>
          <w:spacing w:val="0"/>
          <w:w w:val="100"/>
          <w:kern w:val="0"/>
          <w:position w:val="0"/>
          <w:sz w:val="24"/>
        </w:rPr>
        <w:t>201</w:t>
      </w:r>
      <w:r>
        <w:rPr>
          <w:rFonts w:hint="eastAsia" w:ascii="宋体" w:hAnsi="宋体" w:eastAsia="宋体" w:cs="宋体"/>
          <w:color w:val="auto"/>
          <w:spacing w:val="0"/>
          <w:w w:val="100"/>
          <w:kern w:val="0"/>
          <w:position w:val="0"/>
          <w:sz w:val="24"/>
          <w:lang w:val="en-US" w:eastAsia="zh-CN"/>
        </w:rPr>
        <w:t>6</w:t>
      </w:r>
      <w:r>
        <w:rPr>
          <w:rFonts w:hint="eastAsia" w:ascii="宋体" w:hAnsi="宋体" w:eastAsia="宋体" w:cs="宋体"/>
          <w:color w:val="auto"/>
          <w:spacing w:val="0"/>
          <w:w w:val="100"/>
          <w:kern w:val="0"/>
          <w:position w:val="0"/>
          <w:sz w:val="24"/>
        </w:rPr>
        <w:t>年6月</w:t>
      </w:r>
      <w:r>
        <w:rPr>
          <w:rFonts w:hint="eastAsia" w:ascii="宋体" w:hAnsi="宋体" w:eastAsia="宋体" w:cs="宋体"/>
          <w:color w:val="auto"/>
          <w:spacing w:val="0"/>
          <w:w w:val="100"/>
          <w:kern w:val="0"/>
          <w:position w:val="0"/>
          <w:sz w:val="24"/>
          <w:lang w:eastAsia="zh-CN"/>
        </w:rPr>
        <w:t>吉安市水利局</w:t>
      </w:r>
      <w:r>
        <w:rPr>
          <w:rFonts w:hint="eastAsia" w:ascii="宋体" w:hAnsi="宋体" w:eastAsia="宋体" w:cs="宋体"/>
          <w:color w:val="auto"/>
          <w:spacing w:val="0"/>
          <w:w w:val="100"/>
          <w:kern w:val="0"/>
          <w:position w:val="0"/>
          <w:sz w:val="24"/>
        </w:rPr>
        <w:t>以吉水利建管字[2016]174号对</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水电站增效扩容改造工程初步设计报告进行了批复。</w:t>
      </w:r>
      <w:r>
        <w:rPr>
          <w:rFonts w:hint="eastAsia" w:ascii="宋体" w:hAnsi="宋体" w:eastAsia="宋体" w:cs="宋体"/>
          <w:color w:val="auto"/>
          <w:spacing w:val="0"/>
          <w:w w:val="100"/>
          <w:kern w:val="0"/>
          <w:position w:val="0"/>
          <w:sz w:val="24"/>
          <w:lang w:eastAsia="zh-CN"/>
        </w:rPr>
        <w:t>该</w:t>
      </w:r>
      <w:r>
        <w:rPr>
          <w:rFonts w:hint="eastAsia" w:ascii="宋体" w:hAnsi="宋体" w:eastAsia="宋体" w:cs="宋体"/>
          <w:color w:val="auto"/>
          <w:spacing w:val="0"/>
          <w:w w:val="100"/>
          <w:kern w:val="0"/>
          <w:position w:val="0"/>
          <w:sz w:val="24"/>
        </w:rPr>
        <w:t>改造工程主要为电站装机规模由原来</w:t>
      </w:r>
      <w:r>
        <w:rPr>
          <w:rFonts w:hint="eastAsia" w:ascii="宋体" w:hAnsi="宋体" w:eastAsia="宋体" w:cs="宋体"/>
          <w:color w:val="auto"/>
          <w:spacing w:val="0"/>
          <w:w w:val="100"/>
          <w:kern w:val="0"/>
          <w:position w:val="0"/>
          <w:sz w:val="24"/>
          <w:lang w:val="en-US" w:eastAsia="zh-CN"/>
        </w:rPr>
        <w:t>126</w:t>
      </w:r>
      <w:r>
        <w:rPr>
          <w:rFonts w:hint="eastAsia" w:ascii="宋体" w:hAnsi="宋体" w:eastAsia="宋体" w:cs="宋体"/>
          <w:color w:val="auto"/>
          <w:spacing w:val="0"/>
          <w:w w:val="100"/>
          <w:kern w:val="0"/>
          <w:position w:val="0"/>
          <w:sz w:val="24"/>
        </w:rPr>
        <w:t>0kW（2×</w:t>
      </w:r>
      <w:r>
        <w:rPr>
          <w:rFonts w:hint="eastAsia" w:ascii="宋体" w:hAnsi="宋体" w:eastAsia="宋体" w:cs="宋体"/>
          <w:color w:val="auto"/>
          <w:spacing w:val="0"/>
          <w:w w:val="100"/>
          <w:kern w:val="0"/>
          <w:position w:val="0"/>
          <w:sz w:val="24"/>
          <w:lang w:val="en-US" w:eastAsia="zh-CN"/>
        </w:rPr>
        <w:t>63</w:t>
      </w:r>
      <w:r>
        <w:rPr>
          <w:rFonts w:hint="eastAsia" w:ascii="宋体" w:hAnsi="宋体" w:eastAsia="宋体" w:cs="宋体"/>
          <w:color w:val="auto"/>
          <w:spacing w:val="0"/>
          <w:w w:val="100"/>
          <w:kern w:val="0"/>
          <w:position w:val="0"/>
          <w:sz w:val="24"/>
        </w:rPr>
        <w:t>0kW）</w:t>
      </w:r>
      <w:r>
        <w:rPr>
          <w:rFonts w:hint="eastAsia" w:ascii="宋体" w:hAnsi="宋体" w:eastAsia="宋体" w:cs="宋体"/>
          <w:color w:val="auto"/>
          <w:spacing w:val="0"/>
          <w:w w:val="100"/>
          <w:kern w:val="0"/>
          <w:position w:val="0"/>
          <w:sz w:val="24"/>
          <w:lang w:val="en-US" w:eastAsia="zh-CN"/>
        </w:rPr>
        <w:t>增效扩容</w:t>
      </w:r>
      <w:r>
        <w:rPr>
          <w:rFonts w:hint="eastAsia" w:ascii="宋体" w:hAnsi="宋体" w:eastAsia="宋体" w:cs="宋体"/>
          <w:color w:val="auto"/>
          <w:spacing w:val="0"/>
          <w:w w:val="100"/>
          <w:kern w:val="0"/>
          <w:position w:val="0"/>
          <w:sz w:val="24"/>
        </w:rPr>
        <w:t>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lang w:val="en-US" w:eastAsia="zh-CN"/>
        </w:rPr>
        <w:t>工程</w:t>
      </w:r>
      <w:r>
        <w:rPr>
          <w:rFonts w:hint="eastAsia" w:ascii="宋体" w:hAnsi="宋体" w:eastAsia="宋体" w:cs="宋体"/>
          <w:color w:val="auto"/>
          <w:spacing w:val="0"/>
          <w:w w:val="100"/>
          <w:kern w:val="0"/>
          <w:position w:val="0"/>
          <w:sz w:val="24"/>
        </w:rPr>
        <w:t>利用原电站的大坝及引水隧道，对部分设施进行改造</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拦河坝靠进水闸一侧新建冲沙闸一座及压力管道进行重新修建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对厂房进行重新修建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对发电机组设备及相应辅助设施的更新，总装机容量</w:t>
      </w:r>
      <w:r>
        <w:rPr>
          <w:rFonts w:hint="eastAsia" w:ascii="宋体" w:hAnsi="宋体" w:eastAsia="宋体" w:cs="宋体"/>
          <w:color w:val="auto"/>
          <w:spacing w:val="0"/>
          <w:w w:val="100"/>
          <w:kern w:val="0"/>
          <w:position w:val="0"/>
          <w:sz w:val="24"/>
          <w:lang w:eastAsia="zh-CN"/>
        </w:rPr>
        <w:t>扩大为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00kW）。本项目为不完全年调节水利水电工程，以水力发电为主，兼有防洪，水库正常蓄水位</w:t>
      </w:r>
      <w:r>
        <w:rPr>
          <w:rFonts w:hint="eastAsia" w:ascii="宋体" w:hAnsi="宋体" w:eastAsia="宋体" w:cs="宋体"/>
          <w:color w:val="auto"/>
          <w:spacing w:val="0"/>
          <w:w w:val="100"/>
          <w:kern w:val="0"/>
          <w:position w:val="0"/>
          <w:sz w:val="24"/>
          <w:lang w:val="en-US" w:eastAsia="zh-CN"/>
        </w:rPr>
        <w:t>503.7</w:t>
      </w:r>
      <w:r>
        <w:rPr>
          <w:rFonts w:hint="eastAsia" w:ascii="宋体" w:hAnsi="宋体" w:eastAsia="宋体" w:cs="宋体"/>
          <w:color w:val="auto"/>
          <w:spacing w:val="0"/>
          <w:w w:val="100"/>
          <w:kern w:val="0"/>
          <w:position w:val="0"/>
          <w:sz w:val="24"/>
        </w:rPr>
        <w:t>m，总库容为</w:t>
      </w:r>
      <w:r>
        <w:rPr>
          <w:rFonts w:hint="eastAsia" w:ascii="宋体" w:hAnsi="宋体" w:eastAsia="宋体" w:cs="宋体"/>
          <w:color w:val="auto"/>
          <w:spacing w:val="0"/>
          <w:w w:val="100"/>
          <w:kern w:val="0"/>
          <w:position w:val="0"/>
          <w:sz w:val="24"/>
          <w:lang w:val="en-US" w:eastAsia="zh-CN"/>
        </w:rPr>
        <w:t>0.1</w:t>
      </w:r>
      <w:r>
        <w:rPr>
          <w:rFonts w:hint="eastAsia" w:ascii="宋体" w:hAnsi="宋体" w:eastAsia="宋体" w:cs="宋体"/>
          <w:color w:val="auto"/>
          <w:spacing w:val="0"/>
          <w:w w:val="100"/>
          <w:kern w:val="0"/>
          <w:position w:val="0"/>
          <w:sz w:val="24"/>
        </w:rPr>
        <w:t>万m</w:t>
      </w:r>
      <w:r>
        <w:rPr>
          <w:rFonts w:hint="eastAsia" w:ascii="宋体" w:hAnsi="宋体" w:eastAsia="宋体" w:cs="宋体"/>
          <w:color w:val="auto"/>
          <w:spacing w:val="0"/>
          <w:w w:val="100"/>
          <w:kern w:val="0"/>
          <w:position w:val="0"/>
          <w:sz w:val="24"/>
          <w:vertAlign w:val="superscript"/>
        </w:rPr>
        <w:t>3</w:t>
      </w:r>
      <w:r>
        <w:rPr>
          <w:rFonts w:hint="eastAsia" w:ascii="宋体" w:hAnsi="宋体" w:eastAsia="宋体" w:cs="宋体"/>
          <w:color w:val="auto"/>
          <w:spacing w:val="0"/>
          <w:w w:val="100"/>
          <w:kern w:val="0"/>
          <w:position w:val="0"/>
          <w:sz w:val="24"/>
        </w:rPr>
        <w:t>，电站装机容量</w:t>
      </w:r>
      <w:r>
        <w:rPr>
          <w:rFonts w:hint="eastAsia" w:ascii="宋体" w:hAnsi="宋体" w:eastAsia="宋体" w:cs="宋体"/>
          <w:color w:val="auto"/>
          <w:spacing w:val="0"/>
          <w:w w:val="100"/>
          <w:kern w:val="0"/>
          <w:position w:val="0"/>
          <w:sz w:val="24"/>
          <w:lang w:val="en-US" w:eastAsia="zh-CN"/>
        </w:rPr>
        <w:t>1600</w:t>
      </w:r>
      <w:r>
        <w:rPr>
          <w:rFonts w:hint="eastAsia" w:ascii="宋体" w:hAnsi="宋体" w:eastAsia="宋体" w:cs="宋体"/>
          <w:color w:val="auto"/>
          <w:spacing w:val="0"/>
          <w:w w:val="100"/>
          <w:kern w:val="0"/>
          <w:position w:val="0"/>
          <w:sz w:val="24"/>
        </w:rPr>
        <w:t>kW，多年平均发电量</w:t>
      </w:r>
      <w:r>
        <w:rPr>
          <w:rFonts w:hint="eastAsia" w:ascii="宋体" w:hAnsi="宋体" w:eastAsia="宋体" w:cs="宋体"/>
          <w:color w:val="auto"/>
          <w:spacing w:val="0"/>
          <w:w w:val="100"/>
          <w:kern w:val="0"/>
          <w:position w:val="0"/>
          <w:sz w:val="24"/>
          <w:lang w:val="en-US" w:eastAsia="zh-CN"/>
        </w:rPr>
        <w:t>515</w:t>
      </w:r>
      <w:r>
        <w:rPr>
          <w:rFonts w:hint="eastAsia" w:ascii="宋体" w:hAnsi="宋体" w:eastAsia="宋体" w:cs="宋体"/>
          <w:color w:val="auto"/>
          <w:spacing w:val="0"/>
          <w:w w:val="100"/>
          <w:kern w:val="0"/>
          <w:position w:val="0"/>
          <w:sz w:val="24"/>
        </w:rPr>
        <w:t>万</w:t>
      </w:r>
      <w:r>
        <w:rPr>
          <w:rFonts w:hint="eastAsia" w:ascii="宋体" w:hAnsi="宋体" w:eastAsia="宋体" w:cs="宋体"/>
          <w:color w:val="auto"/>
          <w:spacing w:val="0"/>
          <w:w w:val="100"/>
          <w:kern w:val="0"/>
          <w:position w:val="0"/>
          <w:sz w:val="24"/>
          <w:lang w:val="en-US" w:eastAsia="zh-CN"/>
        </w:rPr>
        <w:t xml:space="preserve"> </w:t>
      </w:r>
      <w:r>
        <w:rPr>
          <w:rFonts w:hint="eastAsia" w:ascii="宋体" w:hAnsi="宋体" w:eastAsia="宋体" w:cs="宋体"/>
          <w:color w:val="auto"/>
          <w:spacing w:val="0"/>
          <w:w w:val="100"/>
          <w:kern w:val="0"/>
          <w:position w:val="0"/>
          <w:sz w:val="24"/>
        </w:rPr>
        <w:t>kW·h，年利用小时数</w:t>
      </w:r>
      <w:r>
        <w:rPr>
          <w:rFonts w:hint="eastAsia" w:ascii="宋体" w:hAnsi="宋体" w:eastAsia="宋体" w:cs="宋体"/>
          <w:color w:val="auto"/>
          <w:spacing w:val="0"/>
          <w:w w:val="100"/>
          <w:kern w:val="0"/>
          <w:position w:val="0"/>
          <w:sz w:val="24"/>
          <w:lang w:val="en-US" w:eastAsia="zh-CN"/>
        </w:rPr>
        <w:t>3216</w:t>
      </w:r>
      <w:r>
        <w:rPr>
          <w:rFonts w:hint="eastAsia" w:ascii="宋体" w:hAnsi="宋体" w:eastAsia="宋体" w:cs="宋体"/>
          <w:color w:val="auto"/>
          <w:spacing w:val="0"/>
          <w:w w:val="100"/>
          <w:kern w:val="0"/>
          <w:position w:val="0"/>
          <w:sz w:val="24"/>
        </w:rPr>
        <w:t>h。</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auto"/>
          <w:spacing w:val="0"/>
          <w:w w:val="100"/>
          <w:kern w:val="0"/>
          <w:position w:val="0"/>
          <w:sz w:val="24"/>
        </w:rPr>
        <w:t>本工程现有改造建设</w:t>
      </w:r>
      <w:r>
        <w:rPr>
          <w:rFonts w:hint="eastAsia" w:ascii="宋体" w:hAnsi="宋体" w:eastAsia="宋体" w:cs="宋体"/>
          <w:color w:val="auto"/>
          <w:spacing w:val="0"/>
          <w:w w:val="100"/>
          <w:kern w:val="0"/>
          <w:position w:val="0"/>
          <w:sz w:val="24"/>
          <w:lang w:eastAsia="zh-CN"/>
        </w:rPr>
        <w:t>已</w:t>
      </w:r>
      <w:r>
        <w:rPr>
          <w:rFonts w:hint="eastAsia" w:ascii="宋体" w:hAnsi="宋体" w:eastAsia="宋体" w:cs="宋体"/>
          <w:color w:val="auto"/>
          <w:spacing w:val="0"/>
          <w:w w:val="100"/>
          <w:kern w:val="0"/>
          <w:position w:val="0"/>
          <w:sz w:val="24"/>
        </w:rPr>
        <w:t>完成，且稳定运营多年，但未办理相关的环保手续，根据《中华人民共和国环境影响评价法》、《建设项目环境保护管理条例》及生态环保部的《关于建设项目“未批先建”违法行为法律适用问题的意见》相关解释，本项目虽然不用追溯“未批先建”违法行为，但是仍违反环保设施“三同时”验收制度。建设单位目前首先须完善环境影响评价手续，而后再根据环评报告和环评批复要求，组织进行项目环保设施的“三同时”验收</w:t>
      </w:r>
      <w:r>
        <w:rPr>
          <w:rFonts w:hint="eastAsia" w:ascii="宋体" w:hAnsi="宋体" w:eastAsia="宋体" w:cs="宋体"/>
          <w:spacing w:val="-5"/>
          <w:sz w:val="24"/>
          <w:szCs w:val="24"/>
        </w:rPr>
        <w:t>。</w:t>
      </w:r>
      <w:r>
        <w:rPr>
          <w:rFonts w:hint="eastAsia" w:ascii="宋体" w:hAnsi="宋体" w:eastAsia="宋体" w:cs="宋体"/>
          <w:color w:val="000000" w:themeColor="text1"/>
          <w:sz w:val="24"/>
          <w:szCs w:val="24"/>
          <w:lang w:eastAsia="zh-CN"/>
          <w14:textFill>
            <w14:solidFill>
              <w14:schemeClr w14:val="tx1"/>
            </w14:solidFill>
          </w14:textFill>
        </w:rPr>
        <w:t>故</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19</w:t>
      </w:r>
      <w:r>
        <w:rPr>
          <w:rFonts w:hint="eastAsia" w:ascii="宋体" w:hAnsi="宋体" w:eastAsia="宋体" w:cs="宋体"/>
          <w:color w:val="000000" w:themeColor="text1"/>
          <w:sz w:val="24"/>
          <w:szCs w:val="24"/>
          <w14:textFill>
            <w14:solidFill>
              <w14:schemeClr w14:val="tx1"/>
            </w14:solidFill>
          </w14:textFill>
        </w:rPr>
        <w:t>年</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12</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w:t>
      </w:r>
      <w:r>
        <w:rPr>
          <w:rFonts w:hint="eastAsia" w:ascii="宋体" w:hAnsi="宋体" w:eastAsia="宋体" w:cs="宋体"/>
          <w:color w:val="000000" w:themeColor="text1"/>
          <w:sz w:val="24"/>
          <w:szCs w:val="24"/>
          <w14:textFill>
            <w14:solidFill>
              <w14:schemeClr w14:val="tx1"/>
            </w14:solidFill>
          </w14:textFill>
        </w:rPr>
        <w:t>委托江西晨晓环保有限公司</w:t>
      </w:r>
      <w:r>
        <w:rPr>
          <w:rFonts w:hint="eastAsia" w:ascii="宋体" w:hAnsi="宋体" w:eastAsia="宋体" w:cs="宋体"/>
          <w:color w:val="000000" w:themeColor="text1"/>
          <w:spacing w:val="-10"/>
          <w:sz w:val="24"/>
          <w:szCs w:val="24"/>
          <w14:textFill>
            <w14:solidFill>
              <w14:schemeClr w14:val="tx1"/>
            </w14:solidFill>
          </w14:textFill>
        </w:rPr>
        <w:t>编制完成《</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pacing w:val="-10"/>
          <w:sz w:val="24"/>
          <w:szCs w:val="24"/>
          <w14:textFill>
            <w14:solidFill>
              <w14:schemeClr w14:val="tx1"/>
            </w14:solidFill>
          </w14:textFill>
        </w:rPr>
        <w:t>项目环境影响报告书》，并于</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20</w:t>
      </w:r>
      <w:r>
        <w:rPr>
          <w:rFonts w:hint="eastAsia" w:ascii="宋体" w:hAnsi="宋体" w:eastAsia="宋体" w:cs="宋体"/>
          <w:color w:val="000000" w:themeColor="text1"/>
          <w:spacing w:val="-30"/>
          <w:sz w:val="24"/>
          <w:szCs w:val="24"/>
          <w14:textFill>
            <w14:solidFill>
              <w14:schemeClr w14:val="tx1"/>
            </w14:solidFill>
          </w14:textFill>
        </w:rPr>
        <w:t>年</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07</w:t>
      </w:r>
      <w:r>
        <w:rPr>
          <w:rFonts w:hint="eastAsia" w:ascii="宋体" w:hAnsi="宋体" w:eastAsia="宋体" w:cs="宋体"/>
          <w:color w:val="000000" w:themeColor="text1"/>
          <w:spacing w:val="-30"/>
          <w:sz w:val="24"/>
          <w:szCs w:val="24"/>
          <w14:textFill>
            <w14:solidFill>
              <w14:schemeClr w14:val="tx1"/>
            </w14:solidFill>
          </w14:textFill>
        </w:rPr>
        <w:t>月</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27</w:t>
      </w:r>
      <w:r>
        <w:rPr>
          <w:rFonts w:hint="eastAsia" w:ascii="宋体" w:hAnsi="宋体" w:eastAsia="宋体" w:cs="宋体"/>
          <w:color w:val="000000" w:themeColor="text1"/>
          <w:spacing w:val="-7"/>
          <w:sz w:val="24"/>
          <w:szCs w:val="24"/>
          <w14:textFill>
            <w14:solidFill>
              <w14:schemeClr w14:val="tx1"/>
            </w14:solidFill>
          </w14:textFill>
        </w:rPr>
        <w:t>日取</w:t>
      </w:r>
      <w:r>
        <w:rPr>
          <w:rFonts w:hint="eastAsia" w:ascii="宋体" w:hAnsi="宋体" w:eastAsia="宋体" w:cs="宋体"/>
          <w:color w:val="000000" w:themeColor="text1"/>
          <w:sz w:val="24"/>
          <w:szCs w:val="24"/>
          <w14:textFill>
            <w14:solidFill>
              <w14:schemeClr w14:val="tx1"/>
            </w14:solidFill>
          </w14:textFill>
        </w:rPr>
        <w:t>得</w:t>
      </w:r>
      <w:r>
        <w:rPr>
          <w:rFonts w:hint="eastAsia" w:ascii="宋体" w:hAnsi="宋体" w:eastAsia="宋体" w:cs="宋体"/>
          <w:color w:val="000000" w:themeColor="text1"/>
          <w:sz w:val="24"/>
          <w:szCs w:val="24"/>
          <w:lang w:eastAsia="zh-CN"/>
          <w14:textFill>
            <w14:solidFill>
              <w14:schemeClr w14:val="tx1"/>
            </w14:solidFill>
          </w14:textFill>
        </w:rPr>
        <w:t>吉安市生态环境局</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吉安市生态环境局</w:t>
      </w:r>
      <w:r>
        <w:rPr>
          <w:rFonts w:hint="eastAsia" w:ascii="宋体" w:hAnsi="宋体" w:eastAsia="宋体" w:cs="宋体"/>
          <w:color w:val="000000" w:themeColor="text1"/>
          <w:sz w:val="24"/>
          <w:szCs w:val="24"/>
          <w14:textFill>
            <w14:solidFill>
              <w14:schemeClr w14:val="tx1"/>
            </w14:solidFill>
          </w14:textFill>
        </w:rPr>
        <w:t>关于</w:t>
      </w: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w:t>
      </w:r>
      <w:r>
        <w:rPr>
          <w:rFonts w:hint="eastAsia" w:ascii="宋体" w:hAnsi="宋体" w:eastAsia="宋体" w:cs="宋体"/>
          <w:color w:val="000000" w:themeColor="text1"/>
          <w:sz w:val="24"/>
          <w:szCs w:val="24"/>
          <w14:textFill>
            <w14:solidFill>
              <w14:schemeClr w14:val="tx1"/>
            </w14:solidFill>
          </w14:textFill>
        </w:rPr>
        <w:t>环境影响报告书</w:t>
      </w:r>
      <w:r>
        <w:rPr>
          <w:rFonts w:hint="eastAsia" w:ascii="宋体" w:hAnsi="宋体" w:eastAsia="宋体" w:cs="宋体"/>
          <w:color w:val="000000" w:themeColor="text1"/>
          <w:sz w:val="24"/>
          <w:szCs w:val="24"/>
          <w:lang w:eastAsia="zh-CN"/>
          <w14:textFill>
            <w14:solidFill>
              <w14:schemeClr w14:val="tx1"/>
            </w14:solidFill>
          </w14:textFill>
        </w:rPr>
        <w:t>的批复</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吉市环评</w:t>
      </w:r>
      <w:r>
        <w:rPr>
          <w:rFonts w:hint="eastAsia" w:ascii="宋体" w:hAnsi="宋体" w:eastAsia="宋体" w:cs="宋体"/>
          <w:color w:val="000000" w:themeColor="text1"/>
          <w:sz w:val="24"/>
          <w:szCs w:val="24"/>
          <w14:textFill>
            <w14:solidFill>
              <w14:schemeClr w14:val="tx1"/>
            </w14:solidFill>
          </w14:textFill>
        </w:rPr>
        <w:t>字</w:t>
      </w:r>
      <w:r>
        <w:rPr>
          <w:rFonts w:hint="eastAsia" w:ascii="Times New Roman" w:hAnsi="Times New Roman" w:eastAsia="宋体" w:cs="Times New Roman"/>
          <w:color w:val="000000" w:themeColor="text1"/>
          <w:spacing w:val="-10"/>
          <w:sz w:val="24"/>
          <w:szCs w:val="24"/>
          <w14:textFill>
            <w14:solidFill>
              <w14:schemeClr w14:val="tx1"/>
            </w14:solidFill>
          </w14:textFill>
        </w:rPr>
        <w:t>[20</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20</w:t>
      </w:r>
      <w:r>
        <w:rPr>
          <w:rFonts w:hint="eastAsia" w:ascii="Times New Roman" w:hAnsi="Times New Roman" w:eastAsia="宋体" w:cs="Times New Roman"/>
          <w:color w:val="000000" w:themeColor="text1"/>
          <w:spacing w:val="-10"/>
          <w:sz w:val="24"/>
          <w:szCs w:val="24"/>
          <w14:textFill>
            <w14:solidFill>
              <w14:schemeClr w14:val="tx1"/>
            </w14:solidFill>
          </w14:textFill>
        </w:rPr>
        <w:t>]</w:t>
      </w:r>
      <w:r>
        <w:rPr>
          <w:rFonts w:hint="eastAsia" w:ascii="Times New Roman" w:hAnsi="Times New Roman" w:eastAsia="宋体" w:cs="Times New Roman"/>
          <w:color w:val="000000" w:themeColor="text1"/>
          <w:spacing w:val="-10"/>
          <w:sz w:val="24"/>
          <w:szCs w:val="24"/>
          <w:lang w:val="en-US" w:eastAsia="zh-CN"/>
          <w14:textFill>
            <w14:solidFill>
              <w14:schemeClr w14:val="tx1"/>
            </w14:solidFill>
          </w14:textFill>
        </w:rPr>
        <w:t>75</w:t>
      </w:r>
      <w:r>
        <w:rPr>
          <w:rFonts w:hint="eastAsia" w:ascii="宋体" w:hAnsi="宋体" w:eastAsia="宋体" w:cs="宋体"/>
          <w:color w:val="000000" w:themeColor="text1"/>
          <w:sz w:val="24"/>
          <w:szCs w:val="24"/>
          <w14:textFill>
            <w14:solidFill>
              <w14:schemeClr w14:val="tx1"/>
            </w14:solidFill>
          </w14:textFill>
        </w:rPr>
        <w:t>号）。</w:t>
      </w:r>
    </w:p>
    <w:p>
      <w:pPr>
        <w:pStyle w:val="18"/>
        <w:numPr>
          <w:ilvl w:val="2"/>
          <w:numId w:val="3"/>
        </w:numPr>
        <w:tabs>
          <w:tab w:val="left" w:pos="1316"/>
        </w:tabs>
        <w:spacing w:before="120" w:after="0" w:line="240" w:lineRule="auto"/>
        <w:ind w:left="1316" w:right="0" w:hanging="699"/>
        <w:jc w:val="left"/>
        <w:rPr>
          <w:b/>
          <w:sz w:val="28"/>
        </w:rPr>
      </w:pPr>
      <w:bookmarkStart w:id="53" w:name="2.1.2工程建设进度"/>
      <w:bookmarkEnd w:id="53"/>
      <w:bookmarkStart w:id="54" w:name="2.1.2工程建设进度"/>
      <w:bookmarkEnd w:id="54"/>
      <w:r>
        <w:rPr>
          <w:b/>
          <w:sz w:val="28"/>
        </w:rPr>
        <w:t>工程建设进度</w:t>
      </w:r>
    </w:p>
    <w:p>
      <w:pPr>
        <w:pStyle w:val="2"/>
        <w:spacing w:before="10"/>
        <w:rPr>
          <w:b/>
          <w:color w:val="000000" w:themeColor="text1"/>
          <w:sz w:val="23"/>
          <w14:textFill>
            <w14:solidFill>
              <w14:schemeClr w14:val="tx1"/>
            </w14:solidFill>
          </w14:textFill>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color w:val="000000" w:themeColor="text1"/>
          <w:spacing w:val="-8"/>
          <w:sz w:val="24"/>
          <w:szCs w:val="24"/>
          <w14:textFill>
            <w14:solidFill>
              <w14:schemeClr w14:val="tx1"/>
            </w14:solidFill>
          </w14:textFill>
        </w:rPr>
        <w:t>于</w:t>
      </w:r>
      <w:r>
        <w:rPr>
          <w:rFonts w:hint="eastAsia" w:ascii="宋体" w:hAnsi="宋体" w:eastAsia="宋体" w:cs="宋体"/>
          <w:color w:val="000000" w:themeColor="text1"/>
          <w:spacing w:val="0"/>
          <w:w w:val="100"/>
          <w:kern w:val="0"/>
          <w:position w:val="0"/>
          <w:sz w:val="24"/>
          <w:lang w:val="en-US" w:eastAsia="zh-CN"/>
          <w14:textFill>
            <w14:solidFill>
              <w14:schemeClr w14:val="tx1"/>
            </w14:solidFill>
          </w14:textFill>
        </w:rPr>
        <w:t>2016年</w:t>
      </w:r>
      <w:r>
        <w:rPr>
          <w:rFonts w:hint="eastAsia" w:ascii="宋体" w:hAnsi="宋体" w:eastAsia="宋体" w:cs="宋体"/>
          <w:color w:val="auto"/>
          <w:spacing w:val="0"/>
          <w:w w:val="100"/>
          <w:kern w:val="0"/>
          <w:position w:val="0"/>
          <w:sz w:val="24"/>
          <w:lang w:val="en-US" w:eastAsia="zh-CN"/>
        </w:rPr>
        <w:t>电站进行了增效扩容改造。</w:t>
      </w:r>
      <w:r>
        <w:rPr>
          <w:rFonts w:hint="eastAsia" w:ascii="宋体" w:hAnsi="宋体" w:eastAsia="宋体" w:cs="宋体"/>
          <w:color w:val="auto"/>
          <w:spacing w:val="0"/>
          <w:w w:val="100"/>
          <w:kern w:val="0"/>
          <w:position w:val="0"/>
          <w:sz w:val="24"/>
        </w:rPr>
        <w:t>201</w:t>
      </w:r>
      <w:r>
        <w:rPr>
          <w:rFonts w:hint="eastAsia" w:ascii="宋体" w:hAnsi="宋体" w:eastAsia="宋体" w:cs="宋体"/>
          <w:color w:val="auto"/>
          <w:spacing w:val="0"/>
          <w:w w:val="100"/>
          <w:kern w:val="0"/>
          <w:position w:val="0"/>
          <w:sz w:val="24"/>
          <w:lang w:val="en-US" w:eastAsia="zh-CN"/>
        </w:rPr>
        <w:t>6</w:t>
      </w:r>
      <w:r>
        <w:rPr>
          <w:rFonts w:hint="eastAsia" w:ascii="宋体" w:hAnsi="宋体" w:eastAsia="宋体" w:cs="宋体"/>
          <w:color w:val="auto"/>
          <w:spacing w:val="0"/>
          <w:w w:val="100"/>
          <w:kern w:val="0"/>
          <w:position w:val="0"/>
          <w:sz w:val="24"/>
        </w:rPr>
        <w:t>年6月</w:t>
      </w:r>
      <w:r>
        <w:rPr>
          <w:rFonts w:hint="eastAsia" w:ascii="宋体" w:hAnsi="宋体" w:eastAsia="宋体" w:cs="宋体"/>
          <w:color w:val="auto"/>
          <w:spacing w:val="0"/>
          <w:w w:val="100"/>
          <w:kern w:val="0"/>
          <w:position w:val="0"/>
          <w:sz w:val="24"/>
          <w:lang w:eastAsia="zh-CN"/>
        </w:rPr>
        <w:t>吉安市水利局</w:t>
      </w:r>
      <w:r>
        <w:rPr>
          <w:rFonts w:hint="eastAsia" w:ascii="宋体" w:hAnsi="宋体" w:eastAsia="宋体" w:cs="宋体"/>
          <w:color w:val="auto"/>
          <w:spacing w:val="0"/>
          <w:w w:val="100"/>
          <w:kern w:val="0"/>
          <w:position w:val="0"/>
          <w:sz w:val="24"/>
        </w:rPr>
        <w:t>以吉水利建管字[2016]174号对</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水电站增效扩容改造工程初步设计报告进行了批复</w:t>
      </w:r>
      <w:r>
        <w:rPr>
          <w:rFonts w:hint="eastAsia" w:ascii="宋体" w:hAnsi="宋体" w:eastAsia="宋体" w:cs="宋体"/>
          <w:spacing w:val="-8"/>
          <w:sz w:val="24"/>
          <w:szCs w:val="24"/>
        </w:rPr>
        <w:t>。</w:t>
      </w:r>
    </w:p>
    <w:p>
      <w:pPr>
        <w:spacing w:after="0" w:line="364" w:lineRule="auto"/>
        <w:jc w:val="both"/>
        <w:sectPr>
          <w:pgSz w:w="11910" w:h="16840"/>
          <w:pgMar w:top="1580" w:right="1160" w:bottom="1180" w:left="1180" w:header="0" w:footer="991" w:gutter="0"/>
        </w:sectPr>
      </w:pPr>
    </w:p>
    <w:p>
      <w:pPr>
        <w:pStyle w:val="4"/>
        <w:numPr>
          <w:ilvl w:val="1"/>
          <w:numId w:val="3"/>
        </w:numPr>
        <w:tabs>
          <w:tab w:val="left" w:pos="1220"/>
        </w:tabs>
        <w:spacing w:before="44" w:after="0" w:line="240" w:lineRule="auto"/>
        <w:ind w:left="1220" w:right="0" w:hanging="603"/>
        <w:jc w:val="left"/>
        <w:rPr>
          <w:rFonts w:hint="eastAsia" w:ascii="宋体" w:hAnsi="宋体" w:eastAsia="宋体" w:cs="宋体"/>
        </w:rPr>
      </w:pPr>
      <w:bookmarkStart w:id="55" w:name="2.2工程概况"/>
      <w:bookmarkEnd w:id="55"/>
      <w:bookmarkStart w:id="56" w:name="_bookmark11"/>
      <w:bookmarkEnd w:id="56"/>
      <w:bookmarkStart w:id="57" w:name="_bookmark11"/>
      <w:bookmarkEnd w:id="57"/>
      <w:r>
        <w:rPr>
          <w:rFonts w:hint="eastAsia" w:ascii="宋体" w:hAnsi="宋体" w:eastAsia="宋体" w:cs="宋体"/>
          <w:w w:val="95"/>
        </w:rPr>
        <w:t>工程概况</w:t>
      </w:r>
    </w:p>
    <w:p>
      <w:pPr>
        <w:pStyle w:val="18"/>
        <w:keepNext w:val="0"/>
        <w:keepLines w:val="0"/>
        <w:pageBreakBefore w:val="0"/>
        <w:widowControl w:val="0"/>
        <w:numPr>
          <w:ilvl w:val="2"/>
          <w:numId w:val="3"/>
        </w:numPr>
        <w:tabs>
          <w:tab w:val="left" w:pos="1316"/>
        </w:tabs>
        <w:kinsoku/>
        <w:wordWrap/>
        <w:overflowPunct/>
        <w:topLinePunct w:val="0"/>
        <w:autoSpaceDE w:val="0"/>
        <w:autoSpaceDN w:val="0"/>
        <w:bidi w:val="0"/>
        <w:adjustRightInd/>
        <w:snapToGrid/>
        <w:spacing w:before="245" w:after="0" w:line="360" w:lineRule="auto"/>
        <w:ind w:left="1316" w:right="0" w:hanging="699"/>
        <w:jc w:val="left"/>
        <w:textAlignment w:val="auto"/>
        <w:rPr>
          <w:rFonts w:hint="eastAsia" w:ascii="宋体" w:hAnsi="宋体" w:eastAsia="宋体" w:cs="宋体"/>
          <w:b/>
          <w:color w:val="000000" w:themeColor="text1"/>
          <w:sz w:val="28"/>
          <w14:textFill>
            <w14:solidFill>
              <w14:schemeClr w14:val="tx1"/>
            </w14:solidFill>
          </w14:textFill>
        </w:rPr>
      </w:pPr>
      <w:bookmarkStart w:id="58" w:name="2.2.1地理位置"/>
      <w:bookmarkEnd w:id="58"/>
      <w:bookmarkStart w:id="59" w:name="2.2.1地理位置"/>
      <w:bookmarkEnd w:id="59"/>
      <w:r>
        <w:rPr>
          <w:rFonts w:hint="eastAsia" w:ascii="宋体" w:hAnsi="宋体" w:eastAsia="宋体" w:cs="宋体"/>
          <w:b/>
          <w:color w:val="000000" w:themeColor="text1"/>
          <w:spacing w:val="-1"/>
          <w:w w:val="95"/>
          <w:sz w:val="28"/>
          <w14:textFill>
            <w14:solidFill>
              <w14:schemeClr w14:val="tx1"/>
            </w14:solidFill>
          </w14:textFill>
        </w:rPr>
        <w:t>地理位置</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位</w:t>
      </w:r>
      <w:r>
        <w:rPr>
          <w:rFonts w:hint="eastAsia" w:ascii="宋体" w:hAnsi="宋体" w:eastAsia="宋体" w:cs="宋体"/>
          <w:color w:val="auto"/>
          <w:spacing w:val="0"/>
          <w:w w:val="100"/>
          <w:kern w:val="0"/>
          <w:position w:val="0"/>
          <w:sz w:val="24"/>
          <w:szCs w:val="24"/>
        </w:rPr>
        <w:t>于</w:t>
      </w:r>
      <w:r>
        <w:rPr>
          <w:rFonts w:hint="eastAsia" w:ascii="宋体" w:hAnsi="宋体" w:eastAsia="宋体" w:cs="宋体"/>
          <w:color w:val="auto"/>
          <w:spacing w:val="0"/>
          <w:w w:val="100"/>
          <w:kern w:val="0"/>
          <w:position w:val="0"/>
          <w:sz w:val="24"/>
          <w:szCs w:val="24"/>
          <w:lang w:eastAsia="zh-CN"/>
        </w:rPr>
        <w:t>青原区东固乡</w:t>
      </w:r>
      <w:r>
        <w:rPr>
          <w:rFonts w:hint="eastAsia" w:ascii="宋体" w:hAnsi="宋体" w:eastAsia="宋体" w:cs="宋体"/>
          <w:color w:val="auto"/>
          <w:spacing w:val="0"/>
          <w:w w:val="100"/>
          <w:kern w:val="0"/>
          <w:position w:val="0"/>
          <w:sz w:val="24"/>
          <w:szCs w:val="24"/>
        </w:rPr>
        <w:t>，设一座大坝、一处厂房和一座办公楼，坝址坐落在</w:t>
      </w:r>
      <w:r>
        <w:rPr>
          <w:rFonts w:hint="eastAsia" w:ascii="宋体" w:hAnsi="宋体" w:eastAsia="宋体" w:cs="宋体"/>
          <w:color w:val="auto"/>
          <w:spacing w:val="0"/>
          <w:w w:val="100"/>
          <w:kern w:val="0"/>
          <w:position w:val="0"/>
          <w:sz w:val="24"/>
          <w:szCs w:val="24"/>
          <w:lang w:eastAsia="zh-CN"/>
        </w:rPr>
        <w:t>青原区东固乡六渡村</w:t>
      </w:r>
      <w:r>
        <w:rPr>
          <w:rFonts w:hint="eastAsia" w:ascii="宋体" w:hAnsi="宋体" w:eastAsia="宋体" w:cs="宋体"/>
          <w:color w:val="auto"/>
          <w:spacing w:val="0"/>
          <w:w w:val="100"/>
          <w:kern w:val="0"/>
          <w:position w:val="0"/>
          <w:sz w:val="24"/>
          <w:szCs w:val="24"/>
        </w:rPr>
        <w:t>，位于</w:t>
      </w:r>
      <w:r>
        <w:rPr>
          <w:rFonts w:hint="eastAsia" w:ascii="宋体" w:hAnsi="宋体" w:eastAsia="宋体" w:cs="宋体"/>
          <w:color w:val="auto"/>
          <w:spacing w:val="0"/>
          <w:w w:val="100"/>
          <w:kern w:val="0"/>
          <w:position w:val="0"/>
          <w:sz w:val="24"/>
          <w:szCs w:val="24"/>
          <w:lang w:eastAsia="zh-CN"/>
        </w:rPr>
        <w:t>富田水流域东固水主流</w:t>
      </w:r>
      <w:r>
        <w:rPr>
          <w:rFonts w:hint="eastAsia" w:ascii="宋体" w:hAnsi="宋体" w:eastAsia="宋体" w:cs="宋体"/>
          <w:color w:val="auto"/>
          <w:spacing w:val="0"/>
          <w:w w:val="100"/>
          <w:kern w:val="0"/>
          <w:position w:val="0"/>
          <w:sz w:val="24"/>
          <w:szCs w:val="24"/>
        </w:rPr>
        <w:t>上，坝址中心地理位置为</w:t>
      </w:r>
      <w:r>
        <w:rPr>
          <w:rFonts w:hint="eastAsia" w:ascii="宋体" w:hAnsi="宋体" w:eastAsia="宋体" w:cs="宋体"/>
          <w:color w:val="auto"/>
          <w:spacing w:val="0"/>
          <w:w w:val="100"/>
          <w:kern w:val="0"/>
          <w:position w:val="0"/>
          <w:sz w:val="24"/>
          <w:szCs w:val="24"/>
          <w:lang w:bidi="ar"/>
        </w:rPr>
        <w:t>东经115°22′49″，北纬26°39′1″，电站位于坝址下游约</w:t>
      </w:r>
      <w:r>
        <w:rPr>
          <w:rFonts w:hint="eastAsia" w:ascii="宋体" w:hAnsi="宋体" w:eastAsia="宋体" w:cs="宋体"/>
          <w:color w:val="auto"/>
          <w:spacing w:val="0"/>
          <w:w w:val="100"/>
          <w:kern w:val="0"/>
          <w:position w:val="0"/>
          <w:sz w:val="24"/>
          <w:szCs w:val="24"/>
          <w:lang w:val="en-US" w:eastAsia="zh-CN" w:bidi="ar"/>
        </w:rPr>
        <w:t>2.6</w:t>
      </w:r>
      <w:r>
        <w:rPr>
          <w:rFonts w:hint="eastAsia" w:ascii="宋体" w:hAnsi="宋体" w:eastAsia="宋体" w:cs="宋体"/>
          <w:color w:val="auto"/>
          <w:spacing w:val="0"/>
          <w:w w:val="100"/>
          <w:kern w:val="0"/>
          <w:position w:val="0"/>
          <w:sz w:val="24"/>
          <w:szCs w:val="24"/>
          <w:lang w:bidi="ar"/>
        </w:rPr>
        <w:t>km处的</w:t>
      </w:r>
      <w:r>
        <w:rPr>
          <w:rFonts w:hint="eastAsia" w:ascii="宋体" w:hAnsi="宋体" w:eastAsia="宋体" w:cs="宋体"/>
          <w:color w:val="auto"/>
          <w:spacing w:val="0"/>
          <w:w w:val="100"/>
          <w:kern w:val="0"/>
          <w:position w:val="0"/>
          <w:sz w:val="24"/>
          <w:szCs w:val="24"/>
          <w:lang w:eastAsia="zh-CN"/>
        </w:rPr>
        <w:t>东固乡六渡村桐梓坑</w:t>
      </w:r>
      <w:r>
        <w:rPr>
          <w:rFonts w:hint="eastAsia" w:ascii="宋体" w:hAnsi="宋体" w:eastAsia="宋体" w:cs="宋体"/>
          <w:color w:val="auto"/>
          <w:spacing w:val="0"/>
          <w:w w:val="100"/>
          <w:kern w:val="0"/>
          <w:position w:val="0"/>
          <w:sz w:val="24"/>
          <w:szCs w:val="24"/>
          <w:lang w:bidi="ar"/>
        </w:rPr>
        <w:t>，</w:t>
      </w:r>
      <w:r>
        <w:rPr>
          <w:rFonts w:hint="eastAsia" w:ascii="宋体" w:hAnsi="宋体" w:eastAsia="宋体" w:cs="宋体"/>
          <w:color w:val="auto"/>
          <w:spacing w:val="0"/>
          <w:w w:val="100"/>
          <w:kern w:val="0"/>
          <w:position w:val="0"/>
          <w:sz w:val="24"/>
          <w:szCs w:val="24"/>
        </w:rPr>
        <w:t>地理位置为东经115°22′34″，北纬26°40′7″，</w:t>
      </w:r>
      <w:r>
        <w:rPr>
          <w:rFonts w:hint="eastAsia" w:ascii="宋体" w:hAnsi="宋体" w:eastAsia="宋体" w:cs="宋体"/>
          <w:color w:val="auto"/>
          <w:spacing w:val="0"/>
          <w:w w:val="100"/>
          <w:kern w:val="0"/>
          <w:position w:val="0"/>
          <w:sz w:val="24"/>
          <w:szCs w:val="24"/>
          <w:lang w:eastAsia="zh-CN"/>
        </w:rPr>
        <w:t>青原区东井冈水电站</w:t>
      </w:r>
      <w:r>
        <w:rPr>
          <w:rFonts w:hint="eastAsia" w:ascii="宋体" w:hAnsi="宋体" w:eastAsia="宋体" w:cs="宋体"/>
          <w:color w:val="auto"/>
          <w:spacing w:val="0"/>
          <w:w w:val="100"/>
          <w:kern w:val="0"/>
          <w:position w:val="0"/>
          <w:sz w:val="24"/>
          <w:szCs w:val="24"/>
        </w:rPr>
        <w:t>的枢纽工程属Ⅴ等工程，电站装机容量</w:t>
      </w:r>
      <w:r>
        <w:rPr>
          <w:rFonts w:hint="eastAsia" w:ascii="宋体" w:hAnsi="宋体" w:eastAsia="宋体" w:cs="宋体"/>
          <w:color w:val="auto"/>
          <w:spacing w:val="0"/>
          <w:w w:val="100"/>
          <w:kern w:val="0"/>
          <w:position w:val="0"/>
          <w:sz w:val="24"/>
          <w:szCs w:val="24"/>
          <w:lang w:eastAsia="zh-CN"/>
        </w:rPr>
        <w:t>1</w:t>
      </w:r>
      <w:r>
        <w:rPr>
          <w:rFonts w:hint="eastAsia" w:ascii="宋体" w:hAnsi="宋体" w:eastAsia="宋体" w:cs="宋体"/>
          <w:color w:val="auto"/>
          <w:spacing w:val="0"/>
          <w:w w:val="100"/>
          <w:kern w:val="0"/>
          <w:position w:val="0"/>
          <w:sz w:val="24"/>
          <w:szCs w:val="24"/>
          <w:lang w:val="en-US" w:eastAsia="zh-CN"/>
        </w:rPr>
        <w:t>6</w:t>
      </w:r>
      <w:r>
        <w:rPr>
          <w:rFonts w:hint="eastAsia" w:ascii="宋体" w:hAnsi="宋体" w:eastAsia="宋体" w:cs="宋体"/>
          <w:color w:val="auto"/>
          <w:spacing w:val="0"/>
          <w:w w:val="100"/>
          <w:kern w:val="0"/>
          <w:position w:val="0"/>
          <w:sz w:val="24"/>
          <w:szCs w:val="24"/>
          <w:lang w:eastAsia="zh-CN"/>
        </w:rPr>
        <w:t>00kW</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szCs w:val="24"/>
          <w:lang w:val="en-US" w:eastAsia="zh-CN"/>
        </w:rPr>
        <w:t>2</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szCs w:val="24"/>
          <w:lang w:val="en-US" w:eastAsia="zh-CN"/>
        </w:rPr>
        <w:t>80</w:t>
      </w:r>
      <w:r>
        <w:rPr>
          <w:rFonts w:hint="eastAsia" w:ascii="宋体" w:hAnsi="宋体" w:eastAsia="宋体" w:cs="宋体"/>
          <w:color w:val="auto"/>
          <w:spacing w:val="0"/>
          <w:w w:val="100"/>
          <w:kern w:val="0"/>
          <w:position w:val="0"/>
          <w:sz w:val="24"/>
          <w:szCs w:val="24"/>
        </w:rPr>
        <w:t>0)，多年平均发电量</w:t>
      </w:r>
      <w:r>
        <w:rPr>
          <w:rFonts w:hint="eastAsia" w:ascii="宋体" w:hAnsi="宋体" w:eastAsia="宋体" w:cs="宋体"/>
          <w:color w:val="auto"/>
          <w:spacing w:val="0"/>
          <w:w w:val="100"/>
          <w:kern w:val="0"/>
          <w:position w:val="0"/>
          <w:sz w:val="24"/>
          <w:szCs w:val="24"/>
          <w:lang w:val="en-US" w:eastAsia="zh-CN"/>
        </w:rPr>
        <w:t>515</w:t>
      </w:r>
      <w:r>
        <w:rPr>
          <w:rFonts w:hint="eastAsia" w:ascii="宋体" w:hAnsi="宋体" w:eastAsia="宋体" w:cs="宋体"/>
          <w:color w:val="auto"/>
          <w:spacing w:val="0"/>
          <w:w w:val="100"/>
          <w:kern w:val="0"/>
          <w:position w:val="0"/>
          <w:sz w:val="24"/>
          <w:szCs w:val="24"/>
        </w:rPr>
        <w:t>万</w:t>
      </w:r>
      <w:r>
        <w:rPr>
          <w:rFonts w:hint="eastAsia" w:ascii="宋体" w:hAnsi="宋体" w:eastAsia="宋体" w:cs="宋体"/>
          <w:color w:val="auto"/>
          <w:spacing w:val="0"/>
          <w:w w:val="100"/>
          <w:kern w:val="0"/>
          <w:position w:val="0"/>
          <w:sz w:val="24"/>
          <w:szCs w:val="24"/>
          <w:lang w:eastAsia="zh-CN"/>
        </w:rPr>
        <w:t>kW</w:t>
      </w:r>
      <w:r>
        <w:rPr>
          <w:rFonts w:hint="eastAsia" w:ascii="宋体" w:hAnsi="宋体" w:eastAsia="宋体" w:cs="宋体"/>
          <w:color w:val="auto"/>
          <w:spacing w:val="0"/>
          <w:w w:val="100"/>
          <w:kern w:val="0"/>
          <w:position w:val="0"/>
          <w:sz w:val="24"/>
          <w:szCs w:val="24"/>
        </w:rPr>
        <w:t>·h，是一座引水式无调节性能以发电为主的小(2)型水电站。工程地理位置见附图1</w:t>
      </w:r>
      <w:r>
        <w:rPr>
          <w:rFonts w:hint="eastAsia" w:ascii="宋体" w:hAnsi="宋体" w:eastAsia="宋体" w:cs="宋体"/>
        </w:rPr>
        <w:t>。</w:t>
      </w:r>
    </w:p>
    <w:p>
      <w:pPr>
        <w:pStyle w:val="18"/>
        <w:numPr>
          <w:ilvl w:val="2"/>
          <w:numId w:val="3"/>
        </w:numPr>
        <w:tabs>
          <w:tab w:val="left" w:pos="1316"/>
        </w:tabs>
        <w:spacing w:before="120" w:after="0" w:line="240" w:lineRule="auto"/>
        <w:ind w:left="1316" w:right="0" w:hanging="699"/>
        <w:jc w:val="left"/>
        <w:rPr>
          <w:rFonts w:hint="eastAsia" w:ascii="宋体" w:hAnsi="宋体" w:eastAsia="宋体" w:cs="宋体"/>
          <w:b/>
          <w:sz w:val="28"/>
        </w:rPr>
      </w:pPr>
      <w:bookmarkStart w:id="60" w:name="2.2.2工程开发任务、规模"/>
      <w:bookmarkEnd w:id="60"/>
      <w:bookmarkStart w:id="61" w:name="2.2.2工程开发任务、规模"/>
      <w:bookmarkEnd w:id="61"/>
      <w:r>
        <w:rPr>
          <w:rFonts w:hint="eastAsia" w:ascii="宋体" w:hAnsi="宋体" w:eastAsia="宋体" w:cs="宋体"/>
          <w:b/>
          <w:sz w:val="28"/>
        </w:rPr>
        <w:t>工程开发规模</w:t>
      </w:r>
    </w:p>
    <w:p>
      <w:pPr>
        <w:pStyle w:val="2"/>
        <w:spacing w:before="11"/>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both"/>
        <w:textAlignment w:val="auto"/>
        <w:rPr>
          <w:rFonts w:hint="eastAsia" w:ascii="宋体" w:hAnsi="宋体" w:eastAsia="宋体" w:cs="宋体"/>
        </w:rPr>
      </w:pPr>
      <w:r>
        <w:rPr>
          <w:rFonts w:hint="eastAsia" w:ascii="宋体" w:hAnsi="宋体" w:eastAsia="宋体" w:cs="宋体"/>
          <w:color w:val="auto"/>
          <w:spacing w:val="0"/>
          <w:w w:val="100"/>
          <w:kern w:val="0"/>
          <w:position w:val="0"/>
          <w:sz w:val="24"/>
          <w:szCs w:val="24"/>
        </w:rPr>
        <w:t>本项目为不完全年调节水利水电工程，水库正常蓄水位430m，总库容为</w:t>
      </w:r>
      <w:r>
        <w:rPr>
          <w:rFonts w:hint="eastAsia" w:ascii="宋体" w:hAnsi="宋体" w:eastAsia="宋体" w:cs="宋体"/>
          <w:color w:val="auto"/>
          <w:spacing w:val="0"/>
          <w:w w:val="100"/>
          <w:kern w:val="0"/>
          <w:position w:val="0"/>
          <w:sz w:val="24"/>
          <w:szCs w:val="24"/>
          <w:lang w:val="en-US" w:eastAsia="zh-CN"/>
        </w:rPr>
        <w:t>0.1</w:t>
      </w:r>
      <w:r>
        <w:rPr>
          <w:rFonts w:hint="eastAsia" w:ascii="宋体" w:hAnsi="宋体" w:eastAsia="宋体" w:cs="宋体"/>
          <w:color w:val="auto"/>
          <w:spacing w:val="0"/>
          <w:w w:val="100"/>
          <w:kern w:val="0"/>
          <w:position w:val="0"/>
          <w:sz w:val="24"/>
          <w:szCs w:val="24"/>
        </w:rPr>
        <w:t>万m</w:t>
      </w:r>
      <w:r>
        <w:rPr>
          <w:rFonts w:hint="eastAsia" w:ascii="宋体" w:hAnsi="宋体" w:eastAsia="宋体" w:cs="宋体"/>
          <w:color w:val="auto"/>
          <w:spacing w:val="0"/>
          <w:w w:val="100"/>
          <w:kern w:val="0"/>
          <w:position w:val="0"/>
          <w:sz w:val="24"/>
          <w:szCs w:val="24"/>
          <w:vertAlign w:val="superscript"/>
        </w:rPr>
        <w:t>3</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szCs w:val="24"/>
          <w:lang w:eastAsia="zh-CN"/>
        </w:rPr>
        <w:t>设计平均</w:t>
      </w:r>
      <w:r>
        <w:rPr>
          <w:rFonts w:hint="eastAsia" w:ascii="宋体" w:hAnsi="宋体" w:eastAsia="宋体" w:cs="宋体"/>
          <w:color w:val="auto"/>
          <w:spacing w:val="0"/>
          <w:w w:val="100"/>
          <w:kern w:val="0"/>
          <w:position w:val="0"/>
          <w:sz w:val="24"/>
          <w:szCs w:val="24"/>
        </w:rPr>
        <w:t>水头</w:t>
      </w:r>
      <w:r>
        <w:rPr>
          <w:rFonts w:hint="eastAsia" w:ascii="宋体" w:hAnsi="宋体" w:eastAsia="宋体" w:cs="宋体"/>
          <w:color w:val="auto"/>
          <w:spacing w:val="0"/>
          <w:w w:val="100"/>
          <w:kern w:val="0"/>
          <w:position w:val="0"/>
          <w:sz w:val="24"/>
          <w:szCs w:val="24"/>
          <w:lang w:val="en-US" w:eastAsia="zh-CN"/>
        </w:rPr>
        <w:t>220</w:t>
      </w:r>
      <w:r>
        <w:rPr>
          <w:rFonts w:hint="eastAsia" w:ascii="宋体" w:hAnsi="宋体" w:eastAsia="宋体" w:cs="宋体"/>
          <w:color w:val="auto"/>
          <w:spacing w:val="0"/>
          <w:w w:val="100"/>
          <w:kern w:val="0"/>
          <w:position w:val="0"/>
          <w:sz w:val="24"/>
          <w:szCs w:val="24"/>
        </w:rPr>
        <w:t>m，</w:t>
      </w:r>
      <w:r>
        <w:rPr>
          <w:rFonts w:hint="eastAsia" w:ascii="宋体" w:hAnsi="宋体" w:eastAsia="宋体" w:cs="宋体"/>
          <w:color w:val="auto"/>
          <w:spacing w:val="0"/>
          <w:w w:val="100"/>
          <w:kern w:val="0"/>
          <w:position w:val="0"/>
          <w:sz w:val="24"/>
          <w:szCs w:val="24"/>
          <w:lang w:eastAsia="zh-CN"/>
        </w:rPr>
        <w:t>单台发电机设计引用流量</w:t>
      </w:r>
      <w:r>
        <w:rPr>
          <w:rFonts w:hint="eastAsia" w:ascii="宋体" w:hAnsi="宋体" w:eastAsia="宋体" w:cs="宋体"/>
          <w:color w:val="auto"/>
          <w:spacing w:val="0"/>
          <w:w w:val="100"/>
          <w:kern w:val="0"/>
          <w:position w:val="0"/>
          <w:sz w:val="24"/>
          <w:szCs w:val="24"/>
          <w:lang w:val="en-US" w:eastAsia="zh-CN"/>
        </w:rPr>
        <w:t>0.48</w:t>
      </w:r>
      <w:r>
        <w:rPr>
          <w:rFonts w:hint="eastAsia" w:ascii="宋体" w:hAnsi="宋体" w:eastAsia="宋体" w:cs="宋体"/>
          <w:color w:val="auto"/>
          <w:spacing w:val="0"/>
          <w:w w:val="100"/>
          <w:kern w:val="0"/>
          <w:position w:val="0"/>
          <w:sz w:val="24"/>
          <w:szCs w:val="24"/>
        </w:rPr>
        <w:t>m</w:t>
      </w:r>
      <w:r>
        <w:rPr>
          <w:rFonts w:hint="eastAsia" w:ascii="宋体" w:hAnsi="宋体" w:eastAsia="宋体" w:cs="宋体"/>
          <w:color w:val="auto"/>
          <w:spacing w:val="0"/>
          <w:w w:val="100"/>
          <w:kern w:val="0"/>
          <w:position w:val="0"/>
          <w:sz w:val="24"/>
          <w:szCs w:val="24"/>
          <w:vertAlign w:val="superscript"/>
        </w:rPr>
        <w:t>3</w:t>
      </w:r>
      <w:r>
        <w:rPr>
          <w:rFonts w:hint="eastAsia" w:ascii="宋体" w:hAnsi="宋体" w:eastAsia="宋体" w:cs="宋体"/>
          <w:color w:val="auto"/>
          <w:spacing w:val="0"/>
          <w:w w:val="100"/>
          <w:kern w:val="0"/>
          <w:position w:val="0"/>
          <w:sz w:val="24"/>
          <w:szCs w:val="24"/>
        </w:rPr>
        <w:t>/s，电站装机容量</w:t>
      </w:r>
      <w:r>
        <w:rPr>
          <w:rFonts w:hint="eastAsia" w:ascii="宋体" w:hAnsi="宋体" w:eastAsia="宋体" w:cs="宋体"/>
          <w:color w:val="auto"/>
          <w:spacing w:val="0"/>
          <w:w w:val="100"/>
          <w:kern w:val="0"/>
          <w:position w:val="0"/>
          <w:sz w:val="24"/>
          <w:szCs w:val="24"/>
          <w:lang w:val="en-US" w:eastAsia="zh-CN"/>
        </w:rPr>
        <w:t>1600</w:t>
      </w:r>
      <w:r>
        <w:rPr>
          <w:rFonts w:hint="eastAsia" w:ascii="宋体" w:hAnsi="宋体" w:eastAsia="宋体" w:cs="宋体"/>
          <w:color w:val="auto"/>
          <w:spacing w:val="0"/>
          <w:w w:val="100"/>
          <w:kern w:val="0"/>
          <w:position w:val="0"/>
          <w:sz w:val="24"/>
          <w:szCs w:val="24"/>
        </w:rPr>
        <w:t>kW，多年平均发电量</w:t>
      </w:r>
      <w:r>
        <w:rPr>
          <w:rFonts w:hint="eastAsia" w:ascii="宋体" w:hAnsi="宋体" w:eastAsia="宋体" w:cs="宋体"/>
          <w:color w:val="auto"/>
          <w:spacing w:val="0"/>
          <w:w w:val="100"/>
          <w:kern w:val="0"/>
          <w:position w:val="0"/>
          <w:sz w:val="24"/>
          <w:szCs w:val="24"/>
          <w:lang w:val="en-US" w:eastAsia="zh-CN"/>
        </w:rPr>
        <w:t>515</w:t>
      </w:r>
      <w:r>
        <w:rPr>
          <w:rFonts w:hint="eastAsia" w:ascii="宋体" w:hAnsi="宋体" w:eastAsia="宋体" w:cs="宋体"/>
          <w:color w:val="auto"/>
          <w:spacing w:val="0"/>
          <w:w w:val="100"/>
          <w:kern w:val="0"/>
          <w:position w:val="0"/>
          <w:sz w:val="24"/>
          <w:szCs w:val="24"/>
        </w:rPr>
        <w:t>万kW·h，年利用小时数</w:t>
      </w:r>
      <w:r>
        <w:rPr>
          <w:rFonts w:hint="eastAsia" w:ascii="宋体" w:hAnsi="宋体" w:eastAsia="宋体" w:cs="宋体"/>
          <w:color w:val="auto"/>
          <w:spacing w:val="0"/>
          <w:w w:val="100"/>
          <w:kern w:val="0"/>
          <w:position w:val="0"/>
          <w:sz w:val="24"/>
          <w:szCs w:val="24"/>
          <w:lang w:eastAsia="zh-CN"/>
        </w:rPr>
        <w:t>3219h</w:t>
      </w:r>
      <w:r>
        <w:rPr>
          <w:rFonts w:hint="eastAsia" w:ascii="宋体" w:hAnsi="宋体" w:eastAsia="宋体" w:cs="宋体"/>
          <w:spacing w:val="-15"/>
        </w:rPr>
        <w:t>。</w:t>
      </w:r>
    </w:p>
    <w:p>
      <w:pPr>
        <w:pStyle w:val="18"/>
        <w:numPr>
          <w:ilvl w:val="2"/>
          <w:numId w:val="3"/>
        </w:numPr>
        <w:tabs>
          <w:tab w:val="left" w:pos="1316"/>
        </w:tabs>
        <w:spacing w:before="120" w:after="0" w:line="240" w:lineRule="auto"/>
        <w:ind w:left="1316" w:right="0" w:hanging="699"/>
        <w:jc w:val="left"/>
        <w:rPr>
          <w:b/>
          <w:sz w:val="28"/>
        </w:rPr>
      </w:pPr>
      <w:bookmarkStart w:id="62" w:name="2.2.3工程布置及主要建筑物"/>
      <w:bookmarkEnd w:id="62"/>
      <w:bookmarkStart w:id="63" w:name="2.2.3工程布置及主要建筑物"/>
      <w:bookmarkEnd w:id="63"/>
      <w:r>
        <w:rPr>
          <w:b/>
          <w:sz w:val="28"/>
        </w:rPr>
        <w:t>工程布置及主要建筑物</w:t>
      </w:r>
    </w:p>
    <w:p>
      <w:pPr>
        <w:pStyle w:val="2"/>
        <w:spacing w:before="10"/>
        <w:rPr>
          <w:b/>
          <w:sz w:val="23"/>
        </w:rPr>
      </w:pP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color w:val="auto"/>
          <w:spacing w:val="0"/>
          <w:w w:val="100"/>
          <w:kern w:val="0"/>
          <w:position w:val="0"/>
          <w:sz w:val="24"/>
          <w:szCs w:val="24"/>
          <w:lang w:eastAsia="zh-CN"/>
        </w:rPr>
      </w:pPr>
      <w:r>
        <w:rPr>
          <w:rFonts w:hint="eastAsia" w:ascii="宋体" w:hAnsi="宋体" w:eastAsia="宋体" w:cs="宋体"/>
          <w:color w:val="auto"/>
          <w:spacing w:val="0"/>
          <w:w w:val="100"/>
          <w:kern w:val="0"/>
          <w:position w:val="0"/>
          <w:sz w:val="24"/>
          <w:szCs w:val="24"/>
          <w:lang w:eastAsia="zh-CN"/>
        </w:rPr>
        <w:t>本项目的工程枢纽主要由拦河坝、引水渠道、压力管、厂房、发电厂房、升压站、综合楼等建筑物组成。</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eastAsia" w:ascii="宋体" w:hAnsi="宋体" w:eastAsia="宋体" w:cs="宋体"/>
          <w:color w:val="auto"/>
          <w:spacing w:val="0"/>
          <w:w w:val="100"/>
          <w:kern w:val="0"/>
          <w:position w:val="0"/>
          <w:sz w:val="24"/>
          <w:szCs w:val="24"/>
          <w:lang w:eastAsia="zh-CN"/>
        </w:rPr>
      </w:pPr>
      <w:r>
        <w:rPr>
          <w:rFonts w:hint="eastAsia" w:ascii="宋体" w:hAnsi="宋体" w:eastAsia="宋体" w:cs="宋体"/>
          <w:color w:val="auto"/>
          <w:kern w:val="0"/>
          <w:sz w:val="24"/>
          <w:szCs w:val="24"/>
          <w:lang w:val="en-US" w:eastAsia="zh-CN" w:bidi="ar"/>
        </w:rPr>
        <w:t>电站大坝为浆砌石重力坝，布置在厂房上游2.6公里处，坝顶高程502.3m，最大坝高4m，坝顶长度13m，坝顶宽6m；引水渠道沿左岸盘山布置，全长3000m；压力前池布置在引水渠末端山嘴上，前池设有进水闸、节制闸各一座。 主厂房布置在左岸峡谷出口处山嘴下，进水方式采用侧面进水，从压力前池至发电厂房，用一条钢管，在厂房上游侧用2条分叉支管斜入(90度角)厂房内接φ35压力钢管与水轮机联接；压力钢管总长为560m； 尾水室布置在主厂房下游侧，进水管道与尾水渠道成一直线， 水流方向一致，尾水渠道宽0.9米，全长30m。</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1、拦河坝</w:t>
      </w:r>
    </w:p>
    <w:p>
      <w:pPr>
        <w:pStyle w:val="2"/>
        <w:keepNext w:val="0"/>
        <w:keepLines w:val="0"/>
        <w:pageBreakBefore w:val="0"/>
        <w:widowControl w:val="0"/>
        <w:tabs>
          <w:tab w:val="left" w:pos="9460"/>
        </w:tabs>
        <w:kinsoku/>
        <w:wordWrap/>
        <w:overflowPunct/>
        <w:topLinePunct w:val="0"/>
        <w:autoSpaceDE/>
        <w:autoSpaceDN/>
        <w:bidi w:val="0"/>
        <w:adjustRightInd/>
        <w:snapToGrid/>
        <w:spacing w:line="365" w:lineRule="auto"/>
        <w:ind w:right="0" w:rightChars="0" w:firstLine="480" w:firstLineChars="200"/>
        <w:jc w:val="both"/>
        <w:textAlignment w:val="auto"/>
        <w:outlineLvl w:val="9"/>
        <w:rPr>
          <w:rFonts w:hint="eastAsia" w:ascii="宋体" w:hAnsi="宋体" w:eastAsia="宋体" w:cs="宋体"/>
          <w:color w:val="auto"/>
          <w:spacing w:val="0"/>
          <w:w w:val="100"/>
          <w:kern w:val="0"/>
          <w:position w:val="0"/>
          <w:sz w:val="24"/>
          <w:szCs w:val="24"/>
          <w:lang w:val="zh-CN" w:eastAsia="zh-CN" w:bidi="zh-CN"/>
        </w:rPr>
      </w:pPr>
      <w:r>
        <w:rPr>
          <w:rFonts w:hint="eastAsia" w:ascii="宋体" w:hAnsi="宋体" w:eastAsia="宋体" w:cs="宋体"/>
          <w:color w:val="auto"/>
          <w:spacing w:val="0"/>
          <w:w w:val="100"/>
          <w:kern w:val="0"/>
          <w:position w:val="0"/>
          <w:sz w:val="24"/>
          <w:szCs w:val="24"/>
        </w:rPr>
        <w:t>拦河陂坝由溢流坝段组成。溢流坝段为重力式，长</w:t>
      </w:r>
      <w:r>
        <w:rPr>
          <w:rFonts w:hint="eastAsia" w:ascii="宋体" w:hAnsi="宋体" w:eastAsia="宋体" w:cs="宋体"/>
          <w:color w:val="auto"/>
          <w:spacing w:val="0"/>
          <w:w w:val="100"/>
          <w:kern w:val="0"/>
          <w:position w:val="0"/>
          <w:sz w:val="24"/>
          <w:szCs w:val="24"/>
          <w:lang w:val="en-US" w:eastAsia="zh-CN"/>
        </w:rPr>
        <w:t>13</w:t>
      </w:r>
      <w:r>
        <w:rPr>
          <w:rFonts w:hint="eastAsia" w:ascii="宋体" w:hAnsi="宋体" w:eastAsia="宋体" w:cs="宋体"/>
          <w:color w:val="auto"/>
          <w:spacing w:val="0"/>
          <w:w w:val="100"/>
          <w:kern w:val="0"/>
          <w:position w:val="0"/>
          <w:sz w:val="24"/>
          <w:szCs w:val="24"/>
        </w:rPr>
        <w:t>m，拦水坝布有冲砂阀及坝上有</w:t>
      </w:r>
      <w:r>
        <w:rPr>
          <w:rFonts w:hint="eastAsia" w:ascii="宋体" w:hAnsi="宋体" w:eastAsia="宋体" w:cs="宋体"/>
          <w:color w:val="auto"/>
          <w:spacing w:val="0"/>
          <w:w w:val="100"/>
          <w:kern w:val="0"/>
          <w:position w:val="0"/>
          <w:sz w:val="24"/>
          <w:szCs w:val="24"/>
          <w:lang w:eastAsia="zh-CN"/>
        </w:rPr>
        <w:t>渠道</w:t>
      </w:r>
      <w:r>
        <w:rPr>
          <w:rFonts w:hint="eastAsia" w:ascii="宋体" w:hAnsi="宋体" w:eastAsia="宋体" w:cs="宋体"/>
          <w:color w:val="auto"/>
          <w:spacing w:val="0"/>
          <w:w w:val="100"/>
          <w:kern w:val="0"/>
          <w:position w:val="0"/>
          <w:sz w:val="24"/>
          <w:szCs w:val="24"/>
        </w:rPr>
        <w:t>进水口，坝顶高程为</w:t>
      </w:r>
      <w:r>
        <w:rPr>
          <w:rFonts w:hint="eastAsia" w:ascii="宋体" w:hAnsi="宋体" w:eastAsia="宋体" w:cs="宋体"/>
          <w:color w:val="auto"/>
          <w:spacing w:val="0"/>
          <w:w w:val="100"/>
          <w:kern w:val="0"/>
          <w:position w:val="0"/>
          <w:sz w:val="24"/>
          <w:szCs w:val="24"/>
          <w:lang w:val="en-US" w:eastAsia="zh-CN"/>
        </w:rPr>
        <w:t>504.2</w:t>
      </w:r>
      <w:r>
        <w:rPr>
          <w:rFonts w:hint="eastAsia" w:ascii="宋体" w:hAnsi="宋体" w:eastAsia="宋体" w:cs="宋体"/>
          <w:color w:val="auto"/>
          <w:spacing w:val="0"/>
          <w:w w:val="100"/>
          <w:kern w:val="0"/>
          <w:position w:val="0"/>
          <w:sz w:val="24"/>
          <w:szCs w:val="24"/>
        </w:rPr>
        <w:t>m，坝顶宽</w:t>
      </w:r>
      <w:r>
        <w:rPr>
          <w:rFonts w:hint="eastAsia" w:ascii="宋体" w:hAnsi="宋体" w:eastAsia="宋体" w:cs="宋体"/>
          <w:color w:val="auto"/>
          <w:spacing w:val="0"/>
          <w:w w:val="100"/>
          <w:kern w:val="0"/>
          <w:position w:val="0"/>
          <w:sz w:val="24"/>
          <w:szCs w:val="24"/>
          <w:lang w:val="en-US" w:eastAsia="zh-CN"/>
        </w:rPr>
        <w:t>6.0</w:t>
      </w:r>
      <w:r>
        <w:rPr>
          <w:rFonts w:hint="eastAsia" w:ascii="宋体" w:hAnsi="宋体" w:eastAsia="宋体" w:cs="宋体"/>
          <w:color w:val="auto"/>
          <w:spacing w:val="0"/>
          <w:w w:val="100"/>
          <w:kern w:val="0"/>
          <w:position w:val="0"/>
          <w:sz w:val="24"/>
          <w:szCs w:val="24"/>
        </w:rPr>
        <w:t>m，最大坝高</w:t>
      </w:r>
      <w:r>
        <w:rPr>
          <w:rFonts w:hint="eastAsia" w:ascii="宋体" w:hAnsi="宋体" w:eastAsia="宋体" w:cs="宋体"/>
          <w:color w:val="auto"/>
          <w:spacing w:val="0"/>
          <w:w w:val="100"/>
          <w:kern w:val="0"/>
          <w:position w:val="0"/>
          <w:sz w:val="24"/>
          <w:szCs w:val="24"/>
          <w:lang w:val="en-US" w:eastAsia="zh-CN"/>
        </w:rPr>
        <w:t>4</w:t>
      </w:r>
      <w:r>
        <w:rPr>
          <w:rFonts w:hint="eastAsia" w:ascii="宋体" w:hAnsi="宋体" w:eastAsia="宋体" w:cs="宋体"/>
          <w:color w:val="auto"/>
          <w:spacing w:val="0"/>
          <w:w w:val="100"/>
          <w:kern w:val="0"/>
          <w:position w:val="0"/>
          <w:sz w:val="24"/>
          <w:szCs w:val="24"/>
        </w:rPr>
        <w:t>m，下游侧坡比为1:0.8。坝体内部为M7.5浆砌石，外包厚0.2m的C20砼。采用面流消能，堰面为圆弧曲线，大坝设有冲砂阀，为平板钢闸门，选用</w:t>
      </w:r>
      <w:r>
        <w:rPr>
          <w:rFonts w:hint="eastAsia" w:ascii="宋体" w:hAnsi="宋体" w:eastAsia="宋体" w:cs="宋体"/>
          <w:color w:val="auto"/>
          <w:spacing w:val="0"/>
          <w:w w:val="100"/>
          <w:kern w:val="0"/>
          <w:position w:val="0"/>
          <w:sz w:val="24"/>
          <w:szCs w:val="24"/>
          <w:lang w:val="en-US" w:eastAsia="zh-CN"/>
        </w:rPr>
        <w:t>1</w:t>
      </w:r>
      <w:r>
        <w:rPr>
          <w:rFonts w:hint="eastAsia" w:ascii="宋体" w:hAnsi="宋体" w:eastAsia="宋体" w:cs="宋体"/>
          <w:color w:val="auto"/>
          <w:spacing w:val="0"/>
          <w:w w:val="100"/>
          <w:kern w:val="0"/>
          <w:position w:val="0"/>
          <w:sz w:val="24"/>
          <w:szCs w:val="24"/>
        </w:rPr>
        <w:t>台螺杆启闭机。冲沙闸布置于紧靠进水闸一侧的河道上，其轴线与进水闸的轴线成斜交，与拦河坝并排横跨河道布置。现状溢流坝坝顶高程为</w:t>
      </w:r>
      <w:r>
        <w:rPr>
          <w:rFonts w:hint="eastAsia" w:ascii="宋体" w:hAnsi="宋体" w:eastAsia="宋体" w:cs="宋体"/>
          <w:color w:val="auto"/>
          <w:spacing w:val="0"/>
          <w:w w:val="100"/>
          <w:kern w:val="0"/>
          <w:position w:val="0"/>
          <w:sz w:val="24"/>
          <w:szCs w:val="24"/>
          <w:lang w:val="en-US" w:eastAsia="zh-CN"/>
        </w:rPr>
        <w:t>504.2</w:t>
      </w:r>
      <w:r>
        <w:rPr>
          <w:rFonts w:hint="eastAsia" w:ascii="宋体" w:hAnsi="宋体" w:eastAsia="宋体" w:cs="宋体"/>
          <w:color w:val="auto"/>
          <w:spacing w:val="0"/>
          <w:w w:val="100"/>
          <w:kern w:val="0"/>
          <w:position w:val="0"/>
          <w:sz w:val="24"/>
          <w:szCs w:val="24"/>
        </w:rPr>
        <w:t>m，设计闸顶高程与坝顶高程一致，泄洪时候冲沙闸顶可过流。为减少泥沙进入引水渠，设计冲沙闸底槛高程比进水闸底槛高程低1m，现状进水闸闸底高程为</w:t>
      </w:r>
      <w:r>
        <w:rPr>
          <w:rFonts w:hint="eastAsia" w:ascii="宋体" w:hAnsi="宋体" w:eastAsia="宋体" w:cs="宋体"/>
          <w:color w:val="auto"/>
          <w:spacing w:val="0"/>
          <w:w w:val="100"/>
          <w:kern w:val="0"/>
          <w:position w:val="0"/>
          <w:sz w:val="24"/>
          <w:szCs w:val="24"/>
          <w:lang w:val="en-US" w:eastAsia="zh-CN"/>
        </w:rPr>
        <w:t>500.5</w:t>
      </w:r>
      <w:r>
        <w:rPr>
          <w:rFonts w:hint="eastAsia" w:ascii="宋体" w:hAnsi="宋体" w:eastAsia="宋体" w:cs="宋体"/>
          <w:color w:val="auto"/>
          <w:spacing w:val="0"/>
          <w:w w:val="100"/>
          <w:kern w:val="0"/>
          <w:position w:val="0"/>
          <w:sz w:val="24"/>
          <w:szCs w:val="24"/>
        </w:rPr>
        <w:t>m，设计冲沙闸地槛高程为</w:t>
      </w:r>
      <w:r>
        <w:rPr>
          <w:rFonts w:hint="eastAsia" w:ascii="宋体" w:hAnsi="宋体" w:eastAsia="宋体" w:cs="宋体"/>
          <w:color w:val="auto"/>
          <w:spacing w:val="0"/>
          <w:w w:val="100"/>
          <w:kern w:val="0"/>
          <w:position w:val="0"/>
          <w:sz w:val="24"/>
          <w:szCs w:val="24"/>
          <w:lang w:val="en-US" w:eastAsia="zh-CN"/>
        </w:rPr>
        <w:t>499.5</w:t>
      </w:r>
      <w:r>
        <w:rPr>
          <w:rFonts w:hint="eastAsia" w:ascii="宋体" w:hAnsi="宋体" w:eastAsia="宋体" w:cs="宋体"/>
          <w:color w:val="auto"/>
          <w:spacing w:val="0"/>
          <w:w w:val="100"/>
          <w:kern w:val="0"/>
          <w:position w:val="0"/>
          <w:sz w:val="24"/>
          <w:szCs w:val="24"/>
        </w:rPr>
        <w:t>m</w:t>
      </w:r>
      <w:r>
        <w:rPr>
          <w:rFonts w:hint="eastAsia" w:ascii="宋体" w:hAnsi="宋体" w:eastAsia="宋体" w:cs="宋体"/>
          <w:color w:val="auto"/>
          <w:spacing w:val="0"/>
          <w:w w:val="100"/>
          <w:kern w:val="0"/>
          <w:position w:val="0"/>
          <w:sz w:val="24"/>
          <w:szCs w:val="24"/>
          <w:lang w:val="zh-CN" w:eastAsia="zh-CN" w:bidi="zh-CN"/>
        </w:rPr>
        <w:t>。</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2、引水建筑</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引水建筑物由引水明渠、压力前池、压力管道组成。</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（1）引水明渠：引水明渠全长约</w:t>
      </w:r>
      <w:r>
        <w:rPr>
          <w:rFonts w:hint="eastAsia" w:ascii="宋体" w:hAnsi="宋体" w:eastAsia="宋体" w:cs="宋体"/>
          <w:bCs/>
          <w:color w:val="auto"/>
          <w:spacing w:val="0"/>
          <w:w w:val="100"/>
          <w:kern w:val="0"/>
          <w:position w:val="0"/>
          <w:sz w:val="24"/>
          <w:szCs w:val="24"/>
          <w:lang w:val="en-US" w:eastAsia="zh-CN"/>
        </w:rPr>
        <w:t>300</w:t>
      </w:r>
      <w:r>
        <w:rPr>
          <w:rFonts w:hint="eastAsia" w:ascii="宋体" w:hAnsi="宋体" w:eastAsia="宋体" w:cs="宋体"/>
          <w:bCs/>
          <w:color w:val="auto"/>
          <w:spacing w:val="0"/>
          <w:w w:val="100"/>
          <w:kern w:val="0"/>
          <w:position w:val="0"/>
          <w:sz w:val="24"/>
          <w:szCs w:val="24"/>
        </w:rPr>
        <w:t>0m，渠道采用梯形断面，底宽为</w:t>
      </w:r>
      <w:r>
        <w:rPr>
          <w:rFonts w:hint="eastAsia" w:ascii="宋体" w:hAnsi="宋体" w:eastAsia="宋体" w:cs="宋体"/>
          <w:bCs/>
          <w:color w:val="auto"/>
          <w:spacing w:val="0"/>
          <w:w w:val="100"/>
          <w:kern w:val="0"/>
          <w:position w:val="0"/>
          <w:sz w:val="24"/>
          <w:szCs w:val="24"/>
          <w:lang w:val="en-US" w:eastAsia="zh-CN"/>
        </w:rPr>
        <w:t>1</w:t>
      </w:r>
      <w:r>
        <w:rPr>
          <w:rFonts w:hint="eastAsia" w:ascii="宋体" w:hAnsi="宋体" w:eastAsia="宋体" w:cs="宋体"/>
          <w:bCs/>
          <w:color w:val="auto"/>
          <w:spacing w:val="0"/>
          <w:w w:val="100"/>
          <w:kern w:val="0"/>
          <w:position w:val="0"/>
          <w:sz w:val="24"/>
          <w:szCs w:val="24"/>
        </w:rPr>
        <w:t>m，边坡为1:1.0，渠道采用C15砼衬砌，每隔10m设置沥青沙板伸缩缝。进水口底板高程</w:t>
      </w:r>
      <w:r>
        <w:rPr>
          <w:rFonts w:hint="eastAsia" w:ascii="宋体" w:hAnsi="宋体" w:eastAsia="宋体" w:cs="宋体"/>
          <w:bCs/>
          <w:color w:val="auto"/>
          <w:spacing w:val="0"/>
          <w:w w:val="100"/>
          <w:kern w:val="0"/>
          <w:position w:val="0"/>
          <w:sz w:val="24"/>
          <w:szCs w:val="24"/>
          <w:lang w:val="en-US" w:eastAsia="zh-CN"/>
        </w:rPr>
        <w:t>410.52</w:t>
      </w:r>
      <w:r>
        <w:rPr>
          <w:rFonts w:hint="eastAsia" w:ascii="宋体" w:hAnsi="宋体" w:eastAsia="宋体" w:cs="宋体"/>
          <w:bCs/>
          <w:color w:val="auto"/>
          <w:spacing w:val="0"/>
          <w:w w:val="100"/>
          <w:kern w:val="0"/>
          <w:position w:val="0"/>
          <w:sz w:val="24"/>
          <w:szCs w:val="24"/>
        </w:rPr>
        <w:t>m，拦污栅倾角60°，</w:t>
      </w:r>
      <w:r>
        <w:rPr>
          <w:rFonts w:hint="eastAsia" w:ascii="宋体" w:hAnsi="宋体" w:eastAsia="宋体" w:cs="宋体"/>
          <w:bCs/>
          <w:color w:val="auto"/>
          <w:spacing w:val="0"/>
          <w:w w:val="100"/>
          <w:kern w:val="0"/>
          <w:position w:val="0"/>
          <w:sz w:val="24"/>
          <w:szCs w:val="24"/>
          <w:lang w:eastAsia="zh-CN"/>
        </w:rPr>
        <w:t>末端底</w:t>
      </w:r>
      <w:r>
        <w:rPr>
          <w:rFonts w:hint="eastAsia" w:ascii="宋体" w:hAnsi="宋体" w:eastAsia="宋体" w:cs="宋体"/>
          <w:bCs/>
          <w:color w:val="auto"/>
          <w:spacing w:val="0"/>
          <w:w w:val="100"/>
          <w:kern w:val="0"/>
          <w:position w:val="0"/>
          <w:sz w:val="24"/>
          <w:szCs w:val="24"/>
        </w:rPr>
        <w:t>高程</w:t>
      </w:r>
      <w:r>
        <w:rPr>
          <w:rFonts w:hint="eastAsia" w:ascii="宋体" w:hAnsi="宋体" w:eastAsia="宋体" w:cs="宋体"/>
          <w:bCs/>
          <w:color w:val="auto"/>
          <w:spacing w:val="0"/>
          <w:w w:val="100"/>
          <w:kern w:val="0"/>
          <w:position w:val="0"/>
          <w:sz w:val="24"/>
          <w:szCs w:val="24"/>
          <w:lang w:val="en-US" w:eastAsia="zh-CN"/>
        </w:rPr>
        <w:t>409.52</w:t>
      </w:r>
      <w:r>
        <w:rPr>
          <w:rFonts w:hint="eastAsia" w:ascii="宋体" w:hAnsi="宋体" w:eastAsia="宋体" w:cs="宋体"/>
          <w:bCs/>
          <w:color w:val="auto"/>
          <w:spacing w:val="0"/>
          <w:w w:val="100"/>
          <w:kern w:val="0"/>
          <w:position w:val="0"/>
          <w:sz w:val="24"/>
          <w:szCs w:val="24"/>
        </w:rPr>
        <w:t>m，设有工作闸门1道。</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Cs/>
          <w:color w:val="auto"/>
          <w:spacing w:val="0"/>
          <w:w w:val="100"/>
          <w:kern w:val="0"/>
          <w:position w:val="0"/>
          <w:sz w:val="24"/>
          <w:szCs w:val="24"/>
        </w:rPr>
      </w:pPr>
      <w:r>
        <w:rPr>
          <w:rFonts w:hint="eastAsia" w:ascii="宋体" w:hAnsi="宋体" w:eastAsia="宋体" w:cs="宋体"/>
          <w:bCs/>
          <w:color w:val="auto"/>
          <w:spacing w:val="0"/>
          <w:w w:val="100"/>
          <w:kern w:val="0"/>
          <w:position w:val="0"/>
          <w:sz w:val="24"/>
          <w:szCs w:val="24"/>
        </w:rPr>
        <w:t>（</w:t>
      </w:r>
      <w:r>
        <w:rPr>
          <w:rFonts w:hint="eastAsia" w:ascii="宋体" w:hAnsi="宋体" w:eastAsia="宋体" w:cs="宋体"/>
          <w:bCs/>
          <w:color w:val="auto"/>
          <w:spacing w:val="0"/>
          <w:w w:val="100"/>
          <w:kern w:val="0"/>
          <w:position w:val="0"/>
          <w:sz w:val="24"/>
          <w:szCs w:val="24"/>
          <w:lang w:val="en-US" w:eastAsia="zh-CN"/>
        </w:rPr>
        <w:t>2</w:t>
      </w:r>
      <w:r>
        <w:rPr>
          <w:rFonts w:hint="eastAsia" w:ascii="宋体" w:hAnsi="宋体" w:eastAsia="宋体" w:cs="宋体"/>
          <w:bCs/>
          <w:color w:val="auto"/>
          <w:spacing w:val="0"/>
          <w:w w:val="100"/>
          <w:kern w:val="0"/>
          <w:position w:val="0"/>
          <w:sz w:val="24"/>
          <w:szCs w:val="24"/>
        </w:rPr>
        <w:t>）压力前池：压力前池设在</w:t>
      </w:r>
      <w:r>
        <w:rPr>
          <w:rFonts w:hint="eastAsia" w:ascii="宋体" w:hAnsi="宋体" w:eastAsia="宋体" w:cs="宋体"/>
          <w:bCs/>
          <w:color w:val="auto"/>
          <w:spacing w:val="0"/>
          <w:w w:val="100"/>
          <w:kern w:val="0"/>
          <w:position w:val="0"/>
          <w:sz w:val="24"/>
          <w:szCs w:val="24"/>
          <w:lang w:eastAsia="zh-CN"/>
        </w:rPr>
        <w:t>渠道</w:t>
      </w:r>
      <w:r>
        <w:rPr>
          <w:rFonts w:hint="eastAsia" w:ascii="宋体" w:hAnsi="宋体" w:eastAsia="宋体" w:cs="宋体"/>
          <w:bCs/>
          <w:color w:val="auto"/>
          <w:spacing w:val="0"/>
          <w:w w:val="100"/>
          <w:kern w:val="0"/>
          <w:position w:val="0"/>
          <w:sz w:val="24"/>
          <w:szCs w:val="24"/>
        </w:rPr>
        <w:t>出口，前池最大尺寸长*宽*高=</w:t>
      </w:r>
      <w:r>
        <w:rPr>
          <w:rFonts w:hint="eastAsia" w:ascii="宋体" w:hAnsi="宋体" w:eastAsia="宋体" w:cs="宋体"/>
          <w:bCs/>
          <w:color w:val="auto"/>
          <w:spacing w:val="0"/>
          <w:w w:val="100"/>
          <w:kern w:val="0"/>
          <w:position w:val="0"/>
          <w:sz w:val="24"/>
          <w:szCs w:val="24"/>
          <w:lang w:val="en-US" w:eastAsia="zh-CN"/>
        </w:rPr>
        <w:t>18</w:t>
      </w:r>
      <w:r>
        <w:rPr>
          <w:rFonts w:hint="eastAsia" w:ascii="宋体" w:hAnsi="宋体" w:eastAsia="宋体" w:cs="宋体"/>
          <w:bCs/>
          <w:color w:val="auto"/>
          <w:spacing w:val="0"/>
          <w:w w:val="100"/>
          <w:kern w:val="0"/>
          <w:position w:val="0"/>
          <w:sz w:val="24"/>
          <w:szCs w:val="24"/>
        </w:rPr>
        <w:t>*</w:t>
      </w:r>
      <w:r>
        <w:rPr>
          <w:rFonts w:hint="eastAsia" w:ascii="宋体" w:hAnsi="宋体" w:eastAsia="宋体" w:cs="宋体"/>
          <w:bCs/>
          <w:color w:val="auto"/>
          <w:spacing w:val="0"/>
          <w:w w:val="100"/>
          <w:kern w:val="0"/>
          <w:position w:val="0"/>
          <w:sz w:val="24"/>
          <w:szCs w:val="24"/>
          <w:lang w:val="en-US" w:eastAsia="zh-CN"/>
        </w:rPr>
        <w:t>9</w:t>
      </w:r>
      <w:r>
        <w:rPr>
          <w:rFonts w:hint="eastAsia" w:ascii="宋体" w:hAnsi="宋体" w:eastAsia="宋体" w:cs="宋体"/>
          <w:bCs/>
          <w:color w:val="auto"/>
          <w:spacing w:val="0"/>
          <w:w w:val="100"/>
          <w:kern w:val="0"/>
          <w:position w:val="0"/>
          <w:sz w:val="24"/>
          <w:szCs w:val="24"/>
        </w:rPr>
        <w:t>*3.</w:t>
      </w:r>
      <w:r>
        <w:rPr>
          <w:rFonts w:hint="eastAsia" w:ascii="宋体" w:hAnsi="宋体" w:eastAsia="宋体" w:cs="宋体"/>
          <w:bCs/>
          <w:color w:val="auto"/>
          <w:spacing w:val="0"/>
          <w:w w:val="100"/>
          <w:kern w:val="0"/>
          <w:position w:val="0"/>
          <w:sz w:val="24"/>
          <w:szCs w:val="24"/>
          <w:lang w:val="en-US" w:eastAsia="zh-CN"/>
        </w:rPr>
        <w:t>6</w:t>
      </w:r>
      <w:r>
        <w:rPr>
          <w:rFonts w:hint="eastAsia" w:ascii="宋体" w:hAnsi="宋体" w:eastAsia="宋体" w:cs="宋体"/>
          <w:bCs/>
          <w:color w:val="auto"/>
          <w:spacing w:val="0"/>
          <w:w w:val="100"/>
          <w:kern w:val="0"/>
          <w:position w:val="0"/>
          <w:sz w:val="24"/>
          <w:szCs w:val="24"/>
        </w:rPr>
        <w:t>m，前池正常水位为</w:t>
      </w:r>
      <w:r>
        <w:rPr>
          <w:rFonts w:hint="eastAsia" w:ascii="宋体" w:hAnsi="宋体" w:eastAsia="宋体" w:cs="宋体"/>
          <w:bCs/>
          <w:color w:val="auto"/>
          <w:spacing w:val="0"/>
          <w:w w:val="100"/>
          <w:kern w:val="0"/>
          <w:position w:val="0"/>
          <w:sz w:val="24"/>
          <w:szCs w:val="24"/>
          <w:lang w:val="en-US" w:eastAsia="zh-CN"/>
        </w:rPr>
        <w:t>440</w:t>
      </w:r>
      <w:r>
        <w:rPr>
          <w:rFonts w:hint="eastAsia" w:ascii="宋体" w:hAnsi="宋体" w:eastAsia="宋体" w:cs="宋体"/>
          <w:bCs/>
          <w:color w:val="auto"/>
          <w:spacing w:val="0"/>
          <w:w w:val="100"/>
          <w:kern w:val="0"/>
          <w:position w:val="0"/>
          <w:sz w:val="24"/>
          <w:szCs w:val="24"/>
        </w:rPr>
        <w:t>m</w:t>
      </w:r>
      <w:r>
        <w:rPr>
          <w:rFonts w:hint="eastAsia" w:ascii="宋体" w:hAnsi="宋体" w:eastAsia="宋体" w:cs="宋体"/>
          <w:bCs/>
          <w:color w:val="auto"/>
          <w:spacing w:val="0"/>
          <w:w w:val="100"/>
          <w:kern w:val="0"/>
          <w:position w:val="0"/>
          <w:sz w:val="24"/>
          <w:szCs w:val="24"/>
          <w:lang w:eastAsia="zh-CN"/>
        </w:rPr>
        <w:t>，</w:t>
      </w:r>
      <w:r>
        <w:rPr>
          <w:rFonts w:hint="eastAsia" w:ascii="宋体" w:hAnsi="宋体" w:eastAsia="宋体" w:cs="宋体"/>
          <w:bCs/>
          <w:color w:val="auto"/>
          <w:spacing w:val="0"/>
          <w:w w:val="100"/>
          <w:kern w:val="0"/>
          <w:position w:val="0"/>
          <w:sz w:val="24"/>
          <w:szCs w:val="24"/>
        </w:rPr>
        <w:t>与隧洞出口末端正常水位相同，前池最低水位为298.77m，进水口顶缘高程根据最底水位以下压力水管中流速水头的两倍确定，进水口顶缘高程为297.77m,进水口底板高程为295.97m，前池底板高程为295.67m,前池挡墙顶高程为301.57m,前池设有一道工作闸门。前池设置冲沙孔（兼放水孔），冲沙孔设置在前池挡墙左侧，在安装间下部预留涵管，水流进入尾水渠，冲沙孔直径为1.0m，在前池挡墙设置一道拦污栅，一道工作闸门进行控制。启闭平台高程303.57m。压力钢管长度为</w:t>
      </w:r>
      <w:r>
        <w:rPr>
          <w:rFonts w:hint="eastAsia" w:ascii="宋体" w:hAnsi="宋体" w:eastAsia="宋体" w:cs="宋体"/>
          <w:bCs/>
          <w:color w:val="auto"/>
          <w:spacing w:val="0"/>
          <w:w w:val="100"/>
          <w:kern w:val="0"/>
          <w:position w:val="0"/>
          <w:sz w:val="24"/>
          <w:szCs w:val="24"/>
          <w:lang w:val="en-US" w:eastAsia="zh-CN"/>
        </w:rPr>
        <w:t>56</w:t>
      </w:r>
      <w:r>
        <w:rPr>
          <w:rFonts w:hint="eastAsia" w:ascii="宋体" w:hAnsi="宋体" w:eastAsia="宋体" w:cs="宋体"/>
          <w:bCs/>
          <w:color w:val="auto"/>
          <w:spacing w:val="0"/>
          <w:w w:val="100"/>
          <w:kern w:val="0"/>
          <w:position w:val="0"/>
          <w:sz w:val="24"/>
          <w:szCs w:val="24"/>
        </w:rPr>
        <w:t>0m，压力钢管内径为0.8m，岔管内径0.35m，壁厚为20mm。</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3、发电厂房</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eastAsia="zh-CN"/>
        </w:rPr>
      </w:pPr>
      <w:r>
        <w:rPr>
          <w:rFonts w:hint="eastAsia" w:ascii="宋体" w:hAnsi="宋体" w:eastAsia="宋体" w:cs="宋体"/>
          <w:color w:val="auto"/>
          <w:spacing w:val="0"/>
          <w:w w:val="100"/>
          <w:kern w:val="0"/>
          <w:position w:val="0"/>
          <w:sz w:val="24"/>
          <w:szCs w:val="24"/>
        </w:rPr>
        <w:t>厂房布置于大坝下游</w:t>
      </w:r>
      <w:r>
        <w:rPr>
          <w:rFonts w:hint="eastAsia" w:ascii="宋体" w:hAnsi="宋体" w:eastAsia="宋体" w:cs="宋体"/>
          <w:color w:val="auto"/>
          <w:spacing w:val="0"/>
          <w:w w:val="100"/>
          <w:kern w:val="0"/>
          <w:position w:val="0"/>
          <w:sz w:val="24"/>
          <w:szCs w:val="24"/>
          <w:lang w:val="en-US" w:eastAsia="zh-CN"/>
        </w:rPr>
        <w:t>2.6</w:t>
      </w:r>
      <w:r>
        <w:rPr>
          <w:rFonts w:hint="eastAsia" w:ascii="宋体" w:hAnsi="宋体" w:eastAsia="宋体" w:cs="宋体"/>
          <w:color w:val="auto"/>
          <w:spacing w:val="0"/>
          <w:w w:val="100"/>
          <w:kern w:val="0"/>
          <w:position w:val="0"/>
          <w:sz w:val="24"/>
          <w:szCs w:val="24"/>
        </w:rPr>
        <w:t>km的台地上，为引水式地面厂房，面积</w:t>
      </w:r>
      <w:r>
        <w:rPr>
          <w:rFonts w:hint="eastAsia" w:ascii="宋体" w:hAnsi="宋体" w:eastAsia="宋体" w:cs="宋体"/>
          <w:color w:val="auto"/>
          <w:spacing w:val="0"/>
          <w:w w:val="100"/>
          <w:kern w:val="0"/>
          <w:position w:val="0"/>
          <w:sz w:val="24"/>
          <w:szCs w:val="24"/>
          <w:lang w:val="en-US" w:eastAsia="zh-CN"/>
        </w:rPr>
        <w:t>20</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szCs w:val="24"/>
          <w:lang w:val="en-US" w:eastAsia="zh-CN"/>
        </w:rPr>
        <w:t>7.95</w:t>
      </w:r>
      <w:r>
        <w:rPr>
          <w:rFonts w:hint="eastAsia" w:ascii="宋体" w:hAnsi="宋体" w:eastAsia="宋体" w:cs="宋体"/>
          <w:color w:val="auto"/>
          <w:spacing w:val="0"/>
          <w:w w:val="100"/>
          <w:kern w:val="0"/>
          <w:position w:val="0"/>
          <w:sz w:val="24"/>
          <w:szCs w:val="24"/>
        </w:rPr>
        <w:t>m</w:t>
      </w:r>
      <w:r>
        <w:rPr>
          <w:rFonts w:hint="eastAsia" w:ascii="宋体" w:hAnsi="宋体" w:eastAsia="宋体" w:cs="宋体"/>
          <w:color w:val="auto"/>
          <w:spacing w:val="0"/>
          <w:w w:val="100"/>
          <w:kern w:val="0"/>
          <w:position w:val="0"/>
          <w:sz w:val="24"/>
          <w:szCs w:val="24"/>
          <w:vertAlign w:val="superscript"/>
        </w:rPr>
        <w:t>2</w:t>
      </w:r>
      <w:r>
        <w:rPr>
          <w:rFonts w:hint="eastAsia" w:ascii="宋体" w:hAnsi="宋体" w:eastAsia="宋体" w:cs="宋体"/>
          <w:color w:val="auto"/>
          <w:spacing w:val="0"/>
          <w:w w:val="100"/>
          <w:kern w:val="0"/>
          <w:position w:val="0"/>
          <w:sz w:val="24"/>
          <w:szCs w:val="24"/>
        </w:rPr>
        <w:t>，发电机层地面高程为</w:t>
      </w:r>
      <w:r>
        <w:rPr>
          <w:rFonts w:hint="eastAsia" w:ascii="宋体" w:hAnsi="宋体" w:eastAsia="宋体" w:cs="宋体"/>
          <w:color w:val="auto"/>
          <w:spacing w:val="0"/>
          <w:w w:val="100"/>
          <w:kern w:val="0"/>
          <w:position w:val="0"/>
          <w:sz w:val="24"/>
          <w:szCs w:val="24"/>
          <w:lang w:val="en-US" w:eastAsia="zh-CN"/>
        </w:rPr>
        <w:t>212</w:t>
      </w:r>
      <w:r>
        <w:rPr>
          <w:rFonts w:hint="eastAsia" w:ascii="宋体" w:hAnsi="宋体" w:eastAsia="宋体" w:cs="宋体"/>
          <w:color w:val="auto"/>
          <w:spacing w:val="0"/>
          <w:w w:val="100"/>
          <w:kern w:val="0"/>
          <w:position w:val="0"/>
          <w:sz w:val="24"/>
          <w:szCs w:val="24"/>
        </w:rPr>
        <w:t>m，安装</w:t>
      </w:r>
      <w:r>
        <w:rPr>
          <w:rFonts w:hint="eastAsia" w:ascii="宋体" w:hAnsi="宋体" w:eastAsia="宋体" w:cs="宋体"/>
          <w:color w:val="auto"/>
          <w:spacing w:val="0"/>
          <w:w w:val="100"/>
          <w:kern w:val="0"/>
          <w:position w:val="0"/>
          <w:sz w:val="24"/>
          <w:szCs w:val="24"/>
          <w:lang w:val="en-US" w:eastAsia="zh-CN"/>
        </w:rPr>
        <w:t>2</w:t>
      </w:r>
      <w:r>
        <w:rPr>
          <w:rFonts w:hint="eastAsia" w:ascii="宋体" w:hAnsi="宋体" w:eastAsia="宋体" w:cs="宋体"/>
          <w:color w:val="auto"/>
          <w:spacing w:val="0"/>
          <w:w w:val="100"/>
          <w:kern w:val="0"/>
          <w:position w:val="0"/>
          <w:sz w:val="24"/>
          <w:szCs w:val="24"/>
        </w:rPr>
        <w:t>台发电机组（水轮机</w:t>
      </w:r>
      <w:r>
        <w:rPr>
          <w:rFonts w:hint="eastAsia" w:ascii="宋体" w:hAnsi="宋体" w:eastAsia="宋体" w:cs="宋体"/>
          <w:color w:val="auto"/>
          <w:sz w:val="24"/>
          <w:szCs w:val="24"/>
        </w:rPr>
        <w:t xml:space="preserve"> CJA475-W-110/1*11</w:t>
      </w:r>
      <w:r>
        <w:rPr>
          <w:rFonts w:hint="eastAsia" w:ascii="宋体" w:hAnsi="宋体" w:eastAsia="宋体" w:cs="宋体"/>
          <w:color w:val="auto"/>
          <w:spacing w:val="0"/>
          <w:w w:val="100"/>
          <w:kern w:val="0"/>
          <w:position w:val="0"/>
          <w:sz w:val="24"/>
          <w:szCs w:val="24"/>
        </w:rPr>
        <w:t>，设计水头</w:t>
      </w:r>
      <w:r>
        <w:rPr>
          <w:rFonts w:hint="eastAsia" w:ascii="宋体" w:hAnsi="宋体" w:eastAsia="宋体" w:cs="宋体"/>
          <w:color w:val="auto"/>
          <w:spacing w:val="0"/>
          <w:w w:val="100"/>
          <w:kern w:val="0"/>
          <w:position w:val="0"/>
          <w:sz w:val="24"/>
          <w:szCs w:val="24"/>
          <w:lang w:val="en-US" w:eastAsia="zh-CN"/>
        </w:rPr>
        <w:t>220</w:t>
      </w:r>
      <w:r>
        <w:rPr>
          <w:rFonts w:hint="eastAsia" w:ascii="宋体" w:hAnsi="宋体" w:eastAsia="宋体" w:cs="宋体"/>
          <w:color w:val="auto"/>
          <w:spacing w:val="0"/>
          <w:w w:val="100"/>
          <w:kern w:val="0"/>
          <w:position w:val="0"/>
          <w:sz w:val="24"/>
          <w:szCs w:val="24"/>
        </w:rPr>
        <w:t>m，发电机</w:t>
      </w:r>
      <w:r>
        <w:rPr>
          <w:rFonts w:hint="eastAsia" w:ascii="宋体" w:hAnsi="宋体" w:eastAsia="宋体" w:cs="宋体"/>
          <w:color w:val="auto"/>
          <w:sz w:val="24"/>
          <w:szCs w:val="24"/>
        </w:rPr>
        <w:t>SFW800-10/1180</w:t>
      </w:r>
      <w:r>
        <w:rPr>
          <w:rFonts w:hint="eastAsia" w:ascii="宋体" w:hAnsi="宋体" w:eastAsia="宋体" w:cs="宋体"/>
          <w:color w:val="auto"/>
          <w:spacing w:val="0"/>
          <w:w w:val="100"/>
          <w:kern w:val="0"/>
          <w:position w:val="0"/>
          <w:sz w:val="24"/>
          <w:szCs w:val="24"/>
        </w:rPr>
        <w:t>），总装机容量</w:t>
      </w:r>
      <w:r>
        <w:rPr>
          <w:rFonts w:hint="eastAsia" w:ascii="宋体" w:hAnsi="宋体" w:eastAsia="宋体" w:cs="宋体"/>
          <w:color w:val="auto"/>
          <w:spacing w:val="0"/>
          <w:w w:val="100"/>
          <w:kern w:val="0"/>
          <w:position w:val="0"/>
          <w:sz w:val="24"/>
          <w:szCs w:val="24"/>
          <w:lang w:eastAsia="zh-CN"/>
        </w:rPr>
        <w:t>1600kW</w:t>
      </w:r>
      <w:r>
        <w:rPr>
          <w:rFonts w:hint="eastAsia" w:ascii="宋体" w:hAnsi="宋体" w:eastAsia="宋体" w:cs="宋体"/>
          <w:color w:val="auto"/>
          <w:spacing w:val="0"/>
          <w:w w:val="100"/>
          <w:kern w:val="0"/>
          <w:position w:val="0"/>
          <w:sz w:val="24"/>
          <w:szCs w:val="24"/>
        </w:rPr>
        <w:t>，机组安装高程为</w:t>
      </w:r>
      <w:r>
        <w:rPr>
          <w:rFonts w:hint="eastAsia" w:ascii="宋体" w:hAnsi="宋体" w:eastAsia="宋体" w:cs="宋体"/>
          <w:color w:val="auto"/>
          <w:spacing w:val="0"/>
          <w:w w:val="100"/>
          <w:kern w:val="0"/>
          <w:position w:val="0"/>
          <w:sz w:val="24"/>
          <w:szCs w:val="24"/>
          <w:lang w:val="en-US" w:eastAsia="zh-CN"/>
        </w:rPr>
        <w:t>212</w:t>
      </w:r>
      <w:r>
        <w:rPr>
          <w:rFonts w:hint="eastAsia" w:ascii="宋体" w:hAnsi="宋体" w:eastAsia="宋体" w:cs="宋体"/>
          <w:color w:val="auto"/>
          <w:spacing w:val="0"/>
          <w:w w:val="100"/>
          <w:kern w:val="0"/>
          <w:position w:val="0"/>
          <w:sz w:val="24"/>
          <w:szCs w:val="24"/>
        </w:rPr>
        <w:t>m。厂房流道出口下游侧设长</w:t>
      </w:r>
      <w:r>
        <w:rPr>
          <w:rFonts w:hint="eastAsia" w:ascii="宋体" w:hAnsi="宋体" w:eastAsia="宋体" w:cs="宋体"/>
          <w:color w:val="auto"/>
          <w:spacing w:val="0"/>
          <w:w w:val="100"/>
          <w:kern w:val="0"/>
          <w:position w:val="0"/>
          <w:sz w:val="24"/>
          <w:szCs w:val="24"/>
          <w:lang w:val="en-US" w:eastAsia="zh-CN"/>
        </w:rPr>
        <w:t>30</w:t>
      </w:r>
      <w:r>
        <w:rPr>
          <w:rFonts w:hint="eastAsia" w:ascii="宋体" w:hAnsi="宋体" w:eastAsia="宋体" w:cs="宋体"/>
          <w:color w:val="auto"/>
          <w:spacing w:val="0"/>
          <w:w w:val="100"/>
          <w:kern w:val="0"/>
          <w:position w:val="0"/>
          <w:sz w:val="24"/>
          <w:szCs w:val="24"/>
        </w:rPr>
        <w:t>m的尾水渠与河道顺接。升压站布置在厂房</w:t>
      </w:r>
      <w:r>
        <w:rPr>
          <w:rFonts w:hint="eastAsia" w:ascii="宋体" w:hAnsi="宋体" w:eastAsia="宋体" w:cs="宋体"/>
          <w:color w:val="auto"/>
          <w:spacing w:val="0"/>
          <w:w w:val="100"/>
          <w:kern w:val="0"/>
          <w:position w:val="0"/>
          <w:sz w:val="24"/>
          <w:szCs w:val="24"/>
          <w:lang w:eastAsia="zh-CN"/>
        </w:rPr>
        <w:t>南</w:t>
      </w:r>
      <w:r>
        <w:rPr>
          <w:rFonts w:hint="eastAsia" w:ascii="宋体" w:hAnsi="宋体" w:eastAsia="宋体" w:cs="宋体"/>
          <w:color w:val="auto"/>
          <w:spacing w:val="0"/>
          <w:w w:val="100"/>
          <w:kern w:val="0"/>
          <w:position w:val="0"/>
          <w:sz w:val="24"/>
          <w:szCs w:val="24"/>
        </w:rPr>
        <w:t>侧，面积5×5m</w:t>
      </w:r>
      <w:r>
        <w:rPr>
          <w:rFonts w:hint="eastAsia" w:ascii="宋体" w:hAnsi="宋体" w:eastAsia="宋体" w:cs="宋体"/>
          <w:color w:val="auto"/>
          <w:spacing w:val="0"/>
          <w:w w:val="100"/>
          <w:kern w:val="0"/>
          <w:position w:val="0"/>
          <w:sz w:val="24"/>
          <w:szCs w:val="24"/>
          <w:vertAlign w:val="superscript"/>
        </w:rPr>
        <w:t>2</w:t>
      </w:r>
      <w:r>
        <w:rPr>
          <w:rFonts w:hint="eastAsia" w:ascii="宋体" w:hAnsi="宋体" w:eastAsia="宋体" w:cs="宋体"/>
          <w:color w:val="auto"/>
          <w:spacing w:val="0"/>
          <w:w w:val="100"/>
          <w:kern w:val="0"/>
          <w:position w:val="0"/>
          <w:sz w:val="24"/>
          <w:szCs w:val="24"/>
        </w:rPr>
        <w:t>，发电机组轴线垂直进水管中心线布置，主变布置在厂房上游墙外左岸山坡平台上，采用2台变压器，升压至10kv后向外部电网输电</w:t>
      </w:r>
      <w:r>
        <w:rPr>
          <w:rFonts w:hint="eastAsia" w:ascii="宋体" w:hAnsi="宋体" w:eastAsia="宋体" w:cs="宋体"/>
          <w:color w:val="auto"/>
          <w:spacing w:val="0"/>
          <w:w w:val="100"/>
          <w:kern w:val="0"/>
          <w:position w:val="0"/>
          <w:sz w:val="24"/>
          <w:szCs w:val="24"/>
          <w:lang w:eastAsia="zh-CN"/>
        </w:rPr>
        <w:t>。</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b w:val="0"/>
          <w:bCs w:val="0"/>
          <w:color w:val="auto"/>
          <w:spacing w:val="0"/>
          <w:w w:val="100"/>
          <w:kern w:val="0"/>
          <w:position w:val="0"/>
          <w:sz w:val="24"/>
          <w:szCs w:val="24"/>
        </w:rPr>
      </w:pPr>
      <w:r>
        <w:rPr>
          <w:rFonts w:hint="eastAsia" w:ascii="宋体" w:hAnsi="宋体" w:eastAsia="宋体" w:cs="宋体"/>
          <w:b w:val="0"/>
          <w:bCs w:val="0"/>
          <w:color w:val="auto"/>
          <w:spacing w:val="0"/>
          <w:w w:val="100"/>
          <w:kern w:val="0"/>
          <w:position w:val="0"/>
          <w:sz w:val="24"/>
          <w:szCs w:val="24"/>
        </w:rPr>
        <w:t>4、综合楼</w:t>
      </w:r>
    </w:p>
    <w:p>
      <w:pPr>
        <w:pStyle w:val="2"/>
        <w:keepNext w:val="0"/>
        <w:keepLines w:val="0"/>
        <w:pageBreakBefore w:val="0"/>
        <w:widowControl w:val="0"/>
        <w:tabs>
          <w:tab w:val="left" w:pos="9460"/>
        </w:tabs>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color w:val="auto"/>
          <w:spacing w:val="0"/>
          <w:w w:val="100"/>
          <w:kern w:val="0"/>
          <w:position w:val="0"/>
          <w:sz w:val="24"/>
          <w:szCs w:val="24"/>
          <w:lang w:val="zh-CN" w:eastAsia="zh-CN" w:bidi="zh-CN"/>
        </w:rPr>
      </w:pPr>
      <w:r>
        <w:rPr>
          <w:rFonts w:hint="eastAsia" w:ascii="宋体" w:hAnsi="宋体" w:eastAsia="宋体" w:cs="宋体"/>
          <w:color w:val="auto"/>
          <w:spacing w:val="0"/>
          <w:w w:val="100"/>
          <w:kern w:val="0"/>
          <w:position w:val="0"/>
          <w:sz w:val="24"/>
          <w:szCs w:val="24"/>
          <w:lang w:val="en-US" w:eastAsia="zh-CN" w:bidi="zh-CN"/>
        </w:rPr>
        <w:t xml:space="preserve"> </w:t>
      </w:r>
      <w:r>
        <w:rPr>
          <w:rFonts w:hint="eastAsia" w:ascii="宋体" w:hAnsi="宋体" w:eastAsia="宋体" w:cs="宋体"/>
          <w:color w:val="auto"/>
          <w:spacing w:val="0"/>
          <w:w w:val="100"/>
          <w:kern w:val="0"/>
          <w:position w:val="0"/>
          <w:sz w:val="24"/>
          <w:szCs w:val="24"/>
          <w:lang w:val="zh-CN" w:eastAsia="zh-CN" w:bidi="zh-CN"/>
        </w:rPr>
        <w:t>为满足水电站职工的办公和居住生活需求，在发电厂房附近建一座综合楼，综合楼为共三</w:t>
      </w:r>
    </w:p>
    <w:p>
      <w:pPr>
        <w:pStyle w:val="2"/>
        <w:keepNext w:val="0"/>
        <w:keepLines w:val="0"/>
        <w:pageBreakBefore w:val="0"/>
        <w:widowControl w:val="0"/>
        <w:tabs>
          <w:tab w:val="left" w:pos="9460"/>
        </w:tabs>
        <w:kinsoku/>
        <w:wordWrap/>
        <w:overflowPunct/>
        <w:topLinePunct w:val="0"/>
        <w:autoSpaceDE/>
        <w:autoSpaceDN/>
        <w:bidi w:val="0"/>
        <w:adjustRightInd/>
        <w:snapToGrid/>
        <w:spacing w:line="360" w:lineRule="auto"/>
        <w:jc w:val="both"/>
        <w:textAlignment w:val="auto"/>
        <w:outlineLvl w:val="9"/>
        <w:rPr>
          <w:rFonts w:hint="eastAsia" w:eastAsia="仿宋"/>
          <w:lang w:eastAsia="zh-CN"/>
        </w:rPr>
      </w:pPr>
      <w:r>
        <w:rPr>
          <w:rFonts w:hint="eastAsia" w:ascii="宋体" w:hAnsi="宋体" w:eastAsia="宋体" w:cs="宋体"/>
          <w:color w:val="auto"/>
          <w:spacing w:val="0"/>
          <w:w w:val="100"/>
          <w:kern w:val="0"/>
          <w:position w:val="0"/>
          <w:sz w:val="24"/>
          <w:szCs w:val="24"/>
          <w:lang w:val="zh-CN" w:eastAsia="zh-CN" w:bidi="zh-CN"/>
        </w:rPr>
        <w:t>层楼的钢架混凝土结构，建筑面积</w:t>
      </w:r>
      <w:r>
        <w:rPr>
          <w:rFonts w:hint="eastAsia" w:ascii="宋体" w:hAnsi="宋体" w:eastAsia="宋体" w:cs="宋体"/>
          <w:color w:val="auto"/>
          <w:spacing w:val="0"/>
          <w:w w:val="100"/>
          <w:kern w:val="0"/>
          <w:position w:val="0"/>
          <w:sz w:val="24"/>
          <w:szCs w:val="24"/>
          <w:lang w:val="en-US" w:eastAsia="zh-CN" w:bidi="zh-CN"/>
        </w:rPr>
        <w:t>250</w:t>
      </w:r>
      <w:r>
        <w:rPr>
          <w:rFonts w:hint="eastAsia" w:ascii="宋体" w:hAnsi="宋体" w:eastAsia="宋体" w:cs="宋体"/>
          <w:color w:val="auto"/>
          <w:spacing w:val="0"/>
          <w:w w:val="100"/>
          <w:kern w:val="0"/>
          <w:position w:val="0"/>
          <w:sz w:val="24"/>
          <w:szCs w:val="24"/>
          <w:lang w:val="zh-CN" w:eastAsia="zh-CN" w:bidi="zh-CN"/>
        </w:rPr>
        <w:t>m</w:t>
      </w:r>
      <w:r>
        <w:rPr>
          <w:rFonts w:hint="eastAsia" w:ascii="宋体" w:hAnsi="宋体" w:eastAsia="宋体" w:cs="宋体"/>
          <w:color w:val="auto"/>
          <w:spacing w:val="0"/>
          <w:w w:val="100"/>
          <w:kern w:val="0"/>
          <w:position w:val="0"/>
          <w:sz w:val="24"/>
          <w:szCs w:val="24"/>
          <w:vertAlign w:val="superscript"/>
          <w:lang w:val="en-US" w:eastAsia="zh-CN" w:bidi="zh-CN"/>
        </w:rPr>
        <w:t>2</w:t>
      </w:r>
      <w:r>
        <w:rPr>
          <w:rFonts w:hint="eastAsia" w:ascii="宋体" w:hAnsi="宋体" w:eastAsia="宋体" w:cs="宋体"/>
          <w:color w:val="auto"/>
          <w:spacing w:val="0"/>
          <w:w w:val="100"/>
          <w:kern w:val="0"/>
          <w:position w:val="0"/>
          <w:sz w:val="24"/>
          <w:szCs w:val="24"/>
          <w:lang w:val="zh-CN" w:eastAsia="zh-CN" w:bidi="zh-CN"/>
        </w:rPr>
        <w:t>。</w:t>
      </w:r>
    </w:p>
    <w:p>
      <w:pPr>
        <w:pStyle w:val="18"/>
        <w:keepNext w:val="0"/>
        <w:keepLines w:val="0"/>
        <w:pageBreakBefore w:val="0"/>
        <w:widowControl w:val="0"/>
        <w:numPr>
          <w:ilvl w:val="2"/>
          <w:numId w:val="3"/>
        </w:numPr>
        <w:tabs>
          <w:tab w:val="left" w:pos="1316"/>
        </w:tabs>
        <w:kinsoku/>
        <w:wordWrap/>
        <w:overflowPunct/>
        <w:topLinePunct w:val="0"/>
        <w:autoSpaceDE w:val="0"/>
        <w:autoSpaceDN w:val="0"/>
        <w:bidi w:val="0"/>
        <w:adjustRightInd/>
        <w:snapToGrid/>
        <w:spacing w:before="116" w:after="0" w:line="360" w:lineRule="auto"/>
        <w:ind w:left="1316" w:right="0" w:hanging="699"/>
        <w:jc w:val="both"/>
        <w:textAlignment w:val="auto"/>
        <w:rPr>
          <w:b/>
          <w:sz w:val="23"/>
        </w:rPr>
      </w:pPr>
      <w:bookmarkStart w:id="64" w:name="2.2.4水库淹没处理及工程永久占地"/>
      <w:bookmarkEnd w:id="64"/>
      <w:bookmarkStart w:id="65" w:name="2.2.4水库淹没处理及工程永久占地"/>
      <w:bookmarkEnd w:id="65"/>
      <w:r>
        <w:rPr>
          <w:rFonts w:hint="eastAsia" w:ascii="宋体" w:hAnsi="宋体" w:eastAsia="宋体" w:cs="宋体"/>
          <w:b/>
          <w:sz w:val="28"/>
        </w:rPr>
        <w:t>水库淹没处理及工程永久占地</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rPr>
      </w:pPr>
      <w:r>
        <w:rPr>
          <w:rFonts w:hint="eastAsia" w:ascii="宋体" w:hAnsi="宋体" w:eastAsia="宋体" w:cs="宋体"/>
          <w:color w:val="auto"/>
          <w:spacing w:val="0"/>
          <w:w w:val="100"/>
          <w:kern w:val="0"/>
          <w:position w:val="0"/>
          <w:lang w:eastAsia="zh-CN"/>
        </w:rPr>
        <w:t>东井冈水电站</w:t>
      </w:r>
      <w:r>
        <w:rPr>
          <w:rFonts w:hint="eastAsia" w:ascii="宋体" w:hAnsi="宋体" w:eastAsia="宋体" w:cs="宋体"/>
          <w:color w:val="auto"/>
          <w:spacing w:val="0"/>
          <w:w w:val="100"/>
          <w:kern w:val="0"/>
          <w:position w:val="0"/>
        </w:rPr>
        <w:t>装机容量</w:t>
      </w:r>
      <w:r>
        <w:rPr>
          <w:rFonts w:hint="eastAsia" w:ascii="宋体" w:hAnsi="宋体" w:eastAsia="宋体" w:cs="宋体"/>
          <w:color w:val="auto"/>
          <w:spacing w:val="0"/>
          <w:w w:val="100"/>
          <w:kern w:val="0"/>
          <w:position w:val="0"/>
          <w:lang w:eastAsia="zh-CN"/>
        </w:rPr>
        <w:t>1600kW</w:t>
      </w:r>
      <w:r>
        <w:rPr>
          <w:rFonts w:hint="eastAsia" w:ascii="宋体" w:hAnsi="宋体" w:eastAsia="宋体" w:cs="宋体"/>
          <w:color w:val="auto"/>
          <w:spacing w:val="0"/>
          <w:w w:val="100"/>
          <w:kern w:val="0"/>
          <w:position w:val="0"/>
        </w:rPr>
        <w:t>，</w:t>
      </w:r>
      <w:r>
        <w:rPr>
          <w:rFonts w:hint="eastAsia" w:ascii="宋体" w:hAnsi="宋体" w:eastAsia="宋体" w:cs="宋体"/>
          <w:color w:val="auto"/>
          <w:spacing w:val="0"/>
          <w:w w:val="100"/>
          <w:kern w:val="0"/>
          <w:position w:val="0"/>
          <w:lang w:eastAsia="zh-CN"/>
        </w:rPr>
        <w:t>依托原有溢流坝</w:t>
      </w:r>
      <w:r>
        <w:rPr>
          <w:rFonts w:hint="eastAsia" w:ascii="宋体" w:hAnsi="宋体" w:eastAsia="宋体" w:cs="宋体"/>
          <w:color w:val="auto"/>
          <w:spacing w:val="0"/>
          <w:w w:val="100"/>
          <w:kern w:val="0"/>
          <w:position w:val="0"/>
        </w:rPr>
        <w:t>，高程</w:t>
      </w:r>
      <w:r>
        <w:rPr>
          <w:rFonts w:hint="eastAsia" w:ascii="宋体" w:hAnsi="宋体" w:eastAsia="宋体" w:cs="宋体"/>
          <w:color w:val="auto"/>
          <w:spacing w:val="0"/>
          <w:w w:val="100"/>
          <w:kern w:val="0"/>
          <w:position w:val="0"/>
          <w:lang w:val="en-US" w:eastAsia="zh-CN"/>
        </w:rPr>
        <w:t>504.2</w:t>
      </w:r>
      <w:r>
        <w:rPr>
          <w:rFonts w:hint="eastAsia" w:ascii="宋体" w:hAnsi="宋体" w:eastAsia="宋体" w:cs="宋体"/>
          <w:color w:val="auto"/>
          <w:spacing w:val="0"/>
          <w:w w:val="100"/>
          <w:kern w:val="0"/>
          <w:position w:val="0"/>
          <w:lang w:eastAsia="zh-CN"/>
        </w:rPr>
        <w:t>m</w:t>
      </w:r>
      <w:r>
        <w:rPr>
          <w:rFonts w:hint="eastAsia" w:ascii="宋体" w:hAnsi="宋体" w:eastAsia="宋体" w:cs="宋体"/>
          <w:color w:val="auto"/>
          <w:spacing w:val="0"/>
          <w:w w:val="100"/>
          <w:kern w:val="0"/>
          <w:position w:val="0"/>
        </w:rPr>
        <w:t>，为了不淹没沿河两岸</w:t>
      </w:r>
      <w:r>
        <w:rPr>
          <w:rFonts w:hint="eastAsia" w:ascii="宋体" w:hAnsi="宋体" w:eastAsia="宋体" w:cs="宋体"/>
          <w:color w:val="auto"/>
          <w:spacing w:val="0"/>
          <w:w w:val="100"/>
          <w:kern w:val="0"/>
          <w:position w:val="0"/>
          <w:lang w:eastAsia="zh-CN"/>
        </w:rPr>
        <w:t>林地</w:t>
      </w:r>
      <w:r>
        <w:rPr>
          <w:rFonts w:hint="eastAsia" w:ascii="宋体" w:hAnsi="宋体" w:eastAsia="宋体" w:cs="宋体"/>
          <w:color w:val="auto"/>
          <w:spacing w:val="0"/>
          <w:w w:val="100"/>
          <w:kern w:val="0"/>
          <w:position w:val="0"/>
        </w:rPr>
        <w:t>，正常水位选定为</w:t>
      </w:r>
      <w:r>
        <w:rPr>
          <w:rFonts w:hint="eastAsia" w:ascii="宋体" w:hAnsi="宋体" w:eastAsia="宋体" w:cs="宋体"/>
          <w:color w:val="auto"/>
          <w:spacing w:val="0"/>
          <w:w w:val="100"/>
          <w:kern w:val="0"/>
          <w:position w:val="0"/>
          <w:lang w:eastAsia="zh-CN"/>
        </w:rPr>
        <w:t>503.7m</w:t>
      </w:r>
      <w:r>
        <w:rPr>
          <w:rFonts w:hint="eastAsia" w:ascii="宋体" w:hAnsi="宋体" w:eastAsia="宋体" w:cs="宋体"/>
          <w:color w:val="auto"/>
          <w:spacing w:val="0"/>
          <w:w w:val="100"/>
          <w:kern w:val="0"/>
          <w:position w:val="0"/>
        </w:rPr>
        <w:t>，因此本项目没有淹没</w:t>
      </w:r>
      <w:r>
        <w:rPr>
          <w:rFonts w:hint="eastAsia" w:ascii="宋体" w:hAnsi="宋体" w:eastAsia="宋体" w:cs="宋体"/>
        </w:rPr>
        <w:t>。</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eastAsia" w:ascii="宋体" w:hAnsi="宋体" w:eastAsia="宋体" w:cs="宋体"/>
        </w:rPr>
      </w:pPr>
    </w:p>
    <w:p>
      <w:pPr>
        <w:pStyle w:val="18"/>
        <w:keepNext w:val="0"/>
        <w:keepLines w:val="0"/>
        <w:pageBreakBefore w:val="0"/>
        <w:widowControl w:val="0"/>
        <w:numPr>
          <w:ilvl w:val="2"/>
          <w:numId w:val="3"/>
        </w:numPr>
        <w:tabs>
          <w:tab w:val="left" w:pos="1316"/>
        </w:tabs>
        <w:kinsoku/>
        <w:wordWrap/>
        <w:overflowPunct/>
        <w:topLinePunct w:val="0"/>
        <w:autoSpaceDE w:val="0"/>
        <w:autoSpaceDN w:val="0"/>
        <w:bidi w:val="0"/>
        <w:adjustRightInd/>
        <w:snapToGrid/>
        <w:spacing w:before="115" w:after="0" w:line="360" w:lineRule="auto"/>
        <w:ind w:left="1316" w:right="0" w:hanging="699"/>
        <w:jc w:val="both"/>
        <w:textAlignment w:val="auto"/>
        <w:rPr>
          <w:b/>
          <w:sz w:val="23"/>
        </w:rPr>
      </w:pPr>
      <w:bookmarkStart w:id="66" w:name="2.2.5弃渣场、砂石料场"/>
      <w:bookmarkEnd w:id="66"/>
      <w:bookmarkStart w:id="67" w:name="2.2.5弃渣场、砂石料场"/>
      <w:bookmarkEnd w:id="67"/>
      <w:r>
        <w:rPr>
          <w:rFonts w:hint="eastAsia" w:ascii="宋体" w:hAnsi="宋体" w:eastAsia="宋体" w:cs="宋体"/>
          <w:b/>
          <w:sz w:val="28"/>
        </w:rPr>
        <w:t>弃渣场、砂石料场</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textAlignment w:val="auto"/>
        <w:rPr>
          <w:sz w:val="31"/>
        </w:rPr>
      </w:pPr>
      <w:r>
        <w:rPr>
          <w:rFonts w:hint="eastAsia" w:ascii="宋体" w:hAnsi="宋体" w:eastAsia="宋体" w:cs="宋体"/>
        </w:rPr>
        <w:t>工程水保方案中共规划了</w:t>
      </w:r>
      <w:r>
        <w:rPr>
          <w:rFonts w:hint="eastAsia" w:ascii="宋体" w:hAnsi="宋体" w:eastAsia="宋体" w:cs="宋体"/>
          <w:lang w:val="en-US" w:eastAsia="zh-CN"/>
        </w:rPr>
        <w:t>1</w:t>
      </w:r>
      <w:r>
        <w:rPr>
          <w:rFonts w:hint="eastAsia" w:ascii="宋体" w:hAnsi="宋体" w:eastAsia="宋体" w:cs="宋体"/>
        </w:rPr>
        <w:t>个弃渣场，弃渣场周围设置了挡渣墙、截水沟和排水沟，避免了流失造成水质污染和影响鱼类栖息环境</w:t>
      </w:r>
      <w:r>
        <w:rPr>
          <w:rFonts w:hint="eastAsia" w:ascii="宋体" w:hAnsi="宋体" w:eastAsia="宋体" w:cs="宋体"/>
          <w:lang w:eastAsia="zh-CN"/>
        </w:rPr>
        <w:t>，</w:t>
      </w:r>
      <w:r>
        <w:rPr>
          <w:rFonts w:hint="eastAsia" w:ascii="宋体" w:hAnsi="宋体" w:eastAsia="宋体" w:cs="宋体"/>
          <w:color w:val="auto"/>
          <w:spacing w:val="0"/>
          <w:w w:val="100"/>
          <w:kern w:val="0"/>
          <w:position w:val="0"/>
        </w:rPr>
        <w:t>根据调查，本项目库区清理工作已经完成，不涉及建筑拆迁和管线迁改工作，凡沿河两岸正常水位以下的灌木、乔木、茅草已经清除干净，目前水库区内没有发现大量的漂浮废物。清理产生的废物已外运至垃圾填埋场进行了填埋处置，并未对周边环境产生影响</w:t>
      </w:r>
      <w:r>
        <w:rPr>
          <w:rFonts w:hint="eastAsia" w:ascii="宋体" w:hAnsi="宋体" w:eastAsia="宋体" w:cs="宋体"/>
        </w:rPr>
        <w:t>。</w:t>
      </w:r>
      <w:bookmarkStart w:id="68" w:name="2.2.6水土流失"/>
      <w:bookmarkEnd w:id="68"/>
      <w:bookmarkStart w:id="69" w:name="2.2.6水土流失"/>
      <w:bookmarkEnd w:id="69"/>
    </w:p>
    <w:p>
      <w:pPr>
        <w:pStyle w:val="4"/>
        <w:keepNext w:val="0"/>
        <w:keepLines w:val="0"/>
        <w:pageBreakBefore w:val="0"/>
        <w:widowControl w:val="0"/>
        <w:kinsoku/>
        <w:wordWrap/>
        <w:overflowPunct/>
        <w:topLinePunct w:val="0"/>
        <w:autoSpaceDE w:val="0"/>
        <w:autoSpaceDN w:val="0"/>
        <w:bidi w:val="0"/>
        <w:adjustRightInd/>
        <w:snapToGrid/>
        <w:spacing w:line="360" w:lineRule="auto"/>
        <w:ind w:left="617" w:firstLine="0"/>
        <w:textAlignment w:val="auto"/>
      </w:pPr>
      <w:r>
        <w:rPr>
          <w:rFonts w:ascii="Arial" w:eastAsia="Arial"/>
        </w:rPr>
        <w:t>2.3</w:t>
      </w:r>
      <w:bookmarkStart w:id="70" w:name="2.3工程变更及调整"/>
      <w:bookmarkEnd w:id="70"/>
      <w:r>
        <w:rPr>
          <w:rFonts w:ascii="Arial" w:eastAsia="Arial"/>
          <w:spacing w:val="68"/>
        </w:rPr>
        <w:t xml:space="preserve"> </w:t>
      </w:r>
      <w:r>
        <w:rPr>
          <w:rFonts w:hint="eastAsia" w:ascii="宋体" w:hAnsi="宋体" w:eastAsia="宋体" w:cs="宋体"/>
        </w:rPr>
        <w:t>工程变更及调整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20" w:firstLineChars="200"/>
        <w:textAlignment w:val="auto"/>
        <w:rPr>
          <w:rFonts w:hint="eastAsia" w:ascii="宋体" w:hAnsi="宋体" w:eastAsia="宋体" w:cs="宋体"/>
        </w:rPr>
      </w:pPr>
      <w:r>
        <w:rPr>
          <w:rFonts w:hint="eastAsia" w:ascii="宋体" w:hAnsi="宋体" w:eastAsia="宋体" w:cs="宋体"/>
          <w:spacing w:val="-15"/>
        </w:rPr>
        <w:t xml:space="preserve">根据工程设计、环评报告、机组启动阶段验收鉴定书等资料，结合现场调查， </w:t>
      </w:r>
      <w:r>
        <w:rPr>
          <w:rFonts w:hint="eastAsia" w:ascii="宋体" w:hAnsi="宋体" w:eastAsia="宋体" w:cs="宋体"/>
        </w:rPr>
        <w:t>工程报批及竣工后的情况比较见表 2-</w:t>
      </w:r>
      <w:r>
        <w:rPr>
          <w:rFonts w:hint="eastAsia" w:ascii="宋体" w:hAnsi="宋体" w:eastAsia="宋体" w:cs="宋体"/>
          <w:spacing w:val="-25"/>
        </w:rPr>
        <w:t xml:space="preserve"> </w:t>
      </w:r>
      <w:r>
        <w:rPr>
          <w:rFonts w:hint="eastAsia" w:ascii="宋体" w:hAnsi="宋体" w:eastAsia="宋体" w:cs="宋体"/>
          <w:spacing w:val="4"/>
        </w:rPr>
        <w:t>1</w:t>
      </w:r>
      <w:r>
        <w:rPr>
          <w:rFonts w:hint="eastAsia" w:ascii="宋体" w:hAnsi="宋体" w:eastAsia="宋体" w:cs="宋体"/>
        </w:rPr>
        <w:t>。</w:t>
      </w:r>
    </w:p>
    <w:p>
      <w:pPr>
        <w:keepNext w:val="0"/>
        <w:keepLines w:val="0"/>
        <w:pageBreakBefore w:val="0"/>
        <w:widowControl w:val="0"/>
        <w:kinsoku/>
        <w:wordWrap/>
        <w:overflowPunct/>
        <w:topLinePunct w:val="0"/>
        <w:autoSpaceDE w:val="0"/>
        <w:autoSpaceDN w:val="0"/>
        <w:bidi w:val="0"/>
        <w:adjustRightInd/>
        <w:snapToGrid/>
        <w:spacing w:after="0" w:line="360" w:lineRule="auto"/>
        <w:textAlignment w:val="auto"/>
        <w:sectPr>
          <w:pgSz w:w="11910" w:h="16840"/>
          <w:pgMar w:top="1380" w:right="1160" w:bottom="1180" w:left="1180" w:header="0" w:footer="991" w:gutter="0"/>
        </w:sectPr>
      </w:pPr>
    </w:p>
    <w:p>
      <w:pPr>
        <w:pStyle w:val="2"/>
        <w:spacing w:before="3"/>
        <w:rPr>
          <w:sz w:val="20"/>
        </w:rPr>
      </w:pPr>
    </w:p>
    <w:p>
      <w:pPr>
        <w:spacing w:before="77"/>
        <w:ind w:left="-24" w:right="0" w:firstLine="0"/>
        <w:jc w:val="center"/>
        <w:rPr>
          <w:b/>
          <w:sz w:val="20"/>
        </w:rPr>
      </w:pPr>
      <w:r>
        <w:rPr>
          <w:b/>
          <w:sz w:val="20"/>
        </w:rPr>
        <w:t xml:space="preserve">表 </w:t>
      </w:r>
      <w:r>
        <w:rPr>
          <w:rFonts w:ascii="Times New Roman" w:eastAsia="Times New Roman"/>
          <w:b/>
          <w:sz w:val="20"/>
        </w:rPr>
        <w:t xml:space="preserve">2- 1 </w:t>
      </w:r>
      <w:r>
        <w:rPr>
          <w:b/>
          <w:sz w:val="20"/>
        </w:rPr>
        <w:t>工程建设、运行变更情况一览表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4965"/>
        <w:gridCol w:w="5100"/>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序号</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工程内容</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r>
              <w:rPr>
                <w:rFonts w:hint="eastAsia" w:ascii="宋体" w:hAnsi="宋体" w:eastAsia="宋体" w:cs="宋体"/>
                <w:sz w:val="21"/>
                <w:szCs w:val="21"/>
                <w:vertAlign w:val="baseline"/>
              </w:rPr>
              <w:t>）</w:t>
            </w:r>
          </w:p>
        </w:tc>
        <w:tc>
          <w:tcPr>
            <w:tcW w:w="5100"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实际建设情况</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rPr>
              <w:t>变更情况</w:t>
            </w:r>
          </w:p>
        </w:tc>
        <w:tc>
          <w:tcPr>
            <w:tcW w:w="1329"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工程规模</w:t>
            </w:r>
          </w:p>
        </w:tc>
        <w:tc>
          <w:tcPr>
            <w:tcW w:w="4965" w:type="dxa"/>
            <w:vAlign w:val="center"/>
          </w:tcPr>
          <w:p>
            <w:pPr>
              <w:keepNext w:val="0"/>
              <w:keepLines w:val="0"/>
              <w:pageBreakBefore w:val="0"/>
              <w:widowControl w:val="0"/>
              <w:kinsoku/>
              <w:wordWrap/>
              <w:overflowPunct/>
              <w:topLinePunct w:val="0"/>
              <w:autoSpaceDE w:val="0"/>
              <w:autoSpaceDN w:val="0"/>
              <w:bidi w:val="0"/>
              <w:adjustRightInd/>
              <w:snapToGrid/>
              <w:spacing w:before="0" w:line="240" w:lineRule="atLeast"/>
              <w:ind w:left="0" w:right="0" w:firstLine="0"/>
              <w:jc w:val="left"/>
              <w:textAlignment w:val="auto"/>
              <w:rPr>
                <w:rFonts w:hint="eastAsia" w:ascii="宋体" w:hAnsi="宋体" w:eastAsia="宋体" w:cs="宋体"/>
                <w:sz w:val="21"/>
                <w:szCs w:val="21"/>
                <w:vertAlign w:val="baseline"/>
              </w:rPr>
            </w:pPr>
            <w:r>
              <w:rPr>
                <w:rFonts w:hint="eastAsia" w:ascii="宋体" w:hAnsi="宋体" w:eastAsia="宋体" w:cs="宋体"/>
                <w:sz w:val="21"/>
              </w:rPr>
              <w:t>龙家塘水电站坝址处多年平均流量为</w:t>
            </w:r>
            <w:r>
              <w:rPr>
                <w:rFonts w:hint="eastAsia" w:ascii="Times New Roman" w:hAnsi="Times New Roman" w:eastAsia="宋体" w:cs="Times New Roman"/>
                <w:spacing w:val="-10"/>
                <w:sz w:val="24"/>
                <w:szCs w:val="24"/>
              </w:rPr>
              <w:t>0.23m</w:t>
            </w:r>
            <w:r>
              <w:rPr>
                <w:rFonts w:hint="eastAsia" w:ascii="Times New Roman" w:hAnsi="Times New Roman" w:eastAsia="宋体" w:cs="Times New Roman"/>
                <w:spacing w:val="-10"/>
                <w:sz w:val="24"/>
                <w:szCs w:val="24"/>
                <w:vertAlign w:val="superscript"/>
              </w:rPr>
              <w:t>3</w:t>
            </w:r>
            <w:r>
              <w:rPr>
                <w:rFonts w:hint="eastAsia" w:ascii="Times New Roman" w:hAnsi="Times New Roman" w:eastAsia="宋体" w:cs="Times New Roman"/>
                <w:spacing w:val="-10"/>
                <w:sz w:val="24"/>
                <w:szCs w:val="24"/>
              </w:rPr>
              <w:t>/s</w:t>
            </w:r>
            <w:r>
              <w:rPr>
                <w:rFonts w:hint="eastAsia" w:ascii="宋体" w:hAnsi="宋体" w:eastAsia="宋体" w:cs="宋体"/>
                <w:sz w:val="21"/>
              </w:rPr>
              <w:t>，坝址以上集雨面积</w:t>
            </w:r>
            <w:r>
              <w:rPr>
                <w:rFonts w:hint="eastAsia" w:ascii="Times New Roman" w:hAnsi="Times New Roman" w:eastAsia="宋体" w:cs="Times New Roman"/>
                <w:spacing w:val="-10"/>
                <w:sz w:val="24"/>
                <w:szCs w:val="24"/>
              </w:rPr>
              <w:t>7km</w:t>
            </w:r>
            <w:r>
              <w:rPr>
                <w:rFonts w:hint="eastAsia" w:ascii="Times New Roman" w:hAnsi="Times New Roman" w:eastAsia="宋体" w:cs="Times New Roman"/>
                <w:spacing w:val="-10"/>
                <w:sz w:val="24"/>
                <w:szCs w:val="24"/>
                <w:vertAlign w:val="superscript"/>
              </w:rPr>
              <w:t>2</w:t>
            </w:r>
            <w:r>
              <w:rPr>
                <w:rFonts w:hint="eastAsia" w:ascii="宋体" w:hAnsi="宋体" w:eastAsia="宋体" w:cs="宋体"/>
                <w:sz w:val="21"/>
              </w:rPr>
              <w:t>多年平均年径流量为</w:t>
            </w:r>
            <w:r>
              <w:rPr>
                <w:rFonts w:hint="eastAsia" w:ascii="Times New Roman" w:hAnsi="Times New Roman" w:eastAsia="宋体" w:cs="Times New Roman"/>
                <w:spacing w:val="-10"/>
                <w:sz w:val="24"/>
                <w:szCs w:val="24"/>
              </w:rPr>
              <w:t>719</w:t>
            </w:r>
            <w:r>
              <w:rPr>
                <w:rFonts w:hint="eastAsia" w:ascii="宋体" w:hAnsi="宋体" w:eastAsia="宋体" w:cs="宋体"/>
                <w:sz w:val="21"/>
              </w:rPr>
              <w:t>万</w:t>
            </w:r>
            <w:r>
              <w:rPr>
                <w:rFonts w:hint="eastAsia" w:ascii="Times New Roman" w:hAnsi="Times New Roman" w:eastAsia="宋体" w:cs="Times New Roman"/>
                <w:spacing w:val="-10"/>
                <w:sz w:val="24"/>
                <w:szCs w:val="24"/>
              </w:rPr>
              <w:t>m</w:t>
            </w:r>
            <w:r>
              <w:rPr>
                <w:rFonts w:hint="eastAsia" w:ascii="Times New Roman" w:hAnsi="Times New Roman" w:eastAsia="宋体" w:cs="Times New Roman"/>
                <w:spacing w:val="-10"/>
                <w:sz w:val="24"/>
                <w:szCs w:val="24"/>
                <w:vertAlign w:val="superscript"/>
              </w:rPr>
              <w:t>3</w:t>
            </w:r>
            <w:r>
              <w:rPr>
                <w:rFonts w:hint="eastAsia" w:ascii="宋体" w:hAnsi="宋体" w:eastAsia="宋体" w:cs="宋体"/>
                <w:sz w:val="21"/>
              </w:rPr>
              <w:t>。设计水头</w:t>
            </w:r>
            <w:r>
              <w:rPr>
                <w:rFonts w:hint="eastAsia" w:ascii="Times New Roman" w:hAnsi="Times New Roman" w:eastAsia="宋体" w:cs="Times New Roman"/>
                <w:spacing w:val="-10"/>
                <w:sz w:val="24"/>
                <w:szCs w:val="24"/>
              </w:rPr>
              <w:t>230m</w:t>
            </w:r>
            <w:r>
              <w:rPr>
                <w:rFonts w:hint="eastAsia" w:ascii="宋体" w:hAnsi="宋体" w:eastAsia="宋体" w:cs="宋体"/>
                <w:sz w:val="21"/>
              </w:rPr>
              <w:t>，电站装机容量</w:t>
            </w:r>
            <w:r>
              <w:rPr>
                <w:rFonts w:hint="eastAsia" w:ascii="Times New Roman" w:hAnsi="Times New Roman" w:eastAsia="宋体" w:cs="Times New Roman"/>
                <w:spacing w:val="-10"/>
                <w:sz w:val="24"/>
                <w:szCs w:val="24"/>
              </w:rPr>
              <w:t>1000kW（2×500）</w:t>
            </w:r>
            <w:r>
              <w:rPr>
                <w:rFonts w:hint="eastAsia" w:ascii="宋体" w:hAnsi="宋体" w:eastAsia="宋体" w:cs="宋体"/>
                <w:sz w:val="21"/>
              </w:rPr>
              <w:t>，装机年利用小时数</w:t>
            </w:r>
            <w:r>
              <w:rPr>
                <w:rFonts w:hint="eastAsia" w:ascii="Times New Roman" w:hAnsi="Times New Roman" w:eastAsia="宋体" w:cs="Times New Roman"/>
                <w:spacing w:val="-10"/>
                <w:sz w:val="24"/>
                <w:szCs w:val="24"/>
              </w:rPr>
              <w:t>2600h</w:t>
            </w:r>
            <w:r>
              <w:rPr>
                <w:rFonts w:hint="eastAsia" w:ascii="宋体" w:hAnsi="宋体" w:eastAsia="宋体" w:cs="宋体"/>
                <w:sz w:val="21"/>
              </w:rPr>
              <w:t>，多年平均发电量</w:t>
            </w:r>
            <w:r>
              <w:rPr>
                <w:rFonts w:hint="eastAsia" w:ascii="Times New Roman" w:hAnsi="Times New Roman" w:eastAsia="宋体" w:cs="Times New Roman"/>
                <w:spacing w:val="-10"/>
                <w:sz w:val="24"/>
                <w:szCs w:val="24"/>
              </w:rPr>
              <w:t>240</w:t>
            </w:r>
            <w:r>
              <w:rPr>
                <w:rFonts w:hint="eastAsia" w:ascii="宋体" w:hAnsi="宋体" w:eastAsia="宋体" w:cs="宋体"/>
                <w:sz w:val="21"/>
              </w:rPr>
              <w:t>万</w:t>
            </w:r>
            <w:r>
              <w:rPr>
                <w:rFonts w:hint="eastAsia" w:ascii="Times New Roman" w:hAnsi="Times New Roman" w:eastAsia="宋体" w:cs="Times New Roman"/>
                <w:spacing w:val="-10"/>
                <w:sz w:val="24"/>
                <w:szCs w:val="24"/>
              </w:rPr>
              <w:t>kW·h</w:t>
            </w:r>
            <w:r>
              <w:rPr>
                <w:rFonts w:hint="eastAsia" w:ascii="宋体" w:hAnsi="宋体" w:eastAsia="宋体" w:cs="宋体"/>
                <w:sz w:val="21"/>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z w:val="21"/>
              </w:rPr>
              <w:t>)型水电站。</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rPr>
              <w:t>龙家塘水电站坝址处多年平均流量为</w:t>
            </w:r>
            <w:r>
              <w:rPr>
                <w:rFonts w:hint="eastAsia" w:ascii="Times New Roman" w:hAnsi="Times New Roman" w:eastAsia="宋体" w:cs="Times New Roman"/>
                <w:spacing w:val="-10"/>
                <w:sz w:val="24"/>
                <w:szCs w:val="24"/>
              </w:rPr>
              <w:t>0.23m</w:t>
            </w:r>
            <w:r>
              <w:rPr>
                <w:rFonts w:hint="eastAsia" w:ascii="Times New Roman" w:hAnsi="Times New Roman" w:eastAsia="宋体" w:cs="Times New Roman"/>
                <w:spacing w:val="-10"/>
                <w:sz w:val="24"/>
                <w:szCs w:val="24"/>
                <w:vertAlign w:val="superscript"/>
              </w:rPr>
              <w:t>3</w:t>
            </w:r>
            <w:r>
              <w:rPr>
                <w:rFonts w:hint="eastAsia" w:ascii="Times New Roman" w:hAnsi="Times New Roman" w:eastAsia="宋体" w:cs="Times New Roman"/>
                <w:spacing w:val="-10"/>
                <w:sz w:val="24"/>
                <w:szCs w:val="24"/>
              </w:rPr>
              <w:t>/s</w:t>
            </w:r>
            <w:r>
              <w:rPr>
                <w:rFonts w:hint="eastAsia" w:ascii="宋体" w:hAnsi="宋体" w:eastAsia="宋体" w:cs="宋体"/>
                <w:sz w:val="21"/>
              </w:rPr>
              <w:t>，坝址以上集雨面积</w:t>
            </w:r>
            <w:r>
              <w:rPr>
                <w:rFonts w:hint="eastAsia" w:ascii="Times New Roman" w:hAnsi="Times New Roman" w:eastAsia="宋体" w:cs="Times New Roman"/>
                <w:spacing w:val="-10"/>
                <w:sz w:val="24"/>
                <w:szCs w:val="24"/>
              </w:rPr>
              <w:t>7km</w:t>
            </w:r>
            <w:r>
              <w:rPr>
                <w:rFonts w:hint="eastAsia" w:ascii="Times New Roman" w:hAnsi="Times New Roman" w:eastAsia="宋体" w:cs="Times New Roman"/>
                <w:spacing w:val="-10"/>
                <w:sz w:val="24"/>
                <w:szCs w:val="24"/>
                <w:vertAlign w:val="superscript"/>
              </w:rPr>
              <w:t>2</w:t>
            </w:r>
            <w:r>
              <w:rPr>
                <w:rFonts w:hint="eastAsia" w:ascii="宋体" w:hAnsi="宋体" w:eastAsia="宋体" w:cs="宋体"/>
                <w:sz w:val="21"/>
              </w:rPr>
              <w:t>多年平均年径流量为</w:t>
            </w:r>
            <w:r>
              <w:rPr>
                <w:rFonts w:hint="eastAsia" w:ascii="Times New Roman" w:hAnsi="Times New Roman" w:eastAsia="宋体" w:cs="Times New Roman"/>
                <w:spacing w:val="-10"/>
                <w:sz w:val="24"/>
                <w:szCs w:val="24"/>
              </w:rPr>
              <w:t>719</w:t>
            </w:r>
            <w:r>
              <w:rPr>
                <w:rFonts w:hint="eastAsia" w:ascii="宋体" w:hAnsi="宋体" w:eastAsia="宋体" w:cs="宋体"/>
                <w:sz w:val="21"/>
              </w:rPr>
              <w:t>万</w:t>
            </w:r>
            <w:r>
              <w:rPr>
                <w:rFonts w:hint="eastAsia" w:ascii="Times New Roman" w:hAnsi="Times New Roman" w:eastAsia="宋体" w:cs="Times New Roman"/>
                <w:spacing w:val="-10"/>
                <w:sz w:val="24"/>
                <w:szCs w:val="24"/>
              </w:rPr>
              <w:t>m</w:t>
            </w:r>
            <w:r>
              <w:rPr>
                <w:rFonts w:hint="eastAsia" w:ascii="Times New Roman" w:hAnsi="Times New Roman" w:eastAsia="宋体" w:cs="Times New Roman"/>
                <w:spacing w:val="-10"/>
                <w:sz w:val="24"/>
                <w:szCs w:val="24"/>
                <w:vertAlign w:val="superscript"/>
              </w:rPr>
              <w:t>3</w:t>
            </w:r>
            <w:r>
              <w:rPr>
                <w:rFonts w:hint="eastAsia" w:ascii="宋体" w:hAnsi="宋体" w:eastAsia="宋体" w:cs="宋体"/>
                <w:sz w:val="21"/>
              </w:rPr>
              <w:t>。设计水头</w:t>
            </w:r>
            <w:r>
              <w:rPr>
                <w:rFonts w:hint="eastAsia" w:ascii="Times New Roman" w:hAnsi="Times New Roman" w:eastAsia="宋体" w:cs="Times New Roman"/>
                <w:spacing w:val="-10"/>
                <w:sz w:val="24"/>
                <w:szCs w:val="24"/>
              </w:rPr>
              <w:t>230m</w:t>
            </w:r>
            <w:r>
              <w:rPr>
                <w:rFonts w:hint="eastAsia" w:ascii="宋体" w:hAnsi="宋体" w:eastAsia="宋体" w:cs="宋体"/>
                <w:sz w:val="21"/>
              </w:rPr>
              <w:t>，电站装机容量</w:t>
            </w:r>
            <w:r>
              <w:rPr>
                <w:rFonts w:hint="eastAsia" w:ascii="Times New Roman" w:hAnsi="Times New Roman" w:eastAsia="宋体" w:cs="Times New Roman"/>
                <w:spacing w:val="-10"/>
                <w:sz w:val="24"/>
                <w:szCs w:val="24"/>
              </w:rPr>
              <w:t>1000kW（2×500）</w:t>
            </w:r>
            <w:r>
              <w:rPr>
                <w:rFonts w:hint="eastAsia" w:ascii="宋体" w:hAnsi="宋体" w:eastAsia="宋体" w:cs="宋体"/>
                <w:sz w:val="21"/>
              </w:rPr>
              <w:t>，装机年利用小时数</w:t>
            </w:r>
            <w:r>
              <w:rPr>
                <w:rFonts w:hint="eastAsia" w:ascii="Times New Roman" w:hAnsi="Times New Roman" w:eastAsia="宋体" w:cs="Times New Roman"/>
                <w:spacing w:val="-10"/>
                <w:sz w:val="24"/>
                <w:szCs w:val="24"/>
              </w:rPr>
              <w:t>2600h</w:t>
            </w:r>
            <w:r>
              <w:rPr>
                <w:rFonts w:hint="eastAsia" w:ascii="宋体" w:hAnsi="宋体" w:eastAsia="宋体" w:cs="宋体"/>
                <w:sz w:val="21"/>
              </w:rPr>
              <w:t>，多年平均发电量</w:t>
            </w:r>
            <w:r>
              <w:rPr>
                <w:rFonts w:hint="eastAsia" w:ascii="Times New Roman" w:hAnsi="Times New Roman" w:eastAsia="宋体" w:cs="Times New Roman"/>
                <w:spacing w:val="-10"/>
                <w:sz w:val="24"/>
                <w:szCs w:val="24"/>
              </w:rPr>
              <w:t>240</w:t>
            </w:r>
            <w:r>
              <w:rPr>
                <w:rFonts w:hint="eastAsia" w:ascii="宋体" w:hAnsi="宋体" w:eastAsia="宋体" w:cs="宋体"/>
                <w:sz w:val="21"/>
              </w:rPr>
              <w:t>万</w:t>
            </w:r>
            <w:r>
              <w:rPr>
                <w:rFonts w:hint="eastAsia" w:ascii="Times New Roman" w:hAnsi="Times New Roman" w:eastAsia="宋体" w:cs="Times New Roman"/>
                <w:spacing w:val="-10"/>
                <w:sz w:val="24"/>
                <w:szCs w:val="24"/>
              </w:rPr>
              <w:t>kW·h</w:t>
            </w:r>
            <w:r>
              <w:rPr>
                <w:rFonts w:hint="eastAsia" w:ascii="宋体" w:hAnsi="宋体" w:eastAsia="宋体" w:cs="宋体"/>
                <w:sz w:val="21"/>
              </w:rPr>
              <w:t>，是一座引水式无调节性能以发电为主的小(</w:t>
            </w:r>
            <w:r>
              <w:rPr>
                <w:rFonts w:hint="eastAsia" w:ascii="Times New Roman" w:hAnsi="Times New Roman" w:eastAsia="宋体" w:cs="Times New Roman"/>
                <w:spacing w:val="-10"/>
                <w:sz w:val="24"/>
                <w:szCs w:val="24"/>
              </w:rPr>
              <w:t>2</w:t>
            </w:r>
            <w:r>
              <w:rPr>
                <w:rFonts w:hint="eastAsia" w:ascii="宋体" w:hAnsi="宋体" w:eastAsia="宋体" w:cs="宋体"/>
                <w:sz w:val="21"/>
              </w:rPr>
              <w:t>)型水电站。</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总投资</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电站总投资</w:t>
            </w:r>
            <w:r>
              <w:rPr>
                <w:rFonts w:hint="eastAsia" w:ascii="宋体" w:hAnsi="宋体" w:eastAsia="宋体" w:cs="宋体"/>
                <w:sz w:val="21"/>
                <w:szCs w:val="21"/>
                <w:vertAlign w:val="baseline"/>
                <w:lang w:val="en-US" w:eastAsia="zh-CN"/>
              </w:rPr>
              <w:t>280</w:t>
            </w:r>
            <w:r>
              <w:rPr>
                <w:rFonts w:hint="eastAsia" w:ascii="宋体" w:hAnsi="宋体" w:eastAsia="宋体" w:cs="宋体"/>
                <w:sz w:val="21"/>
                <w:szCs w:val="21"/>
                <w:vertAlign w:val="baseline"/>
              </w:rPr>
              <w:t>万元。</w:t>
            </w:r>
          </w:p>
        </w:tc>
        <w:tc>
          <w:tcPr>
            <w:tcW w:w="5100"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总投资</w:t>
            </w:r>
            <w:r>
              <w:rPr>
                <w:rFonts w:hint="eastAsia" w:ascii="宋体" w:hAnsi="宋体" w:eastAsia="宋体" w:cs="宋体"/>
                <w:sz w:val="21"/>
                <w:szCs w:val="21"/>
                <w:vertAlign w:val="baseline"/>
                <w:lang w:val="en-US" w:eastAsia="zh-CN"/>
              </w:rPr>
              <w:t>280</w:t>
            </w:r>
            <w:r>
              <w:rPr>
                <w:rFonts w:hint="eastAsia" w:ascii="宋体" w:hAnsi="宋体" w:eastAsia="宋体" w:cs="宋体"/>
                <w:sz w:val="21"/>
                <w:szCs w:val="21"/>
                <w:vertAlign w:val="baseline"/>
              </w:rPr>
              <w:t>万元。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7"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拦河坝</w:t>
            </w:r>
          </w:p>
        </w:tc>
        <w:tc>
          <w:tcPr>
            <w:tcW w:w="4965"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14m，拦水坝布有冲砂阀及坝上有隧洞进水口，坝顶高程为645.2m，坝顶宽2.5m，最大坝高3.0m，坝底宽4.28m；下游侧坡比为1:0.8。坝体内部为M7.5浆砌石，外包厚0.2m的C20砼。采用面流消能，堰面为圆弧曲线，大坝设有冲砂阀，为平板钢闸门，选用1台螺杆启闭机。</w:t>
            </w:r>
          </w:p>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645.2m，设计闸顶高程与坝顶高程一致，泄洪时候冲沙闸顶可过流。为减少泥沙进入引水渠，设计冲沙闸底槛高程比进水闸底槛高程低1m，现状进水闸闸底高程为410.52m，设计冲沙闸地槛高程为409.52m。</w:t>
            </w:r>
          </w:p>
        </w:tc>
        <w:tc>
          <w:tcPr>
            <w:tcW w:w="5100" w:type="dxa"/>
            <w:vAlign w:val="center"/>
          </w:tcPr>
          <w:p>
            <w:pPr>
              <w:keepNext w:val="0"/>
              <w:keepLines w:val="0"/>
              <w:pageBreakBefore w:val="0"/>
              <w:widowControl w:val="0"/>
              <w:kinsoku/>
              <w:wordWrap/>
              <w:overflowPunct/>
              <w:topLinePunct w:val="0"/>
              <w:autoSpaceDE w:val="0"/>
              <w:autoSpaceDN w:val="0"/>
              <w:bidi w:val="0"/>
              <w:adjustRightInd/>
              <w:snapToGrid/>
              <w:ind w:firstLine="420" w:firstLineChars="200"/>
              <w:jc w:val="left"/>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rPr>
              <w:t>拦河陂坝由溢流坝段组成。溢流坝段为重力式，长14m，拦水坝布有冲砂阀及坝上有隧洞进水口，坝顶高程为645.2m，坝顶宽2.5m，最大坝高3.0m，坝底宽4.28m；下游侧坡比为1:0.8。坝体内部为M7.5浆砌石，外包厚0.2m的C20砼。采用面流消能，堰面为圆弧曲线，大坝设有冲砂阀，为平板钢闸门，选用1台螺杆启闭机。</w:t>
            </w:r>
          </w:p>
          <w:p>
            <w:pPr>
              <w:ind w:firstLine="420" w:firstLineChars="200"/>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冲沙闸布置于紧靠进水闸一侧的河道上，其轴线与进水闸的轴线成斜交，与拦河坝并排横跨河道布置。现状溢流坝坝顶高程为645.2m，设计闸顶高程与坝顶高程一致，泄洪时候冲沙闸顶可过流。为减少泥沙进入引水渠，设计冲沙闸底槛高程比进水闸底槛高程低1m，现状进水闸闸底高程为410.52m，设计冲沙闸地槛高程为409.52m。</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1"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引水系统</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引水明渠全长约</w:t>
            </w:r>
            <w:r>
              <w:rPr>
                <w:rFonts w:hint="default"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w:t>
            </w:r>
            <w:r>
              <w:rPr>
                <w:rFonts w:hint="eastAsia" w:ascii="Times New Roman" w:hAnsi="Times New Roman" w:eastAsia="宋体" w:cs="Times New Roman"/>
                <w:sz w:val="21"/>
                <w:szCs w:val="21"/>
                <w:vertAlign w:val="baseline"/>
              </w:rPr>
              <w:t>C15</w:t>
            </w:r>
            <w:r>
              <w:rPr>
                <w:rFonts w:hint="eastAsia" w:ascii="宋体" w:hAnsi="宋体" w:eastAsia="宋体" w:cs="宋体"/>
                <w:sz w:val="21"/>
                <w:szCs w:val="21"/>
                <w:vertAlign w:val="baseline"/>
              </w:rPr>
              <w:t>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引水明渠全长约</w:t>
            </w:r>
            <w:r>
              <w:rPr>
                <w:rFonts w:hint="default" w:ascii="Times New Roman" w:hAnsi="Times New Roman" w:eastAsia="宋体" w:cs="Times New Roman"/>
                <w:sz w:val="21"/>
                <w:szCs w:val="21"/>
                <w:vertAlign w:val="baseline"/>
              </w:rPr>
              <w:t>2000m</w:t>
            </w:r>
            <w:r>
              <w:rPr>
                <w:rFonts w:hint="eastAsia" w:ascii="宋体" w:hAnsi="宋体" w:eastAsia="宋体" w:cs="宋体"/>
                <w:sz w:val="21"/>
                <w:szCs w:val="21"/>
                <w:vertAlign w:val="baseline"/>
              </w:rPr>
              <w:t>，渠道采用梯形断面，底宽为</w:t>
            </w:r>
            <w:r>
              <w:rPr>
                <w:rFonts w:hint="eastAsia" w:ascii="Times New Roman" w:hAnsi="Times New Roman" w:eastAsia="宋体" w:cs="Times New Roman"/>
                <w:sz w:val="21"/>
                <w:szCs w:val="21"/>
                <w:vertAlign w:val="baseline"/>
              </w:rPr>
              <w:t>1m</w:t>
            </w:r>
            <w:r>
              <w:rPr>
                <w:rFonts w:hint="eastAsia" w:ascii="宋体" w:hAnsi="宋体" w:eastAsia="宋体" w:cs="宋体"/>
                <w:sz w:val="21"/>
                <w:szCs w:val="21"/>
                <w:vertAlign w:val="baseline"/>
              </w:rPr>
              <w:t>，边坡为</w:t>
            </w:r>
            <w:r>
              <w:rPr>
                <w:rFonts w:hint="eastAsia" w:ascii="Times New Roman" w:hAnsi="Times New Roman" w:eastAsia="宋体" w:cs="Times New Roman"/>
                <w:sz w:val="21"/>
                <w:szCs w:val="21"/>
                <w:vertAlign w:val="baseline"/>
              </w:rPr>
              <w:t>1:1.0</w:t>
            </w:r>
            <w:r>
              <w:rPr>
                <w:rFonts w:hint="eastAsia" w:ascii="宋体" w:hAnsi="宋体" w:eastAsia="宋体" w:cs="宋体"/>
                <w:sz w:val="21"/>
                <w:szCs w:val="21"/>
                <w:vertAlign w:val="baseline"/>
              </w:rPr>
              <w:t>，渠道采用</w:t>
            </w:r>
            <w:r>
              <w:rPr>
                <w:rFonts w:hint="eastAsia" w:ascii="Times New Roman" w:hAnsi="Times New Roman" w:eastAsia="宋体" w:cs="Times New Roman"/>
                <w:sz w:val="21"/>
                <w:szCs w:val="21"/>
                <w:vertAlign w:val="baseline"/>
              </w:rPr>
              <w:t>C15</w:t>
            </w:r>
            <w:r>
              <w:rPr>
                <w:rFonts w:hint="eastAsia" w:ascii="宋体" w:hAnsi="宋体" w:eastAsia="宋体" w:cs="宋体"/>
                <w:sz w:val="21"/>
                <w:szCs w:val="21"/>
                <w:vertAlign w:val="baseline"/>
              </w:rPr>
              <w:t>砼衬砌，每隔</w:t>
            </w:r>
            <w:r>
              <w:rPr>
                <w:rFonts w:hint="eastAsia" w:ascii="Times New Roman" w:hAnsi="Times New Roman" w:eastAsia="宋体" w:cs="Times New Roman"/>
                <w:sz w:val="21"/>
                <w:szCs w:val="21"/>
                <w:vertAlign w:val="baseline"/>
              </w:rPr>
              <w:t>10m</w:t>
            </w:r>
            <w:r>
              <w:rPr>
                <w:rFonts w:hint="eastAsia" w:ascii="宋体" w:hAnsi="宋体" w:eastAsia="宋体" w:cs="宋体"/>
                <w:sz w:val="21"/>
                <w:szCs w:val="21"/>
                <w:vertAlign w:val="baseline"/>
              </w:rPr>
              <w:t>设置沥青沙板伸缩缝。进水口底板高程</w:t>
            </w:r>
            <w:r>
              <w:rPr>
                <w:rFonts w:hint="eastAsia" w:ascii="Times New Roman" w:hAnsi="Times New Roman" w:eastAsia="宋体" w:cs="Times New Roman"/>
                <w:sz w:val="21"/>
                <w:szCs w:val="21"/>
                <w:vertAlign w:val="baseline"/>
              </w:rPr>
              <w:t>410.52m</w:t>
            </w:r>
            <w:r>
              <w:rPr>
                <w:rFonts w:hint="eastAsia" w:ascii="宋体" w:hAnsi="宋体" w:eastAsia="宋体" w:cs="宋体"/>
                <w:sz w:val="21"/>
                <w:szCs w:val="21"/>
                <w:vertAlign w:val="baseline"/>
              </w:rPr>
              <w:t>，拦污栅倾角</w:t>
            </w:r>
            <w:r>
              <w:rPr>
                <w:rFonts w:hint="eastAsia" w:ascii="Times New Roman" w:hAnsi="Times New Roman" w:eastAsia="宋体" w:cs="Times New Roman"/>
                <w:sz w:val="21"/>
                <w:szCs w:val="21"/>
                <w:vertAlign w:val="baseline"/>
              </w:rPr>
              <w:t>60°</w:t>
            </w:r>
            <w:r>
              <w:rPr>
                <w:rFonts w:hint="eastAsia" w:ascii="宋体" w:hAnsi="宋体" w:eastAsia="宋体" w:cs="宋体"/>
                <w:sz w:val="21"/>
                <w:szCs w:val="21"/>
                <w:vertAlign w:val="baseline"/>
              </w:rPr>
              <w:t>，末端底高程</w:t>
            </w:r>
            <w:r>
              <w:rPr>
                <w:rFonts w:hint="eastAsia" w:ascii="Times New Roman" w:hAnsi="Times New Roman" w:eastAsia="宋体" w:cs="Times New Roman"/>
                <w:sz w:val="21"/>
                <w:szCs w:val="21"/>
                <w:vertAlign w:val="baseline"/>
              </w:rPr>
              <w:t>409.52m</w:t>
            </w:r>
            <w:r>
              <w:rPr>
                <w:rFonts w:hint="eastAsia" w:ascii="宋体" w:hAnsi="宋体" w:eastAsia="宋体" w:cs="宋体"/>
                <w:sz w:val="21"/>
                <w:szCs w:val="21"/>
                <w:vertAlign w:val="baseline"/>
              </w:rPr>
              <w:t>，设有工作闸门</w:t>
            </w:r>
            <w:r>
              <w:rPr>
                <w:rFonts w:hint="eastAsia" w:ascii="Times New Roman" w:hAnsi="Times New Roman" w:eastAsia="宋体" w:cs="Times New Roman"/>
                <w:sz w:val="21"/>
                <w:szCs w:val="21"/>
                <w:vertAlign w:val="baseline"/>
              </w:rPr>
              <w:t>1</w:t>
            </w:r>
            <w:r>
              <w:rPr>
                <w:rFonts w:hint="eastAsia" w:ascii="宋体" w:hAnsi="宋体" w:eastAsia="宋体" w:cs="宋体"/>
                <w:sz w:val="21"/>
                <w:szCs w:val="21"/>
                <w:vertAlign w:val="baseline"/>
              </w:rPr>
              <w:t>道。</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
      <w:pPr>
        <w:pStyle w:val="7"/>
      </w:pP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710"/>
        <w:gridCol w:w="4965"/>
        <w:gridCol w:w="5100"/>
        <w:gridCol w:w="1425"/>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ind w:left="0" w:leftChars="0" w:right="0" w:rightChars="0"/>
              <w:jc w:val="center"/>
              <w:rPr>
                <w:rFonts w:hint="eastAsia" w:ascii="宋体" w:hAnsi="宋体" w:eastAsia="宋体" w:cs="宋体"/>
                <w:sz w:val="21"/>
                <w:szCs w:val="21"/>
                <w:vertAlign w:val="baseline"/>
                <w:lang w:val="en-US" w:eastAsia="zh-CN" w:bidi="zh-CN"/>
              </w:rPr>
            </w:pPr>
            <w:r>
              <w:rPr>
                <w:rFonts w:hint="eastAsia" w:ascii="宋体" w:hAnsi="宋体" w:eastAsia="宋体" w:cs="宋体"/>
                <w:sz w:val="21"/>
                <w:szCs w:val="21"/>
                <w:vertAlign w:val="baseline"/>
                <w:lang w:eastAsia="zh-CN"/>
              </w:rPr>
              <w:t>序号</w:t>
            </w:r>
          </w:p>
        </w:tc>
        <w:tc>
          <w:tcPr>
            <w:tcW w:w="71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lang w:eastAsia="zh-CN"/>
              </w:rPr>
              <w:t>工程内容</w:t>
            </w:r>
          </w:p>
        </w:tc>
        <w:tc>
          <w:tcPr>
            <w:tcW w:w="496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rPr>
              <w:t>新建项目环评报告及批复要求建设情况</w:t>
            </w:r>
          </w:p>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w:t>
            </w:r>
            <w:r>
              <w:rPr>
                <w:rFonts w:hint="eastAsia" w:ascii="宋体" w:hAnsi="宋体" w:eastAsia="宋体" w:cs="宋体"/>
                <w:sz w:val="24"/>
                <w:szCs w:val="24"/>
                <w:lang w:eastAsia="zh-CN"/>
              </w:rPr>
              <w:t>吉市环评</w:t>
            </w:r>
            <w:r>
              <w:rPr>
                <w:rFonts w:hint="eastAsia" w:ascii="宋体" w:hAnsi="宋体" w:eastAsia="宋体" w:cs="宋体"/>
                <w:sz w:val="24"/>
                <w:szCs w:val="24"/>
              </w:rPr>
              <w:t>字</w:t>
            </w:r>
            <w:r>
              <w:rPr>
                <w:rFonts w:hint="eastAsia" w:ascii="Times New Roman" w:hAnsi="Times New Roman" w:eastAsia="宋体" w:cs="Times New Roman"/>
                <w:spacing w:val="-10"/>
                <w:sz w:val="24"/>
                <w:szCs w:val="24"/>
              </w:rPr>
              <w:t>[20</w:t>
            </w:r>
            <w:r>
              <w:rPr>
                <w:rFonts w:hint="eastAsia" w:ascii="Times New Roman" w:hAnsi="Times New Roman" w:eastAsia="宋体" w:cs="Times New Roman"/>
                <w:spacing w:val="-10"/>
                <w:sz w:val="24"/>
                <w:szCs w:val="24"/>
                <w:lang w:val="en-US" w:eastAsia="zh-CN"/>
              </w:rPr>
              <w:t>20</w:t>
            </w:r>
            <w:r>
              <w:rPr>
                <w:rFonts w:hint="eastAsia" w:ascii="Times New Roman" w:hAnsi="Times New Roman" w:eastAsia="宋体" w:cs="Times New Roman"/>
                <w:spacing w:val="-10"/>
                <w:sz w:val="24"/>
                <w:szCs w:val="24"/>
              </w:rPr>
              <w:t>]</w:t>
            </w:r>
            <w:r>
              <w:rPr>
                <w:rFonts w:hint="eastAsia" w:ascii="Times New Roman" w:hAnsi="Times New Roman" w:eastAsia="宋体" w:cs="Times New Roman"/>
                <w:spacing w:val="-10"/>
                <w:sz w:val="24"/>
                <w:szCs w:val="24"/>
                <w:lang w:val="en-US" w:eastAsia="zh-CN"/>
              </w:rPr>
              <w:t>75</w:t>
            </w:r>
            <w:r>
              <w:rPr>
                <w:rFonts w:hint="eastAsia" w:ascii="宋体" w:hAnsi="宋体" w:eastAsia="宋体" w:cs="宋体"/>
                <w:sz w:val="24"/>
                <w:szCs w:val="24"/>
              </w:rPr>
              <w:t xml:space="preserve"> 号</w:t>
            </w:r>
            <w:r>
              <w:rPr>
                <w:rFonts w:hint="eastAsia" w:ascii="宋体" w:hAnsi="宋体" w:eastAsia="宋体" w:cs="宋体"/>
                <w:sz w:val="21"/>
                <w:szCs w:val="21"/>
                <w:vertAlign w:val="baseline"/>
              </w:rPr>
              <w:t>）</w:t>
            </w:r>
          </w:p>
        </w:tc>
        <w:tc>
          <w:tcPr>
            <w:tcW w:w="5100"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实际建设情况</w:t>
            </w:r>
          </w:p>
        </w:tc>
        <w:tc>
          <w:tcPr>
            <w:tcW w:w="1425"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rPr>
              <w:t>变更情况</w:t>
            </w:r>
          </w:p>
        </w:tc>
        <w:tc>
          <w:tcPr>
            <w:tcW w:w="1329" w:type="dxa"/>
            <w:vAlign w:val="center"/>
          </w:tcPr>
          <w:p>
            <w:pPr>
              <w:ind w:left="0" w:leftChars="0" w:right="0" w:rightChars="0"/>
              <w:jc w:val="center"/>
              <w:rPr>
                <w:rFonts w:hint="eastAsia" w:ascii="宋体" w:hAnsi="宋体" w:eastAsia="宋体" w:cs="宋体"/>
                <w:sz w:val="21"/>
                <w:szCs w:val="21"/>
                <w:vertAlign w:val="baseline"/>
                <w:lang w:val="zh-CN" w:eastAsia="zh-CN" w:bidi="zh-CN"/>
              </w:rPr>
            </w:pPr>
            <w:r>
              <w:rPr>
                <w:rFonts w:hint="eastAsia" w:ascii="宋体" w:hAnsi="宋体" w:eastAsia="宋体" w:cs="宋体"/>
                <w:sz w:val="21"/>
                <w:szCs w:val="21"/>
                <w:vertAlign w:val="baseli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8"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发电厂房</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eastAsia" w:ascii="Times New Roman" w:hAnsi="Times New Roman" w:eastAsia="宋体" w:cs="Times New Roman"/>
                <w:sz w:val="21"/>
                <w:szCs w:val="21"/>
                <w:vertAlign w:val="baseline"/>
              </w:rPr>
              <w:t>4.5km</w:t>
            </w:r>
            <w:r>
              <w:rPr>
                <w:rFonts w:hint="eastAsia" w:ascii="宋体" w:hAnsi="宋体" w:eastAsia="宋体" w:cs="宋体"/>
                <w:sz w:val="21"/>
                <w:szCs w:val="21"/>
                <w:vertAlign w:val="baseline"/>
              </w:rPr>
              <w:t>的台地上，为引水式地面厂房，面积</w:t>
            </w:r>
            <w:r>
              <w:rPr>
                <w:rFonts w:hint="eastAsia" w:ascii="Times New Roman" w:hAnsi="Times New Roman" w:eastAsia="宋体" w:cs="Times New Roman"/>
                <w:sz w:val="21"/>
                <w:szCs w:val="21"/>
                <w:vertAlign w:val="baseline"/>
              </w:rPr>
              <w:t>25.6×9.5m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，发电机层地面高程为</w:t>
            </w:r>
            <w:r>
              <w:rPr>
                <w:rFonts w:hint="eastAsia" w:ascii="Times New Roman" w:hAnsi="Times New Roman" w:eastAsia="宋体" w:cs="Times New Roman"/>
                <w:sz w:val="21"/>
                <w:szCs w:val="21"/>
                <w:vertAlign w:val="baseline"/>
              </w:rPr>
              <w:t>412m</w:t>
            </w:r>
            <w:r>
              <w:rPr>
                <w:rFonts w:hint="eastAsia" w:ascii="宋体" w:hAnsi="宋体" w:eastAsia="宋体" w:cs="宋体"/>
                <w:sz w:val="21"/>
                <w:szCs w:val="21"/>
                <w:vertAlign w:val="baseline"/>
              </w:rPr>
              <w:t>，安装2台发电机组（水轮机</w:t>
            </w:r>
            <w:r>
              <w:rPr>
                <w:rFonts w:hint="eastAsia" w:ascii="Times New Roman" w:hAnsi="Times New Roman" w:eastAsia="宋体" w:cs="Times New Roman"/>
                <w:sz w:val="21"/>
                <w:szCs w:val="21"/>
                <w:vertAlign w:val="baseline"/>
              </w:rPr>
              <w:t>QJ80/1*8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220m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SFW500 -8/990</w:t>
            </w:r>
            <w:r>
              <w:rPr>
                <w:rFonts w:hint="eastAsia" w:ascii="宋体" w:hAnsi="宋体" w:eastAsia="宋体" w:cs="宋体"/>
                <w:sz w:val="21"/>
                <w:szCs w:val="21"/>
                <w:vertAlign w:val="baseline"/>
              </w:rPr>
              <w:t>），总装机容量1000kW，机组安装高程为</w:t>
            </w:r>
            <w:r>
              <w:rPr>
                <w:rFonts w:hint="eastAsia" w:ascii="Times New Roman" w:hAnsi="Times New Roman" w:eastAsia="宋体" w:cs="Times New Roman"/>
                <w:sz w:val="21"/>
                <w:szCs w:val="21"/>
                <w:vertAlign w:val="baseline"/>
              </w:rPr>
              <w:t>412.1m</w:t>
            </w:r>
            <w:r>
              <w:rPr>
                <w:rFonts w:hint="eastAsia" w:ascii="宋体" w:hAnsi="宋体" w:eastAsia="宋体" w:cs="宋体"/>
                <w:sz w:val="21"/>
                <w:szCs w:val="21"/>
                <w:vertAlign w:val="baseline"/>
              </w:rPr>
              <w:t>。厂房流道出口下游侧设长200m的尾水渠与河道顺接。升压站布置在厂房一侧，面积</w:t>
            </w:r>
            <w:r>
              <w:rPr>
                <w:rFonts w:hint="eastAsia" w:ascii="Times New Roman" w:hAnsi="Times New Roman" w:eastAsia="宋体" w:cs="Times New Roman"/>
                <w:sz w:val="21"/>
                <w:szCs w:val="21"/>
                <w:vertAlign w:val="baseline"/>
              </w:rPr>
              <w:t>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，发电机组轴线垂直进水管中心线布置，主变布置在厂房上游墙外左岸山坡平台上，采用</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台变压器，升压至</w:t>
            </w:r>
            <w:r>
              <w:rPr>
                <w:rFonts w:hint="default" w:ascii="Times New Roman" w:hAnsi="Times New Roman" w:eastAsia="宋体" w:cs="Times New Roman"/>
                <w:sz w:val="21"/>
                <w:szCs w:val="21"/>
                <w:vertAlign w:val="baseline"/>
              </w:rPr>
              <w:t>10kv</w:t>
            </w:r>
            <w:r>
              <w:rPr>
                <w:rFonts w:hint="eastAsia" w:ascii="宋体" w:hAnsi="宋体" w:eastAsia="宋体" w:cs="宋体"/>
                <w:sz w:val="21"/>
                <w:szCs w:val="21"/>
                <w:vertAlign w:val="baseline"/>
              </w:rPr>
              <w:t>后向外部电网输电。</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厂房布置于大坝下游</w:t>
            </w:r>
            <w:r>
              <w:rPr>
                <w:rFonts w:hint="eastAsia" w:ascii="Times New Roman" w:hAnsi="Times New Roman" w:eastAsia="宋体" w:cs="Times New Roman"/>
                <w:sz w:val="21"/>
                <w:szCs w:val="21"/>
                <w:vertAlign w:val="baseline"/>
              </w:rPr>
              <w:t>4.5km</w:t>
            </w:r>
            <w:r>
              <w:rPr>
                <w:rFonts w:hint="eastAsia" w:ascii="宋体" w:hAnsi="宋体" w:eastAsia="宋体" w:cs="宋体"/>
                <w:sz w:val="21"/>
                <w:szCs w:val="21"/>
                <w:vertAlign w:val="baseline"/>
              </w:rPr>
              <w:t>的台地上，为引水式地面厂房，面积</w:t>
            </w:r>
            <w:r>
              <w:rPr>
                <w:rFonts w:hint="eastAsia" w:ascii="Times New Roman" w:hAnsi="Times New Roman" w:eastAsia="宋体" w:cs="Times New Roman"/>
                <w:sz w:val="21"/>
                <w:szCs w:val="21"/>
                <w:vertAlign w:val="baseline"/>
              </w:rPr>
              <w:t>25.6×9.5m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，发电机层地面高程为</w:t>
            </w:r>
            <w:r>
              <w:rPr>
                <w:rFonts w:hint="eastAsia" w:ascii="Times New Roman" w:hAnsi="Times New Roman" w:eastAsia="宋体" w:cs="Times New Roman"/>
                <w:sz w:val="21"/>
                <w:szCs w:val="21"/>
                <w:vertAlign w:val="baseline"/>
              </w:rPr>
              <w:t>412m</w:t>
            </w:r>
            <w:r>
              <w:rPr>
                <w:rFonts w:hint="eastAsia" w:ascii="宋体" w:hAnsi="宋体" w:eastAsia="宋体" w:cs="宋体"/>
                <w:sz w:val="21"/>
                <w:szCs w:val="21"/>
                <w:vertAlign w:val="baseline"/>
              </w:rPr>
              <w:t>，安装2台发电机组（水轮机</w:t>
            </w:r>
            <w:r>
              <w:rPr>
                <w:rFonts w:hint="eastAsia" w:ascii="Times New Roman" w:hAnsi="Times New Roman" w:eastAsia="宋体" w:cs="Times New Roman"/>
                <w:sz w:val="21"/>
                <w:szCs w:val="21"/>
                <w:vertAlign w:val="baseline"/>
              </w:rPr>
              <w:t>QJ80/1*8</w:t>
            </w:r>
            <w:r>
              <w:rPr>
                <w:rFonts w:hint="eastAsia" w:ascii="宋体" w:hAnsi="宋体" w:eastAsia="宋体" w:cs="宋体"/>
                <w:sz w:val="21"/>
                <w:szCs w:val="21"/>
                <w:vertAlign w:val="baseline"/>
              </w:rPr>
              <w:t>，设计水头</w:t>
            </w:r>
            <w:r>
              <w:rPr>
                <w:rFonts w:hint="eastAsia" w:ascii="Times New Roman" w:hAnsi="Times New Roman" w:eastAsia="宋体" w:cs="Times New Roman"/>
                <w:sz w:val="21"/>
                <w:szCs w:val="21"/>
                <w:vertAlign w:val="baseline"/>
              </w:rPr>
              <w:t>220m</w:t>
            </w:r>
            <w:r>
              <w:rPr>
                <w:rFonts w:hint="eastAsia" w:ascii="宋体" w:hAnsi="宋体" w:eastAsia="宋体" w:cs="宋体"/>
                <w:sz w:val="21"/>
                <w:szCs w:val="21"/>
                <w:vertAlign w:val="baseline"/>
              </w:rPr>
              <w:t>，发电机</w:t>
            </w:r>
            <w:r>
              <w:rPr>
                <w:rFonts w:hint="eastAsia" w:ascii="Times New Roman" w:hAnsi="Times New Roman" w:eastAsia="宋体" w:cs="Times New Roman"/>
                <w:sz w:val="21"/>
                <w:szCs w:val="21"/>
                <w:vertAlign w:val="baseline"/>
              </w:rPr>
              <w:t>SFW500 -8/990</w:t>
            </w:r>
            <w:r>
              <w:rPr>
                <w:rFonts w:hint="eastAsia" w:ascii="宋体" w:hAnsi="宋体" w:eastAsia="宋体" w:cs="宋体"/>
                <w:sz w:val="21"/>
                <w:szCs w:val="21"/>
                <w:vertAlign w:val="baseline"/>
              </w:rPr>
              <w:t>），总装机容量1000kW，机组安装高程为</w:t>
            </w:r>
            <w:r>
              <w:rPr>
                <w:rFonts w:hint="eastAsia" w:ascii="Times New Roman" w:hAnsi="Times New Roman" w:eastAsia="宋体" w:cs="Times New Roman"/>
                <w:sz w:val="21"/>
                <w:szCs w:val="21"/>
                <w:vertAlign w:val="baseline"/>
              </w:rPr>
              <w:t>412.1m</w:t>
            </w:r>
            <w:r>
              <w:rPr>
                <w:rFonts w:hint="eastAsia" w:ascii="宋体" w:hAnsi="宋体" w:eastAsia="宋体" w:cs="宋体"/>
                <w:sz w:val="21"/>
                <w:szCs w:val="21"/>
                <w:vertAlign w:val="baseline"/>
              </w:rPr>
              <w:t>。厂房流道出口下游侧设长200m的尾水渠与河道顺接。升压站布置在厂房一侧，面积</w:t>
            </w:r>
            <w:r>
              <w:rPr>
                <w:rFonts w:hint="eastAsia" w:ascii="Times New Roman" w:hAnsi="Times New Roman" w:eastAsia="宋体" w:cs="Times New Roman"/>
                <w:sz w:val="21"/>
                <w:szCs w:val="21"/>
                <w:vertAlign w:val="baseline"/>
              </w:rPr>
              <w:t>5×5m</w:t>
            </w:r>
            <w:r>
              <w:rPr>
                <w:rFonts w:hint="eastAsia" w:ascii="Times New Roman" w:hAnsi="Times New Roman" w:eastAsia="宋体" w:cs="Times New Roman"/>
                <w:sz w:val="21"/>
                <w:szCs w:val="21"/>
                <w:vertAlign w:val="superscript"/>
              </w:rPr>
              <w:t>2</w:t>
            </w:r>
            <w:r>
              <w:rPr>
                <w:rFonts w:hint="eastAsia" w:ascii="宋体" w:hAnsi="宋体" w:eastAsia="宋体" w:cs="宋体"/>
                <w:sz w:val="21"/>
                <w:szCs w:val="21"/>
                <w:vertAlign w:val="baseline"/>
              </w:rPr>
              <w:t>，发电机组轴线垂直进水管中心线布置，主变布置在厂房上游墙外左岸山坡平台上，采用</w:t>
            </w:r>
            <w:r>
              <w:rPr>
                <w:rFonts w:hint="eastAsia" w:ascii="Times New Roman" w:hAnsi="Times New Roman" w:eastAsia="宋体" w:cs="Times New Roman"/>
                <w:sz w:val="21"/>
                <w:szCs w:val="21"/>
                <w:vertAlign w:val="baseline"/>
              </w:rPr>
              <w:t>2</w:t>
            </w:r>
            <w:r>
              <w:rPr>
                <w:rFonts w:hint="eastAsia" w:ascii="宋体" w:hAnsi="宋体" w:eastAsia="宋体" w:cs="宋体"/>
                <w:sz w:val="21"/>
                <w:szCs w:val="21"/>
                <w:vertAlign w:val="baseline"/>
              </w:rPr>
              <w:t>台变压器，升压至</w:t>
            </w:r>
            <w:r>
              <w:rPr>
                <w:rFonts w:hint="default" w:ascii="Times New Roman" w:hAnsi="Times New Roman" w:eastAsia="宋体" w:cs="Times New Roman"/>
                <w:sz w:val="21"/>
                <w:szCs w:val="21"/>
                <w:vertAlign w:val="baseline"/>
              </w:rPr>
              <w:t>10kv</w:t>
            </w:r>
            <w:r>
              <w:rPr>
                <w:rFonts w:hint="eastAsia" w:ascii="宋体" w:hAnsi="宋体" w:eastAsia="宋体" w:cs="宋体"/>
                <w:sz w:val="21"/>
                <w:szCs w:val="21"/>
                <w:vertAlign w:val="baseline"/>
              </w:rPr>
              <w:t>后向外部电网输电。</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工程占地</w:t>
            </w:r>
          </w:p>
        </w:tc>
        <w:tc>
          <w:tcPr>
            <w:tcW w:w="4965" w:type="dxa"/>
            <w:vAlign w:val="center"/>
          </w:tcPr>
          <w:p>
            <w:pPr>
              <w:jc w:val="left"/>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rPr>
              <w:t>本工程坝址、厂区为山区，不存在迁移安置人口，工程永久占林地12亩</w:t>
            </w:r>
            <w:r>
              <w:rPr>
                <w:rFonts w:hint="eastAsia" w:ascii="宋体" w:hAnsi="宋体" w:eastAsia="宋体" w:cs="宋体"/>
                <w:sz w:val="21"/>
                <w:szCs w:val="21"/>
                <w:vertAlign w:val="baseline"/>
                <w:lang w:eastAsia="zh-CN"/>
              </w:rPr>
              <w:t>。</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本工程坝址、厂区为山区，不存在迁移安置人口，工程永久占林地12亩</w:t>
            </w:r>
            <w:r>
              <w:rPr>
                <w:rFonts w:hint="eastAsia" w:ascii="宋体" w:hAnsi="宋体" w:eastAsia="宋体" w:cs="宋体"/>
                <w:sz w:val="21"/>
                <w:szCs w:val="21"/>
                <w:vertAlign w:val="baseline"/>
                <w:lang w:eastAsia="zh-CN"/>
              </w:rPr>
              <w:t>。</w:t>
            </w:r>
          </w:p>
        </w:tc>
        <w:tc>
          <w:tcPr>
            <w:tcW w:w="1425"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0" w:hRule="atLeast"/>
          <w:jc w:val="center"/>
        </w:trPr>
        <w:tc>
          <w:tcPr>
            <w:tcW w:w="645"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水土保持</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各水土流失防治分区采取工程措施与植物措施相结合、临时措施与永久措施相结合的水土保持措施。主体工程防治区：施工区植被恢复，面积300m2；厂区周边种植树木（柏树、海桐），造林1620株；植草175m2；厂区地面硬化，硬化面积1000m2。</w:t>
            </w:r>
          </w:p>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总体而言，本电站建设过程中涉及的范围较小，造成的局部水土流失量较小，主要是主体工程区、块石料场、弃渣场、临建设施区。目前本项目基本已采取了工程措施和植物措施，项目开展过水土保持设施验收工作，并验收合格，已在青原区水利局进行了备案，明显减轻了水土流失对土地生产力的破坏，同时林草覆盖率的提高，有效控制水土流失，保护和改善了项目周边的生态环境。</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各水土流失防治分区采取工程措施与植物措施相结合、临时措施与永久措施相结合的水土保持措施。主体工程防治区：施工区植被恢复，面积300m2；厂区周边种植树木（柏树、海桐），造林1620株；植草175m2；厂区地面硬化，硬化面积1000m2。</w:t>
            </w:r>
          </w:p>
          <w:p>
            <w:pPr>
              <w:jc w:val="left"/>
              <w:rPr>
                <w:rFonts w:hint="eastAsia" w:ascii="宋体" w:hAnsi="宋体" w:eastAsia="宋体" w:cs="宋体"/>
                <w:b/>
                <w:bCs/>
                <w:sz w:val="21"/>
                <w:szCs w:val="21"/>
                <w:vertAlign w:val="baseline"/>
              </w:rPr>
            </w:pPr>
            <w:r>
              <w:rPr>
                <w:rFonts w:hint="eastAsia" w:ascii="宋体" w:hAnsi="宋体" w:eastAsia="宋体" w:cs="宋体"/>
                <w:sz w:val="21"/>
                <w:szCs w:val="21"/>
                <w:vertAlign w:val="baseline"/>
              </w:rPr>
              <w:t>总体而言，本电站建设过程中涉及的范围较小，造成的局部水土流失量较小，主要是主体工程区、块石料场、弃渣场、临建设施区。目前本项目基本已采取了工程措施和植物措施，项目开展过水土保持设施验收工作，并验收合格，已在青原区水利局进行了备案，明显减轻了水土流失对土地生产力的破坏，同时林草覆盖率的提高，有效控制水土流失，保护和改善了项目周边的生态环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5" w:type="dxa"/>
            <w:vAlign w:val="center"/>
          </w:tcPr>
          <w:p>
            <w:pPr>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710" w:type="dxa"/>
            <w:vAlign w:val="center"/>
          </w:tcPr>
          <w:p>
            <w:pPr>
              <w:jc w:val="center"/>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弃渣场</w:t>
            </w:r>
          </w:p>
        </w:tc>
        <w:tc>
          <w:tcPr>
            <w:tcW w:w="4965"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5100" w:type="dxa"/>
            <w:vAlign w:val="center"/>
          </w:tcPr>
          <w:p>
            <w:pPr>
              <w:jc w:val="left"/>
              <w:rPr>
                <w:rFonts w:hint="eastAsia" w:ascii="宋体" w:hAnsi="宋体" w:eastAsia="宋体" w:cs="宋体"/>
                <w:sz w:val="21"/>
                <w:szCs w:val="21"/>
                <w:vertAlign w:val="baseline"/>
              </w:rPr>
            </w:pPr>
            <w:r>
              <w:rPr>
                <w:rFonts w:hint="eastAsia" w:ascii="宋体" w:hAnsi="宋体" w:eastAsia="宋体" w:cs="宋体"/>
                <w:sz w:val="21"/>
                <w:szCs w:val="21"/>
                <w:vertAlign w:val="baseline"/>
              </w:rPr>
              <w:t>建设单位在弃渣场周围设置了挡渣墙、截水沟和排水沟，避免了流失造成水质污染和影响鱼类栖息环境。</w:t>
            </w:r>
          </w:p>
        </w:tc>
        <w:tc>
          <w:tcPr>
            <w:tcW w:w="1425" w:type="dxa"/>
            <w:vAlign w:val="center"/>
          </w:tcPr>
          <w:p>
            <w:pPr>
              <w:jc w:val="center"/>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与环评一致</w:t>
            </w:r>
          </w:p>
        </w:tc>
        <w:tc>
          <w:tcPr>
            <w:tcW w:w="1329" w:type="dxa"/>
            <w:vAlign w:val="center"/>
          </w:tcPr>
          <w:p>
            <w:pPr>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pPr>
        <w:spacing w:after="0"/>
        <w:jc w:val="center"/>
        <w:rPr>
          <w:rFonts w:ascii="Times New Roman"/>
          <w:sz w:val="21"/>
        </w:rPr>
        <w:sectPr>
          <w:footerReference r:id="rId6" w:type="default"/>
          <w:pgSz w:w="16840" w:h="11910" w:orient="landscape"/>
          <w:pgMar w:top="1100" w:right="1400" w:bottom="1060" w:left="1460" w:header="0" w:footer="875" w:gutter="0"/>
        </w:sectPr>
      </w:pPr>
    </w:p>
    <w:p>
      <w:pPr>
        <w:pStyle w:val="3"/>
        <w:numPr>
          <w:ilvl w:val="0"/>
          <w:numId w:val="4"/>
        </w:numPr>
        <w:tabs>
          <w:tab w:val="left" w:pos="498"/>
        </w:tabs>
        <w:spacing w:before="83" w:after="0" w:line="240" w:lineRule="auto"/>
        <w:ind w:left="497" w:right="0" w:hanging="361"/>
        <w:jc w:val="both"/>
        <w:rPr>
          <w:rFonts w:hint="eastAsia" w:ascii="宋体" w:hAnsi="宋体" w:eastAsia="宋体" w:cs="宋体"/>
          <w:b/>
          <w:sz w:val="37"/>
        </w:rPr>
      </w:pPr>
      <w:bookmarkStart w:id="71" w:name="3环境影响评价及相关批复要求回顾"/>
      <w:bookmarkEnd w:id="71"/>
      <w:bookmarkStart w:id="72" w:name="_bookmark13"/>
      <w:bookmarkEnd w:id="72"/>
      <w:bookmarkStart w:id="73" w:name="_bookmark13"/>
      <w:bookmarkEnd w:id="73"/>
      <w:r>
        <w:rPr>
          <w:rFonts w:hint="eastAsia" w:ascii="宋体" w:hAnsi="宋体" w:eastAsia="宋体" w:cs="宋体"/>
        </w:rPr>
        <w:t>环境影响评价及相关批复要求回顾</w:t>
      </w:r>
    </w:p>
    <w:p>
      <w:pPr>
        <w:pStyle w:val="4"/>
        <w:keepNext w:val="0"/>
        <w:keepLines w:val="0"/>
        <w:pageBreakBefore w:val="0"/>
        <w:widowControl w:val="0"/>
        <w:numPr>
          <w:ilvl w:val="0"/>
          <w:numId w:val="0"/>
        </w:numPr>
        <w:tabs>
          <w:tab w:val="left" w:pos="740"/>
        </w:tabs>
        <w:kinsoku/>
        <w:wordWrap/>
        <w:overflowPunct/>
        <w:topLinePunct w:val="0"/>
        <w:bidi w:val="0"/>
        <w:adjustRightInd/>
        <w:snapToGrid/>
        <w:spacing w:before="0" w:after="0" w:line="360" w:lineRule="auto"/>
        <w:ind w:left="137" w:leftChars="0" w:right="0" w:rightChars="0"/>
        <w:jc w:val="left"/>
        <w:textAlignment w:val="auto"/>
        <w:rPr>
          <w:rFonts w:hint="eastAsia"/>
        </w:rPr>
      </w:pPr>
      <w:bookmarkStart w:id="74" w:name="_bookmark14"/>
      <w:bookmarkEnd w:id="74"/>
      <w:bookmarkStart w:id="75" w:name="3.1环境影响报告书内容回顾"/>
      <w:bookmarkEnd w:id="75"/>
      <w:bookmarkStart w:id="76" w:name="_bookmark14"/>
      <w:bookmarkEnd w:id="76"/>
      <w:r>
        <w:rPr>
          <w:rFonts w:hint="eastAsia" w:ascii="宋体" w:hAnsi="宋体" w:eastAsia="宋体" w:cs="宋体"/>
        </w:rPr>
        <w:t>环境影响报告书内容回顾</w:t>
      </w:r>
    </w:p>
    <w:p>
      <w:pPr>
        <w:keepNext/>
        <w:keepLines/>
        <w:pageBreakBefore w:val="0"/>
        <w:kinsoku/>
        <w:wordWrap/>
        <w:overflowPunct/>
        <w:topLinePunct w:val="0"/>
        <w:autoSpaceDE/>
        <w:autoSpaceDN/>
        <w:bidi w:val="0"/>
        <w:adjustRightInd/>
        <w:snapToGrid/>
        <w:spacing w:line="360" w:lineRule="auto"/>
        <w:jc w:val="both"/>
        <w:outlineLvl w:val="1"/>
        <w:rPr>
          <w:rFonts w:ascii="Times New Roman" w:hAnsi="Times New Roman" w:cs="Times New Roman"/>
          <w:b/>
          <w:bCs/>
          <w:color w:val="auto"/>
          <w:spacing w:val="0"/>
          <w:w w:val="100"/>
          <w:kern w:val="0"/>
          <w:position w:val="0"/>
          <w:sz w:val="24"/>
          <w:szCs w:val="24"/>
          <w:lang w:val="en-US" w:bidi="ar-SA"/>
        </w:rPr>
      </w:pPr>
      <w:r>
        <w:rPr>
          <w:rFonts w:hint="eastAsia" w:ascii="Times New Roman" w:hAnsi="Times New Roman" w:cs="Times New Roman"/>
          <w:b/>
          <w:bCs/>
          <w:color w:val="auto"/>
          <w:spacing w:val="0"/>
          <w:w w:val="100"/>
          <w:kern w:val="0"/>
          <w:position w:val="0"/>
          <w:sz w:val="24"/>
          <w:szCs w:val="24"/>
          <w:lang w:val="en-US" w:eastAsia="zh-CN" w:bidi="ar-SA"/>
        </w:rPr>
        <w:t>10.1</w:t>
      </w:r>
      <w:r>
        <w:rPr>
          <w:rFonts w:ascii="Times New Roman" w:hAnsi="Times New Roman" w:cs="Times New Roman"/>
          <w:b/>
          <w:bCs/>
          <w:color w:val="auto"/>
          <w:spacing w:val="0"/>
          <w:w w:val="100"/>
          <w:kern w:val="0"/>
          <w:position w:val="0"/>
          <w:sz w:val="24"/>
          <w:szCs w:val="24"/>
          <w:lang w:val="en-US" w:bidi="ar-SA"/>
        </w:rPr>
        <w:t>工程概况</w:t>
      </w:r>
    </w:p>
    <w:p>
      <w:pPr>
        <w:keepNext w:val="0"/>
        <w:keepLines w:val="0"/>
        <w:pageBreakBefore w:val="0"/>
        <w:widowControl w:val="0"/>
        <w:tabs>
          <w:tab w:val="left" w:pos="1413"/>
          <w:tab w:val="left" w:pos="9460"/>
        </w:tabs>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东井冈电站（原名东井冈一级电站）位于东固畲族乡六渡村，于1976年开工兴建，1977年5月投产运行。电站坝址以上流域面积</w:t>
      </w:r>
      <w:r>
        <w:rPr>
          <w:rFonts w:hint="eastAsia" w:ascii="宋体" w:hAnsi="宋体" w:eastAsia="宋体" w:cs="宋体"/>
          <w:color w:val="auto"/>
          <w:spacing w:val="0"/>
          <w:w w:val="100"/>
          <w:kern w:val="0"/>
          <w:position w:val="0"/>
          <w:sz w:val="24"/>
          <w:szCs w:val="24"/>
          <w:lang w:val="en-US" w:eastAsia="zh-CN"/>
        </w:rPr>
        <w:t>19.6</w:t>
      </w:r>
      <w:r>
        <w:rPr>
          <w:rFonts w:hint="eastAsia" w:ascii="宋体" w:hAnsi="宋体" w:eastAsia="宋体" w:cs="宋体"/>
          <w:color w:val="auto"/>
          <w:spacing w:val="0"/>
          <w:w w:val="100"/>
          <w:kern w:val="0"/>
          <w:position w:val="0"/>
          <w:sz w:val="24"/>
          <w:szCs w:val="24"/>
        </w:rPr>
        <w:t>km</w:t>
      </w:r>
      <w:r>
        <w:rPr>
          <w:rFonts w:hint="eastAsia" w:ascii="宋体" w:hAnsi="宋体" w:eastAsia="宋体" w:cs="宋体"/>
          <w:color w:val="auto"/>
          <w:spacing w:val="0"/>
          <w:w w:val="100"/>
          <w:kern w:val="0"/>
          <w:position w:val="0"/>
          <w:sz w:val="24"/>
          <w:szCs w:val="24"/>
          <w:vertAlign w:val="superscript"/>
        </w:rPr>
        <w:t>2</w:t>
      </w:r>
      <w:r>
        <w:rPr>
          <w:rFonts w:hint="eastAsia" w:ascii="宋体" w:hAnsi="宋体" w:eastAsia="宋体" w:cs="宋体"/>
          <w:color w:val="auto"/>
          <w:spacing w:val="0"/>
          <w:w w:val="100"/>
          <w:kern w:val="0"/>
          <w:position w:val="0"/>
          <w:sz w:val="24"/>
          <w:szCs w:val="24"/>
        </w:rPr>
        <w:t>，主河道长度18.0km，河道平均坡降12.3‰。</w:t>
      </w:r>
      <w:r>
        <w:rPr>
          <w:rFonts w:hint="eastAsia" w:ascii="宋体" w:hAnsi="宋体" w:eastAsia="宋体" w:cs="宋体"/>
          <w:color w:val="auto"/>
          <w:sz w:val="24"/>
          <w:szCs w:val="24"/>
        </w:rPr>
        <w:t>电站为渠道引水式水电站，最大水头226m，最小水头214m，平均水头220m。总装机容量2×630kW（实际仅发1000kW），保证出力1200kW，设计年平均发电量450万kW·h，年利用小时数4000时</w:t>
      </w:r>
      <w:r>
        <w:rPr>
          <w:rFonts w:hint="eastAsia" w:ascii="宋体" w:hAnsi="宋体" w:eastAsia="宋体" w:cs="宋体"/>
          <w:color w:val="auto"/>
          <w:spacing w:val="0"/>
          <w:w w:val="100"/>
          <w:kern w:val="0"/>
          <w:position w:val="0"/>
          <w:sz w:val="24"/>
          <w:szCs w:val="24"/>
        </w:rPr>
        <w:t>。</w:t>
      </w:r>
    </w:p>
    <w:p>
      <w:pPr>
        <w:keepNext w:val="0"/>
        <w:keepLines w:val="0"/>
        <w:pageBreakBefore w:val="0"/>
        <w:widowControl w:val="0"/>
        <w:tabs>
          <w:tab w:val="left" w:pos="1413"/>
          <w:tab w:val="left" w:pos="9460"/>
        </w:tabs>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rPr>
        <w:t>为保证电站正常、安全运行，合理利用水能资源，提高电站运行效率和发电效益，对电站进行增效扩容改造是必要的。201</w:t>
      </w:r>
      <w:r>
        <w:rPr>
          <w:rFonts w:hint="eastAsia" w:ascii="宋体" w:hAnsi="宋体" w:eastAsia="宋体" w:cs="宋体"/>
          <w:color w:val="auto"/>
          <w:spacing w:val="0"/>
          <w:w w:val="100"/>
          <w:kern w:val="0"/>
          <w:position w:val="0"/>
          <w:sz w:val="24"/>
          <w:lang w:val="en-US" w:eastAsia="zh-CN"/>
        </w:rPr>
        <w:t>6</w:t>
      </w:r>
      <w:r>
        <w:rPr>
          <w:rFonts w:hint="eastAsia" w:ascii="宋体" w:hAnsi="宋体" w:eastAsia="宋体" w:cs="宋体"/>
          <w:color w:val="auto"/>
          <w:spacing w:val="0"/>
          <w:w w:val="100"/>
          <w:kern w:val="0"/>
          <w:position w:val="0"/>
          <w:sz w:val="24"/>
        </w:rPr>
        <w:t>年6月</w:t>
      </w:r>
      <w:r>
        <w:rPr>
          <w:rFonts w:hint="eastAsia" w:ascii="宋体" w:hAnsi="宋体" w:eastAsia="宋体" w:cs="宋体"/>
          <w:color w:val="auto"/>
          <w:spacing w:val="0"/>
          <w:w w:val="100"/>
          <w:kern w:val="0"/>
          <w:position w:val="0"/>
          <w:sz w:val="24"/>
          <w:lang w:eastAsia="zh-CN"/>
        </w:rPr>
        <w:t>吉安市水利局</w:t>
      </w:r>
      <w:r>
        <w:rPr>
          <w:rFonts w:hint="eastAsia" w:ascii="宋体" w:hAnsi="宋体" w:eastAsia="宋体" w:cs="宋体"/>
          <w:color w:val="auto"/>
          <w:spacing w:val="0"/>
          <w:w w:val="100"/>
          <w:kern w:val="0"/>
          <w:position w:val="0"/>
          <w:sz w:val="24"/>
        </w:rPr>
        <w:t>以吉水利建管字[2016]174号对</w:t>
      </w:r>
      <w:r>
        <w:rPr>
          <w:rFonts w:hint="eastAsia" w:ascii="宋体" w:hAnsi="宋体" w:eastAsia="宋体" w:cs="宋体"/>
          <w:color w:val="auto"/>
          <w:spacing w:val="0"/>
          <w:w w:val="100"/>
          <w:kern w:val="0"/>
          <w:position w:val="0"/>
          <w:sz w:val="24"/>
          <w:lang w:eastAsia="zh-CN"/>
        </w:rPr>
        <w:t>青原区东井冈</w:t>
      </w:r>
      <w:r>
        <w:rPr>
          <w:rFonts w:hint="eastAsia" w:ascii="宋体" w:hAnsi="宋体" w:eastAsia="宋体" w:cs="宋体"/>
          <w:color w:val="auto"/>
          <w:spacing w:val="0"/>
          <w:w w:val="100"/>
          <w:kern w:val="0"/>
          <w:position w:val="0"/>
          <w:sz w:val="24"/>
        </w:rPr>
        <w:t>水电站增效扩容改造工程初步设计报告进行了批复。</w:t>
      </w:r>
      <w:r>
        <w:rPr>
          <w:rFonts w:hint="eastAsia" w:ascii="宋体" w:hAnsi="宋体" w:eastAsia="宋体" w:cs="宋体"/>
          <w:color w:val="auto"/>
          <w:spacing w:val="0"/>
          <w:w w:val="100"/>
          <w:kern w:val="0"/>
          <w:position w:val="0"/>
          <w:sz w:val="24"/>
          <w:lang w:eastAsia="zh-CN"/>
        </w:rPr>
        <w:t>东井冈</w:t>
      </w:r>
      <w:r>
        <w:rPr>
          <w:rFonts w:hint="eastAsia" w:ascii="宋体" w:hAnsi="宋体" w:eastAsia="宋体" w:cs="宋体"/>
          <w:color w:val="auto"/>
          <w:spacing w:val="0"/>
          <w:w w:val="100"/>
          <w:kern w:val="0"/>
          <w:position w:val="0"/>
          <w:sz w:val="24"/>
        </w:rPr>
        <w:t>水电站增效扩容改造</w:t>
      </w:r>
      <w:r>
        <w:rPr>
          <w:rFonts w:hint="eastAsia" w:ascii="宋体" w:hAnsi="宋体" w:eastAsia="宋体" w:cs="宋体"/>
          <w:color w:val="auto"/>
          <w:spacing w:val="0"/>
          <w:w w:val="100"/>
          <w:kern w:val="0"/>
          <w:position w:val="0"/>
          <w:sz w:val="24"/>
          <w:lang w:eastAsia="zh-CN"/>
        </w:rPr>
        <w:t>工程</w:t>
      </w:r>
      <w:r>
        <w:rPr>
          <w:rFonts w:hint="eastAsia" w:ascii="宋体" w:hAnsi="宋体" w:eastAsia="宋体" w:cs="宋体"/>
          <w:color w:val="auto"/>
          <w:spacing w:val="0"/>
          <w:w w:val="100"/>
          <w:kern w:val="0"/>
          <w:position w:val="0"/>
          <w:sz w:val="24"/>
        </w:rPr>
        <w:t>位于</w:t>
      </w:r>
      <w:r>
        <w:rPr>
          <w:rFonts w:hint="eastAsia" w:ascii="宋体" w:hAnsi="宋体" w:eastAsia="宋体" w:cs="宋体"/>
          <w:color w:val="auto"/>
          <w:spacing w:val="0"/>
          <w:w w:val="100"/>
          <w:kern w:val="0"/>
          <w:position w:val="0"/>
          <w:sz w:val="24"/>
          <w:lang w:eastAsia="zh-CN"/>
        </w:rPr>
        <w:t>东固水主流</w:t>
      </w:r>
      <w:r>
        <w:rPr>
          <w:rFonts w:hint="eastAsia" w:ascii="宋体" w:hAnsi="宋体" w:eastAsia="宋体" w:cs="宋体"/>
          <w:color w:val="auto"/>
          <w:spacing w:val="0"/>
          <w:w w:val="100"/>
          <w:kern w:val="0"/>
          <w:position w:val="0"/>
          <w:sz w:val="24"/>
        </w:rPr>
        <w:t>，处于</w:t>
      </w:r>
      <w:r>
        <w:rPr>
          <w:rFonts w:hint="eastAsia" w:ascii="宋体" w:hAnsi="宋体" w:eastAsia="宋体" w:cs="宋体"/>
          <w:color w:val="auto"/>
          <w:spacing w:val="0"/>
          <w:w w:val="100"/>
          <w:kern w:val="0"/>
          <w:position w:val="0"/>
          <w:sz w:val="24"/>
          <w:lang w:eastAsia="zh-CN"/>
        </w:rPr>
        <w:t>青原区东固乡境</w:t>
      </w:r>
      <w:r>
        <w:rPr>
          <w:rFonts w:hint="eastAsia" w:ascii="宋体" w:hAnsi="宋体" w:eastAsia="宋体" w:cs="宋体"/>
          <w:color w:val="auto"/>
          <w:spacing w:val="0"/>
          <w:w w:val="100"/>
          <w:kern w:val="0"/>
          <w:position w:val="0"/>
          <w:sz w:val="24"/>
        </w:rPr>
        <w:t>内，距离</w:t>
      </w:r>
      <w:r>
        <w:rPr>
          <w:rFonts w:hint="eastAsia" w:ascii="宋体" w:hAnsi="宋体" w:eastAsia="宋体" w:cs="宋体"/>
          <w:color w:val="auto"/>
          <w:spacing w:val="0"/>
          <w:w w:val="100"/>
          <w:kern w:val="0"/>
          <w:position w:val="0"/>
          <w:sz w:val="24"/>
          <w:lang w:eastAsia="zh-CN"/>
        </w:rPr>
        <w:t>青原区城区</w:t>
      </w:r>
      <w:r>
        <w:rPr>
          <w:rFonts w:hint="eastAsia" w:ascii="宋体" w:hAnsi="宋体" w:eastAsia="宋体" w:cs="宋体"/>
          <w:color w:val="auto"/>
          <w:spacing w:val="0"/>
          <w:w w:val="100"/>
          <w:kern w:val="0"/>
          <w:position w:val="0"/>
          <w:sz w:val="24"/>
        </w:rPr>
        <w:t>城约</w:t>
      </w:r>
      <w:r>
        <w:rPr>
          <w:rFonts w:hint="eastAsia" w:ascii="宋体" w:hAnsi="宋体" w:eastAsia="宋体" w:cs="宋体"/>
          <w:color w:val="auto"/>
          <w:spacing w:val="0"/>
          <w:w w:val="100"/>
          <w:kern w:val="0"/>
          <w:position w:val="0"/>
          <w:sz w:val="24"/>
          <w:lang w:val="en-US" w:eastAsia="zh-CN"/>
        </w:rPr>
        <w:t>90</w:t>
      </w:r>
      <w:r>
        <w:rPr>
          <w:rFonts w:hint="eastAsia" w:ascii="宋体" w:hAnsi="宋体" w:eastAsia="宋体" w:cs="宋体"/>
          <w:color w:val="auto"/>
          <w:spacing w:val="0"/>
          <w:w w:val="100"/>
          <w:kern w:val="0"/>
          <w:position w:val="0"/>
          <w:sz w:val="24"/>
        </w:rPr>
        <w:t>km。本次改造工程主要为电站装机规模由原来</w:t>
      </w:r>
      <w:r>
        <w:rPr>
          <w:rFonts w:hint="eastAsia" w:ascii="宋体" w:hAnsi="宋体" w:eastAsia="宋体" w:cs="宋体"/>
          <w:color w:val="auto"/>
          <w:spacing w:val="0"/>
          <w:w w:val="100"/>
          <w:kern w:val="0"/>
          <w:position w:val="0"/>
          <w:sz w:val="24"/>
          <w:lang w:val="en-US" w:eastAsia="zh-CN"/>
        </w:rPr>
        <w:t>126</w:t>
      </w:r>
      <w:r>
        <w:rPr>
          <w:rFonts w:hint="eastAsia" w:ascii="宋体" w:hAnsi="宋体" w:eastAsia="宋体" w:cs="宋体"/>
          <w:color w:val="auto"/>
          <w:spacing w:val="0"/>
          <w:w w:val="100"/>
          <w:kern w:val="0"/>
          <w:position w:val="0"/>
          <w:sz w:val="24"/>
        </w:rPr>
        <w:t>0kW（2×</w:t>
      </w:r>
      <w:r>
        <w:rPr>
          <w:rFonts w:hint="eastAsia" w:ascii="宋体" w:hAnsi="宋体" w:eastAsia="宋体" w:cs="宋体"/>
          <w:color w:val="auto"/>
          <w:spacing w:val="0"/>
          <w:w w:val="100"/>
          <w:kern w:val="0"/>
          <w:position w:val="0"/>
          <w:sz w:val="24"/>
          <w:lang w:val="en-US" w:eastAsia="zh-CN"/>
        </w:rPr>
        <w:t>63</w:t>
      </w:r>
      <w:r>
        <w:rPr>
          <w:rFonts w:hint="eastAsia" w:ascii="宋体" w:hAnsi="宋体" w:eastAsia="宋体" w:cs="宋体"/>
          <w:color w:val="auto"/>
          <w:spacing w:val="0"/>
          <w:w w:val="100"/>
          <w:kern w:val="0"/>
          <w:position w:val="0"/>
          <w:sz w:val="24"/>
        </w:rPr>
        <w:t>0kW）</w:t>
      </w:r>
      <w:r>
        <w:rPr>
          <w:rFonts w:hint="eastAsia" w:ascii="宋体" w:hAnsi="宋体" w:eastAsia="宋体" w:cs="宋体"/>
          <w:color w:val="auto"/>
          <w:spacing w:val="0"/>
          <w:w w:val="100"/>
          <w:kern w:val="0"/>
          <w:position w:val="0"/>
          <w:sz w:val="24"/>
          <w:lang w:val="en-US" w:eastAsia="zh-CN"/>
        </w:rPr>
        <w:t>增效扩容</w:t>
      </w:r>
      <w:r>
        <w:rPr>
          <w:rFonts w:hint="eastAsia" w:ascii="宋体" w:hAnsi="宋体" w:eastAsia="宋体" w:cs="宋体"/>
          <w:color w:val="auto"/>
          <w:spacing w:val="0"/>
          <w:w w:val="100"/>
          <w:kern w:val="0"/>
          <w:position w:val="0"/>
          <w:sz w:val="24"/>
        </w:rPr>
        <w:t>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lang w:val="en-US" w:eastAsia="zh-CN"/>
        </w:rPr>
        <w:t>工程</w:t>
      </w:r>
      <w:r>
        <w:rPr>
          <w:rFonts w:hint="eastAsia" w:ascii="宋体" w:hAnsi="宋体" w:eastAsia="宋体" w:cs="宋体"/>
          <w:color w:val="auto"/>
          <w:spacing w:val="0"/>
          <w:w w:val="100"/>
          <w:kern w:val="0"/>
          <w:position w:val="0"/>
          <w:sz w:val="24"/>
        </w:rPr>
        <w:t>利用原电站的大坝及引水隧道，对部分设施进行改造</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拦河坝靠进水闸一侧新建冲沙闸一座及压力管道进行重新修建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对厂房进行重新修建</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对发电机组设备及相应辅助设施的更新，总装机容量</w:t>
      </w:r>
      <w:r>
        <w:rPr>
          <w:rFonts w:hint="eastAsia" w:ascii="宋体" w:hAnsi="宋体" w:eastAsia="宋体" w:cs="宋体"/>
          <w:color w:val="auto"/>
          <w:spacing w:val="0"/>
          <w:w w:val="100"/>
          <w:kern w:val="0"/>
          <w:position w:val="0"/>
          <w:sz w:val="24"/>
          <w:lang w:eastAsia="zh-CN"/>
        </w:rPr>
        <w:t>扩大为</w:t>
      </w:r>
      <w:r>
        <w:rPr>
          <w:rFonts w:hint="eastAsia" w:ascii="宋体" w:hAnsi="宋体" w:eastAsia="宋体" w:cs="宋体"/>
          <w:color w:val="auto"/>
          <w:spacing w:val="0"/>
          <w:w w:val="100"/>
          <w:kern w:val="0"/>
          <w:position w:val="0"/>
          <w:sz w:val="24"/>
          <w:lang w:val="en-US" w:eastAsia="zh-CN"/>
        </w:rPr>
        <w:t>16</w:t>
      </w:r>
      <w:r>
        <w:rPr>
          <w:rFonts w:hint="eastAsia" w:ascii="宋体" w:hAnsi="宋体" w:eastAsia="宋体" w:cs="宋体"/>
          <w:color w:val="auto"/>
          <w:spacing w:val="0"/>
          <w:w w:val="100"/>
          <w:kern w:val="0"/>
          <w:position w:val="0"/>
          <w:sz w:val="24"/>
        </w:rPr>
        <w:t>00kW（2×</w:t>
      </w:r>
      <w:r>
        <w:rPr>
          <w:rFonts w:hint="eastAsia" w:ascii="宋体" w:hAnsi="宋体" w:eastAsia="宋体" w:cs="宋体"/>
          <w:color w:val="auto"/>
          <w:spacing w:val="0"/>
          <w:w w:val="100"/>
          <w:kern w:val="0"/>
          <w:position w:val="0"/>
          <w:sz w:val="24"/>
          <w:lang w:val="en-US" w:eastAsia="zh-CN"/>
        </w:rPr>
        <w:t>8</w:t>
      </w:r>
      <w:r>
        <w:rPr>
          <w:rFonts w:hint="eastAsia" w:ascii="宋体" w:hAnsi="宋体" w:eastAsia="宋体" w:cs="宋体"/>
          <w:color w:val="auto"/>
          <w:spacing w:val="0"/>
          <w:w w:val="100"/>
          <w:kern w:val="0"/>
          <w:position w:val="0"/>
          <w:sz w:val="24"/>
        </w:rPr>
        <w:t>00kW）。本项目为不完全年调节水利水电工程，以水力发电为主，兼有防洪，水库正常蓄水位</w:t>
      </w:r>
      <w:r>
        <w:rPr>
          <w:rFonts w:hint="eastAsia" w:ascii="宋体" w:hAnsi="宋体" w:eastAsia="宋体" w:cs="宋体"/>
          <w:color w:val="auto"/>
          <w:spacing w:val="0"/>
          <w:w w:val="100"/>
          <w:kern w:val="0"/>
          <w:position w:val="0"/>
          <w:sz w:val="24"/>
          <w:lang w:val="en-US" w:eastAsia="zh-CN"/>
        </w:rPr>
        <w:t>503.7</w:t>
      </w:r>
      <w:r>
        <w:rPr>
          <w:rFonts w:hint="eastAsia" w:ascii="宋体" w:hAnsi="宋体" w:eastAsia="宋体" w:cs="宋体"/>
          <w:color w:val="auto"/>
          <w:spacing w:val="0"/>
          <w:w w:val="100"/>
          <w:kern w:val="0"/>
          <w:position w:val="0"/>
          <w:sz w:val="24"/>
        </w:rPr>
        <w:t>m，总库容为</w:t>
      </w:r>
      <w:r>
        <w:rPr>
          <w:rFonts w:hint="eastAsia" w:ascii="宋体" w:hAnsi="宋体" w:eastAsia="宋体" w:cs="宋体"/>
          <w:color w:val="auto"/>
          <w:spacing w:val="0"/>
          <w:w w:val="100"/>
          <w:kern w:val="0"/>
          <w:position w:val="0"/>
          <w:sz w:val="24"/>
          <w:lang w:val="en-US" w:eastAsia="zh-CN"/>
        </w:rPr>
        <w:t>0.1</w:t>
      </w:r>
      <w:r>
        <w:rPr>
          <w:rFonts w:hint="eastAsia" w:ascii="宋体" w:hAnsi="宋体" w:eastAsia="宋体" w:cs="宋体"/>
          <w:color w:val="auto"/>
          <w:spacing w:val="0"/>
          <w:w w:val="100"/>
          <w:kern w:val="0"/>
          <w:position w:val="0"/>
          <w:sz w:val="24"/>
        </w:rPr>
        <w:t>万m</w:t>
      </w:r>
      <w:r>
        <w:rPr>
          <w:rFonts w:hint="eastAsia" w:ascii="宋体" w:hAnsi="宋体" w:eastAsia="宋体" w:cs="宋体"/>
          <w:color w:val="auto"/>
          <w:spacing w:val="0"/>
          <w:w w:val="100"/>
          <w:kern w:val="0"/>
          <w:position w:val="0"/>
          <w:sz w:val="24"/>
          <w:vertAlign w:val="superscript"/>
        </w:rPr>
        <w:t>3</w:t>
      </w:r>
      <w:r>
        <w:rPr>
          <w:rFonts w:hint="eastAsia" w:ascii="宋体" w:hAnsi="宋体" w:eastAsia="宋体" w:cs="宋体"/>
          <w:color w:val="auto"/>
          <w:spacing w:val="0"/>
          <w:w w:val="100"/>
          <w:kern w:val="0"/>
          <w:position w:val="0"/>
          <w:sz w:val="24"/>
        </w:rPr>
        <w:t>，电站装机容量</w:t>
      </w:r>
      <w:r>
        <w:rPr>
          <w:rFonts w:hint="eastAsia" w:ascii="宋体" w:hAnsi="宋体" w:eastAsia="宋体" w:cs="宋体"/>
          <w:color w:val="auto"/>
          <w:spacing w:val="0"/>
          <w:w w:val="100"/>
          <w:kern w:val="0"/>
          <w:position w:val="0"/>
          <w:sz w:val="24"/>
          <w:lang w:val="en-US" w:eastAsia="zh-CN"/>
        </w:rPr>
        <w:t>1600</w:t>
      </w:r>
      <w:r>
        <w:rPr>
          <w:rFonts w:hint="eastAsia" w:ascii="宋体" w:hAnsi="宋体" w:eastAsia="宋体" w:cs="宋体"/>
          <w:color w:val="auto"/>
          <w:spacing w:val="0"/>
          <w:w w:val="100"/>
          <w:kern w:val="0"/>
          <w:position w:val="0"/>
          <w:sz w:val="24"/>
        </w:rPr>
        <w:t>kW，多年平均发电量</w:t>
      </w:r>
      <w:r>
        <w:rPr>
          <w:rFonts w:hint="eastAsia" w:ascii="宋体" w:hAnsi="宋体" w:eastAsia="宋体" w:cs="宋体"/>
          <w:color w:val="auto"/>
          <w:spacing w:val="0"/>
          <w:w w:val="100"/>
          <w:kern w:val="0"/>
          <w:position w:val="0"/>
          <w:sz w:val="24"/>
          <w:lang w:val="en-US" w:eastAsia="zh-CN"/>
        </w:rPr>
        <w:t>515</w:t>
      </w:r>
      <w:r>
        <w:rPr>
          <w:rFonts w:hint="eastAsia" w:ascii="宋体" w:hAnsi="宋体" w:eastAsia="宋体" w:cs="宋体"/>
          <w:color w:val="auto"/>
          <w:spacing w:val="0"/>
          <w:w w:val="100"/>
          <w:kern w:val="0"/>
          <w:position w:val="0"/>
          <w:sz w:val="24"/>
        </w:rPr>
        <w:t>万</w:t>
      </w:r>
      <w:r>
        <w:rPr>
          <w:rFonts w:hint="eastAsia" w:ascii="宋体" w:hAnsi="宋体" w:eastAsia="宋体" w:cs="宋体"/>
          <w:color w:val="auto"/>
          <w:spacing w:val="0"/>
          <w:w w:val="100"/>
          <w:kern w:val="0"/>
          <w:position w:val="0"/>
          <w:sz w:val="24"/>
          <w:lang w:val="en-US" w:eastAsia="zh-CN"/>
        </w:rPr>
        <w:t xml:space="preserve"> </w:t>
      </w:r>
      <w:r>
        <w:rPr>
          <w:rFonts w:hint="eastAsia" w:ascii="宋体" w:hAnsi="宋体" w:eastAsia="宋体" w:cs="宋体"/>
          <w:color w:val="auto"/>
          <w:spacing w:val="0"/>
          <w:w w:val="100"/>
          <w:kern w:val="0"/>
          <w:position w:val="0"/>
          <w:sz w:val="24"/>
        </w:rPr>
        <w:t>kW·h，年利用小时数</w:t>
      </w:r>
      <w:r>
        <w:rPr>
          <w:rFonts w:hint="eastAsia" w:ascii="宋体" w:hAnsi="宋体" w:eastAsia="宋体" w:cs="宋体"/>
          <w:color w:val="auto"/>
          <w:spacing w:val="0"/>
          <w:w w:val="100"/>
          <w:kern w:val="0"/>
          <w:position w:val="0"/>
          <w:sz w:val="24"/>
          <w:lang w:val="en-US" w:eastAsia="zh-CN"/>
        </w:rPr>
        <w:t>3216</w:t>
      </w:r>
      <w:r>
        <w:rPr>
          <w:rFonts w:hint="eastAsia" w:ascii="宋体" w:hAnsi="宋体" w:eastAsia="宋体" w:cs="宋体"/>
          <w:color w:val="auto"/>
          <w:spacing w:val="0"/>
          <w:w w:val="100"/>
          <w:kern w:val="0"/>
          <w:position w:val="0"/>
          <w:sz w:val="24"/>
        </w:rPr>
        <w:t>h</w:t>
      </w:r>
      <w:r>
        <w:rPr>
          <w:rFonts w:hint="eastAsia" w:ascii="宋体" w:hAnsi="宋体" w:eastAsia="宋体" w:cs="宋体"/>
          <w:color w:val="auto"/>
          <w:spacing w:val="0"/>
          <w:w w:val="100"/>
          <w:kern w:val="0"/>
          <w:position w:val="0"/>
          <w:sz w:val="24"/>
          <w:szCs w:val="20"/>
          <w:lang w:val="en-US" w:bidi="ar-SA"/>
        </w:rPr>
        <w:t>。</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77" w:name="_Toc23768"/>
      <w:r>
        <w:rPr>
          <w:rFonts w:hint="eastAsia" w:ascii="宋体" w:hAnsi="宋体" w:eastAsia="宋体" w:cs="宋体"/>
          <w:b/>
          <w:bCs/>
          <w:color w:val="auto"/>
          <w:spacing w:val="0"/>
          <w:w w:val="100"/>
          <w:kern w:val="0"/>
          <w:position w:val="0"/>
          <w:sz w:val="24"/>
          <w:szCs w:val="24"/>
          <w:lang w:val="en-US" w:bidi="ar-SA"/>
        </w:rPr>
        <w:t>10.2</w:t>
      </w:r>
      <w:r>
        <w:rPr>
          <w:rFonts w:hint="eastAsia" w:ascii="宋体" w:hAnsi="宋体" w:eastAsia="宋体" w:cs="宋体"/>
          <w:b/>
          <w:bCs/>
          <w:color w:val="auto"/>
          <w:spacing w:val="0"/>
          <w:w w:val="100"/>
          <w:kern w:val="0"/>
          <w:position w:val="0"/>
          <w:sz w:val="24"/>
          <w:szCs w:val="24"/>
          <w:lang w:val="en-US" w:eastAsia="zh-CN" w:bidi="ar-SA"/>
        </w:rPr>
        <w:t xml:space="preserve"> </w:t>
      </w:r>
      <w:r>
        <w:rPr>
          <w:rFonts w:hint="eastAsia" w:ascii="宋体" w:hAnsi="宋体" w:eastAsia="宋体" w:cs="宋体"/>
          <w:b/>
          <w:bCs/>
          <w:color w:val="auto"/>
          <w:spacing w:val="0"/>
          <w:w w:val="100"/>
          <w:kern w:val="0"/>
          <w:position w:val="0"/>
          <w:sz w:val="24"/>
          <w:szCs w:val="24"/>
          <w:lang w:val="en-US" w:bidi="ar-SA"/>
        </w:rPr>
        <w:t>工程合理性分析</w:t>
      </w:r>
      <w:bookmarkEnd w:id="77"/>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本项目为水电站建设项目，符合国家及地方产业政策。工程布局、水库淹没区均不涉及自然保护区、风景名胜区、永久基本农田。符合当时的国家能源发展规划，符合区域的生态功能区划，不涉及各类生态保护红线区。符合</w:t>
      </w:r>
      <w:r>
        <w:rPr>
          <w:rFonts w:hint="eastAsia" w:ascii="宋体" w:hAnsi="宋体" w:eastAsia="宋体" w:cs="宋体"/>
          <w:color w:val="auto"/>
          <w:spacing w:val="0"/>
          <w:w w:val="100"/>
          <w:kern w:val="0"/>
          <w:position w:val="0"/>
          <w:sz w:val="24"/>
          <w:szCs w:val="20"/>
          <w:lang w:val="en-US" w:eastAsia="zh-CN" w:bidi="ar-SA"/>
        </w:rPr>
        <w:t>富田水</w:t>
      </w:r>
      <w:r>
        <w:rPr>
          <w:rFonts w:hint="eastAsia" w:ascii="宋体" w:hAnsi="宋体" w:eastAsia="宋体" w:cs="宋体"/>
          <w:color w:val="auto"/>
          <w:spacing w:val="0"/>
          <w:w w:val="100"/>
          <w:kern w:val="0"/>
          <w:position w:val="0"/>
          <w:sz w:val="24"/>
          <w:szCs w:val="20"/>
          <w:lang w:val="en-US" w:bidi="ar-SA"/>
        </w:rPr>
        <w:t>流域规划，与区域的综合发展规划以及</w:t>
      </w:r>
      <w:r>
        <w:rPr>
          <w:rFonts w:hint="eastAsia" w:ascii="宋体" w:hAnsi="宋体" w:eastAsia="宋体" w:cs="宋体"/>
          <w:color w:val="auto"/>
          <w:spacing w:val="0"/>
          <w:w w:val="100"/>
          <w:kern w:val="0"/>
          <w:position w:val="0"/>
          <w:sz w:val="24"/>
          <w:szCs w:val="20"/>
          <w:lang w:val="en-US" w:eastAsia="zh-CN" w:bidi="ar-SA"/>
        </w:rPr>
        <w:t>青原区</w:t>
      </w:r>
      <w:r>
        <w:rPr>
          <w:rFonts w:hint="eastAsia" w:ascii="宋体" w:hAnsi="宋体" w:eastAsia="宋体" w:cs="宋体"/>
          <w:color w:val="auto"/>
          <w:spacing w:val="0"/>
          <w:w w:val="100"/>
          <w:kern w:val="0"/>
          <w:position w:val="0"/>
          <w:sz w:val="24"/>
          <w:szCs w:val="20"/>
          <w:lang w:val="en-US" w:bidi="ar-SA"/>
        </w:rPr>
        <w:t>的发展规划相适应，与</w:t>
      </w:r>
      <w:r>
        <w:rPr>
          <w:rFonts w:hint="eastAsia" w:ascii="宋体" w:hAnsi="宋体" w:eastAsia="宋体" w:cs="宋体"/>
          <w:color w:val="auto"/>
          <w:spacing w:val="0"/>
          <w:w w:val="100"/>
          <w:kern w:val="0"/>
          <w:position w:val="0"/>
          <w:sz w:val="24"/>
          <w:szCs w:val="20"/>
          <w:lang w:val="en-US" w:eastAsia="zh-CN" w:bidi="ar-SA"/>
        </w:rPr>
        <w:t>富田水</w:t>
      </w:r>
      <w:r>
        <w:rPr>
          <w:rFonts w:hint="eastAsia" w:ascii="宋体" w:hAnsi="宋体" w:eastAsia="宋体" w:cs="宋体"/>
          <w:color w:val="auto"/>
          <w:spacing w:val="0"/>
          <w:w w:val="100"/>
          <w:kern w:val="0"/>
          <w:position w:val="0"/>
          <w:sz w:val="24"/>
          <w:szCs w:val="20"/>
          <w:lang w:val="en-US" w:bidi="ar-SA"/>
        </w:rPr>
        <w:t>流域综合规划环评所提出的要求相符合。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再从环境损益角度来看，本项目的建设对生态环境、河岸稳定性、水质、水生生物、空气、噪声、泥沙淤积等均有负面影响；正面影响主要表现在对发电、社会经济等方面。从环境保护的单一角度看，建设本工程较不建本工程将带来的环境问题更多。但综合社会发展需要，只要在建设时对可能出现的环境问题给予足够的重视，并采取适当的措施，使环境影响降到最低程度，本工程实施和运行带来的社会和环境效益十分显著和长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因此，从促进社会经济发展和保护环境角度综合来看，本工程的建设是合理的。</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78" w:name="_Toc9124"/>
      <w:r>
        <w:rPr>
          <w:rFonts w:hint="eastAsia" w:ascii="宋体" w:hAnsi="宋体" w:eastAsia="宋体" w:cs="宋体"/>
          <w:b/>
          <w:bCs/>
          <w:color w:val="auto"/>
          <w:spacing w:val="0"/>
          <w:w w:val="100"/>
          <w:kern w:val="0"/>
          <w:position w:val="0"/>
          <w:sz w:val="24"/>
          <w:szCs w:val="24"/>
          <w:lang w:val="en-US" w:bidi="ar-SA"/>
        </w:rPr>
        <w:t>10.3</w:t>
      </w:r>
      <w:r>
        <w:rPr>
          <w:rFonts w:hint="eastAsia" w:ascii="宋体" w:hAnsi="宋体" w:eastAsia="宋体" w:cs="宋体"/>
          <w:b/>
          <w:bCs/>
          <w:color w:val="auto"/>
          <w:spacing w:val="0"/>
          <w:w w:val="100"/>
          <w:kern w:val="0"/>
          <w:position w:val="0"/>
          <w:sz w:val="24"/>
          <w:szCs w:val="24"/>
          <w:lang w:val="en-US" w:eastAsia="zh-CN" w:bidi="ar-SA"/>
        </w:rPr>
        <w:t xml:space="preserve"> </w:t>
      </w:r>
      <w:r>
        <w:rPr>
          <w:rFonts w:hint="eastAsia" w:ascii="宋体" w:hAnsi="宋体" w:eastAsia="宋体" w:cs="宋体"/>
          <w:b/>
          <w:bCs/>
          <w:color w:val="auto"/>
          <w:spacing w:val="0"/>
          <w:w w:val="100"/>
          <w:kern w:val="0"/>
          <w:position w:val="0"/>
          <w:sz w:val="24"/>
          <w:szCs w:val="24"/>
          <w:lang w:val="en-US" w:bidi="ar-SA"/>
        </w:rPr>
        <w:t>环境现状评价结论</w:t>
      </w:r>
      <w:bookmarkEnd w:id="78"/>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10.3.1 地表水</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rPr>
      </w:pPr>
      <w:r>
        <w:rPr>
          <w:rFonts w:hint="eastAsia" w:ascii="宋体" w:hAnsi="宋体" w:eastAsia="宋体" w:cs="宋体"/>
          <w:color w:val="auto"/>
          <w:spacing w:val="0"/>
          <w:w w:val="100"/>
          <w:kern w:val="0"/>
          <w:position w:val="0"/>
          <w:sz w:val="24"/>
          <w:szCs w:val="24"/>
        </w:rPr>
        <w:t>监测结果显示，各断面中的各项监测因子的标准指数均小于1，说明污染评价因子均符合《地表水环境质量标准》(GB3838-2002)Ⅲ类标准，评价水体的水质现状良好。</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10.3.2环境空气</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根据江西省生态环境厅发布的</w:t>
      </w:r>
      <w:r>
        <w:rPr>
          <w:rFonts w:hint="eastAsia" w:ascii="宋体" w:hAnsi="宋体" w:eastAsia="宋体" w:cs="宋体"/>
          <w:color w:val="auto"/>
          <w:spacing w:val="0"/>
          <w:w w:val="100"/>
          <w:kern w:val="0"/>
          <w:position w:val="0"/>
          <w:sz w:val="24"/>
          <w:szCs w:val="20"/>
          <w:lang w:val="en-US" w:eastAsia="zh-CN" w:bidi="ar-SA"/>
        </w:rPr>
        <w:t>青原区</w:t>
      </w:r>
      <w:r>
        <w:rPr>
          <w:rFonts w:hint="eastAsia" w:ascii="宋体" w:hAnsi="宋体" w:eastAsia="宋体" w:cs="宋体"/>
          <w:color w:val="auto"/>
          <w:spacing w:val="0"/>
          <w:w w:val="100"/>
          <w:kern w:val="0"/>
          <w:position w:val="0"/>
          <w:sz w:val="24"/>
          <w:szCs w:val="20"/>
          <w:lang w:val="en-US" w:bidi="ar-SA"/>
        </w:rPr>
        <w:t>2018年六项污染物浓度年均值，本项目所在的城市</w:t>
      </w:r>
      <w:r>
        <w:rPr>
          <w:rFonts w:hint="eastAsia" w:ascii="宋体" w:hAnsi="宋体" w:eastAsia="宋体" w:cs="宋体"/>
          <w:color w:val="auto"/>
          <w:spacing w:val="0"/>
          <w:w w:val="100"/>
          <w:kern w:val="0"/>
          <w:position w:val="0"/>
          <w:sz w:val="24"/>
          <w:szCs w:val="20"/>
          <w:lang w:val="en-US" w:eastAsia="zh-CN" w:bidi="ar-SA"/>
        </w:rPr>
        <w:t>青原区</w:t>
      </w:r>
      <w:r>
        <w:rPr>
          <w:rFonts w:hint="eastAsia" w:ascii="宋体" w:hAnsi="宋体" w:eastAsia="宋体" w:cs="宋体"/>
          <w:color w:val="auto"/>
          <w:spacing w:val="0"/>
          <w:w w:val="100"/>
          <w:kern w:val="0"/>
          <w:position w:val="0"/>
          <w:sz w:val="24"/>
          <w:szCs w:val="20"/>
          <w:lang w:val="en-US" w:bidi="ar-SA"/>
        </w:rPr>
        <w:t>SO</w:t>
      </w:r>
      <w:r>
        <w:rPr>
          <w:rFonts w:hint="eastAsia" w:ascii="宋体" w:hAnsi="宋体" w:eastAsia="宋体" w:cs="宋体"/>
          <w:color w:val="auto"/>
          <w:spacing w:val="0"/>
          <w:w w:val="100"/>
          <w:kern w:val="0"/>
          <w:position w:val="0"/>
          <w:sz w:val="24"/>
          <w:szCs w:val="20"/>
          <w:vertAlign w:val="subscript"/>
          <w:lang w:val="en-US" w:bidi="ar-SA"/>
        </w:rPr>
        <w:t>2</w:t>
      </w:r>
      <w:r>
        <w:rPr>
          <w:rFonts w:hint="eastAsia" w:ascii="宋体" w:hAnsi="宋体" w:eastAsia="宋体" w:cs="宋体"/>
          <w:color w:val="auto"/>
          <w:spacing w:val="0"/>
          <w:w w:val="100"/>
          <w:kern w:val="0"/>
          <w:position w:val="0"/>
          <w:sz w:val="24"/>
          <w:szCs w:val="20"/>
          <w:lang w:val="en-US" w:bidi="ar-SA"/>
        </w:rPr>
        <w:t>、NO</w:t>
      </w:r>
      <w:r>
        <w:rPr>
          <w:rFonts w:hint="eastAsia" w:ascii="宋体" w:hAnsi="宋体" w:eastAsia="宋体" w:cs="宋体"/>
          <w:color w:val="auto"/>
          <w:spacing w:val="0"/>
          <w:w w:val="100"/>
          <w:kern w:val="0"/>
          <w:position w:val="0"/>
          <w:sz w:val="24"/>
          <w:szCs w:val="20"/>
          <w:vertAlign w:val="subscript"/>
          <w:lang w:val="en-US" w:bidi="ar-SA"/>
        </w:rPr>
        <w:t>2</w:t>
      </w:r>
      <w:r>
        <w:rPr>
          <w:rFonts w:hint="eastAsia" w:ascii="宋体" w:hAnsi="宋体" w:eastAsia="宋体" w:cs="宋体"/>
          <w:color w:val="auto"/>
          <w:spacing w:val="0"/>
          <w:w w:val="100"/>
          <w:kern w:val="0"/>
          <w:position w:val="0"/>
          <w:sz w:val="24"/>
          <w:szCs w:val="20"/>
          <w:lang w:val="en-US" w:bidi="ar-SA"/>
        </w:rPr>
        <w:t>、PM</w:t>
      </w:r>
      <w:r>
        <w:rPr>
          <w:rFonts w:hint="eastAsia" w:ascii="宋体" w:hAnsi="宋体" w:eastAsia="宋体" w:cs="宋体"/>
          <w:color w:val="auto"/>
          <w:spacing w:val="0"/>
          <w:w w:val="100"/>
          <w:kern w:val="0"/>
          <w:position w:val="0"/>
          <w:sz w:val="24"/>
          <w:szCs w:val="20"/>
          <w:vertAlign w:val="subscript"/>
          <w:lang w:val="en-US" w:bidi="ar-SA"/>
        </w:rPr>
        <w:t>2.5</w:t>
      </w:r>
      <w:r>
        <w:rPr>
          <w:rFonts w:hint="eastAsia" w:ascii="宋体" w:hAnsi="宋体" w:eastAsia="宋体" w:cs="宋体"/>
          <w:color w:val="auto"/>
          <w:spacing w:val="0"/>
          <w:w w:val="100"/>
          <w:kern w:val="0"/>
          <w:position w:val="0"/>
          <w:sz w:val="24"/>
          <w:szCs w:val="20"/>
          <w:lang w:val="en-US" w:bidi="ar-SA"/>
        </w:rPr>
        <w:t>、PM</w:t>
      </w:r>
      <w:r>
        <w:rPr>
          <w:rFonts w:hint="eastAsia" w:ascii="宋体" w:hAnsi="宋体" w:eastAsia="宋体" w:cs="宋体"/>
          <w:color w:val="auto"/>
          <w:spacing w:val="0"/>
          <w:w w:val="100"/>
          <w:kern w:val="0"/>
          <w:position w:val="0"/>
          <w:sz w:val="24"/>
          <w:szCs w:val="20"/>
          <w:vertAlign w:val="subscript"/>
          <w:lang w:val="en-US" w:bidi="ar-SA"/>
        </w:rPr>
        <w:t>10</w:t>
      </w:r>
      <w:r>
        <w:rPr>
          <w:rFonts w:hint="eastAsia" w:ascii="宋体" w:hAnsi="宋体" w:eastAsia="宋体" w:cs="宋体"/>
          <w:color w:val="auto"/>
          <w:spacing w:val="0"/>
          <w:w w:val="100"/>
          <w:kern w:val="0"/>
          <w:position w:val="0"/>
          <w:sz w:val="24"/>
          <w:szCs w:val="20"/>
          <w:lang w:val="en-US" w:bidi="ar-SA"/>
        </w:rPr>
        <w:t>年均值及CO、O</w:t>
      </w:r>
      <w:r>
        <w:rPr>
          <w:rFonts w:hint="eastAsia" w:ascii="宋体" w:hAnsi="宋体" w:eastAsia="宋体" w:cs="宋体"/>
          <w:color w:val="auto"/>
          <w:spacing w:val="0"/>
          <w:w w:val="100"/>
          <w:kern w:val="0"/>
          <w:position w:val="0"/>
          <w:sz w:val="24"/>
          <w:szCs w:val="20"/>
          <w:vertAlign w:val="subscript"/>
          <w:lang w:val="en-US" w:bidi="ar-SA"/>
        </w:rPr>
        <w:t>3</w:t>
      </w:r>
      <w:r>
        <w:rPr>
          <w:rFonts w:hint="eastAsia" w:ascii="宋体" w:hAnsi="宋体" w:eastAsia="宋体" w:cs="宋体"/>
          <w:color w:val="auto"/>
          <w:spacing w:val="0"/>
          <w:w w:val="100"/>
          <w:kern w:val="0"/>
          <w:position w:val="0"/>
          <w:sz w:val="24"/>
          <w:szCs w:val="20"/>
          <w:lang w:val="en-US" w:bidi="ar-SA"/>
        </w:rPr>
        <w:t>日均值均满足标准要求，项目所在区为环境空气质量达标区域。</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10.3.3 声环境</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根据监测结果来看，噪声监测点的噪声监测结果均符合《声环境质量标准》（GB3096-2008）</w:t>
      </w:r>
      <w:r>
        <w:rPr>
          <w:rFonts w:hint="eastAsia" w:ascii="宋体" w:hAnsi="宋体" w:eastAsia="宋体" w:cs="宋体"/>
          <w:color w:val="auto"/>
          <w:spacing w:val="0"/>
          <w:w w:val="100"/>
          <w:kern w:val="0"/>
          <w:position w:val="0"/>
          <w:sz w:val="24"/>
          <w:szCs w:val="20"/>
          <w:lang w:val="en-US" w:eastAsia="zh-CN" w:bidi="ar-SA"/>
        </w:rPr>
        <w:t>2</w:t>
      </w:r>
      <w:r>
        <w:rPr>
          <w:rFonts w:hint="eastAsia" w:ascii="宋体" w:hAnsi="宋体" w:eastAsia="宋体" w:cs="宋体"/>
          <w:color w:val="auto"/>
          <w:spacing w:val="0"/>
          <w:w w:val="100"/>
          <w:kern w:val="0"/>
          <w:position w:val="0"/>
          <w:sz w:val="24"/>
          <w:szCs w:val="20"/>
          <w:lang w:val="en-US" w:bidi="ar-SA"/>
        </w:rPr>
        <w:t>类标准，说明区域域内总体噪声背景值较低，区域声环境现状较好。</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10.3.4 地下水</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根据监测结果来看，本次监测的各项监测项目的标准指数均小于1，说明污染评价因子基本符合《地下水质量标准》（GB/T14848-2017）Ⅲ类标准，说明周边地下水水质良好。</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10.3.5 生态环境</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根据《江西省生态功能区划》，该项目评价区属于</w:t>
      </w:r>
      <w:r>
        <w:rPr>
          <w:rFonts w:hint="eastAsia" w:ascii="宋体" w:hAnsi="宋体" w:eastAsia="宋体" w:cs="宋体"/>
          <w:color w:val="auto"/>
          <w:spacing w:val="0"/>
          <w:w w:val="100"/>
          <w:kern w:val="0"/>
          <w:position w:val="0"/>
          <w:sz w:val="24"/>
          <w:szCs w:val="24"/>
          <w:lang w:eastAsia="zh-CN"/>
        </w:rPr>
        <w:t>吉泰盆地中部农业环境保护和水土保持</w:t>
      </w:r>
      <w:r>
        <w:rPr>
          <w:rFonts w:hint="eastAsia" w:ascii="宋体" w:hAnsi="宋体" w:eastAsia="宋体" w:cs="宋体"/>
          <w:color w:val="auto"/>
          <w:spacing w:val="0"/>
          <w:w w:val="100"/>
          <w:kern w:val="0"/>
          <w:position w:val="0"/>
          <w:sz w:val="24"/>
          <w:szCs w:val="24"/>
        </w:rPr>
        <w:t>生态功能区</w:t>
      </w:r>
      <w:r>
        <w:rPr>
          <w:rFonts w:hint="eastAsia" w:ascii="宋体" w:hAnsi="宋体" w:eastAsia="宋体" w:cs="宋体"/>
          <w:color w:val="auto"/>
          <w:spacing w:val="0"/>
          <w:w w:val="100"/>
          <w:kern w:val="0"/>
          <w:position w:val="0"/>
          <w:sz w:val="24"/>
          <w:szCs w:val="20"/>
          <w:lang w:val="en-US" w:bidi="ar-SA"/>
        </w:rPr>
        <w:t>。统计显示，工程评价区内以人工景观为主，自然景观类型所占比例较小，耕地是评价区域内对景观具有控制作用的生态体系部分，是评价区的景观模地。</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0"/>
          <w:lang w:val="en-US" w:bidi="ar-SA"/>
        </w:rPr>
      </w:pPr>
      <w:r>
        <w:rPr>
          <w:rFonts w:hint="eastAsia" w:ascii="宋体" w:hAnsi="宋体" w:eastAsia="宋体" w:cs="宋体"/>
          <w:color w:val="auto"/>
          <w:spacing w:val="0"/>
          <w:w w:val="100"/>
          <w:kern w:val="0"/>
          <w:position w:val="0"/>
          <w:sz w:val="24"/>
          <w:szCs w:val="20"/>
          <w:lang w:val="en-US" w:bidi="ar-SA"/>
        </w:rPr>
        <w:t>经过调查，本项目库区内未发现有国家保护的珍稀水生动植物，也未发现洄游性鱼类。工程占地区陆域群落组成多为评价区常见种类，水域无国家、省级保护的鱼类和水生动物及产卵场，主要鱼类为一般鱼类。</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79" w:name="_Toc247"/>
      <w:r>
        <w:rPr>
          <w:rFonts w:hint="eastAsia" w:ascii="宋体" w:hAnsi="宋体" w:eastAsia="宋体" w:cs="宋体"/>
          <w:b/>
          <w:bCs/>
          <w:color w:val="auto"/>
          <w:spacing w:val="0"/>
          <w:w w:val="100"/>
          <w:kern w:val="0"/>
          <w:position w:val="0"/>
          <w:sz w:val="24"/>
          <w:szCs w:val="24"/>
          <w:lang w:val="en-US" w:bidi="ar-SA"/>
        </w:rPr>
        <w:t>10.4</w:t>
      </w:r>
      <w:r>
        <w:rPr>
          <w:rFonts w:hint="eastAsia" w:ascii="宋体" w:hAnsi="宋体" w:eastAsia="宋体" w:cs="宋体"/>
          <w:b/>
          <w:bCs/>
          <w:color w:val="auto"/>
          <w:spacing w:val="0"/>
          <w:w w:val="100"/>
          <w:kern w:val="0"/>
          <w:position w:val="0"/>
          <w:sz w:val="24"/>
          <w:szCs w:val="24"/>
          <w:lang w:val="en-US" w:eastAsia="zh-CN" w:bidi="ar-SA"/>
        </w:rPr>
        <w:t xml:space="preserve"> </w:t>
      </w:r>
      <w:r>
        <w:rPr>
          <w:rFonts w:hint="eastAsia" w:ascii="宋体" w:hAnsi="宋体" w:eastAsia="宋体" w:cs="宋体"/>
          <w:b/>
          <w:bCs/>
          <w:color w:val="auto"/>
          <w:spacing w:val="0"/>
          <w:w w:val="100"/>
          <w:kern w:val="0"/>
          <w:position w:val="0"/>
          <w:sz w:val="24"/>
          <w:szCs w:val="24"/>
          <w:lang w:val="en-US" w:bidi="ar-SA"/>
        </w:rPr>
        <w:t>环境影响评价结论</w:t>
      </w:r>
      <w:bookmarkEnd w:id="79"/>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10.4.1 对水文情势的影响</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按照本项目现状的正常蓄水位情况，回水线长度为50m，上游径流仅在回水线长度范围向沿河两侧蔓延，而后再上游则基本回归原水文情势情况，对整体河流上游水文不会产生较大范围的影响。</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szCs w:val="20"/>
          <w:lang w:val="en-US" w:bidi="ar-SA"/>
        </w:rPr>
      </w:pPr>
      <w:r>
        <w:rPr>
          <w:rFonts w:hint="eastAsia" w:ascii="宋体" w:hAnsi="宋体" w:eastAsia="宋体" w:cs="宋体"/>
          <w:color w:val="auto"/>
          <w:spacing w:val="0"/>
          <w:w w:val="100"/>
          <w:kern w:val="0"/>
          <w:position w:val="0"/>
          <w:szCs w:val="20"/>
          <w:lang w:val="en-US" w:bidi="ar-SA"/>
        </w:rPr>
        <w:t>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10.4.2 对地表水环境的影响</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①坝前上游河段的水文情势变化情况</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本项目现状建成大坝后，库内平均水深比天然条件下水位抬高1~2m；同时由于正常蓄水的原因，坝前的水流流速相比天然条件下有所减缓。</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由于本项目大坝没有调节库区水量的功能，工程运行以减少淹没损失，同时尽可能多的获取水头，以充分利用水利资源为原则。根据调查，按照本项目现状的正常蓄水位情况， 上游径流仅在回水线长度范围向沿河两侧蔓延，而后再上游则基本回归原水文情势情况，对整体河流上游水文不会产生较大范围的影响。</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②坝后下游河段的水文情势变化情况</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现状建成大坝后，坝后的发电机尾水位比天然条件下水位降低了1~2m；同时由于多数水量引入发电轮机的原因，坝后的水量出现大幅度的下降。不过，由于本项目大坝和发电机尾水位位于同一位置，在发电机尾水和大坝下泄生态流量汇合后，大坝下游的河流段很快就恢复了正常的水流态势，坝后不会形成明显的减脱水段，更不会形成断流，因此，不会对大坝下游的河段产生明显的水文情势变化的影响。</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③水温</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本项目属于混合型的水库，由于库区内水体交换频繁，停留时间较短，出入库水温基本无变化与天然水体温度一致，库内不会发生水温分层现象。</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④水质</w:t>
      </w:r>
    </w:p>
    <w:p>
      <w:pPr>
        <w:pStyle w:val="2"/>
        <w:pageBreakBefore w:val="0"/>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为避免生活污水直排的影响，鉴于本项目生活污水量较小，建设单位可设置改良式化粪池对生活污水进行预处理，预处理后可用作周边的农田灌溉，这样可确保项目产生的生活污水不直接排入水体，不会对下游河段水质产生明显的影响。</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10.4.3 环境空气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color w:val="auto"/>
          <w:spacing w:val="0"/>
          <w:w w:val="100"/>
          <w:kern w:val="0"/>
          <w:position w:val="0"/>
          <w:sz w:val="24"/>
          <w:szCs w:val="24"/>
          <w:lang w:val="en-US" w:bidi="ar-SA"/>
        </w:rPr>
      </w:pPr>
      <w:r>
        <w:rPr>
          <w:rFonts w:hint="eastAsia" w:ascii="宋体" w:hAnsi="宋体" w:eastAsia="宋体" w:cs="宋体"/>
          <w:color w:val="auto"/>
          <w:spacing w:val="0"/>
          <w:w w:val="100"/>
          <w:kern w:val="0"/>
          <w:position w:val="0"/>
          <w:sz w:val="24"/>
          <w:szCs w:val="24"/>
          <w:lang w:val="en-US" w:bidi="ar-SA"/>
        </w:rPr>
        <w:t>水电站在运营期无生产性废气产生，不会对周边空气环境产生影响。</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10.4.3 声环境</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bidi="ar-SA"/>
        </w:rPr>
      </w:pPr>
      <w:r>
        <w:rPr>
          <w:rFonts w:hint="eastAsia" w:ascii="宋体" w:hAnsi="宋体" w:eastAsia="宋体" w:cs="宋体"/>
          <w:color w:val="auto"/>
          <w:spacing w:val="0"/>
          <w:w w:val="100"/>
          <w:kern w:val="0"/>
          <w:position w:val="0"/>
          <w:sz w:val="24"/>
          <w:szCs w:val="24"/>
          <w:lang w:val="en-US" w:bidi="ar-SA"/>
        </w:rPr>
        <w:t>本项目水电站在运行过程中，发电机、各类泵等生产设备均将产生一定的机械噪声，噪声强度介于65~90dB(A)。在对机电设备采取减振、隔声等降噪措施，基本可使厂界噪声降至50dB(A)以下（见第四章的噪声检测结果），可以满足《工业企业厂界环境噪声排放标准》（GB12348-2008）</w:t>
      </w:r>
      <w:r>
        <w:rPr>
          <w:rFonts w:hint="eastAsia" w:ascii="宋体" w:hAnsi="宋体" w:eastAsia="宋体" w:cs="宋体"/>
          <w:color w:val="auto"/>
          <w:spacing w:val="0"/>
          <w:w w:val="100"/>
          <w:kern w:val="0"/>
          <w:position w:val="0"/>
          <w:sz w:val="24"/>
          <w:szCs w:val="24"/>
          <w:lang w:val="en-US" w:eastAsia="zh-CN" w:bidi="ar-SA"/>
        </w:rPr>
        <w:t>2</w:t>
      </w:r>
      <w:r>
        <w:rPr>
          <w:rFonts w:hint="eastAsia" w:ascii="宋体" w:hAnsi="宋体" w:eastAsia="宋体" w:cs="宋体"/>
          <w:color w:val="auto"/>
          <w:spacing w:val="0"/>
          <w:w w:val="100"/>
          <w:kern w:val="0"/>
          <w:position w:val="0"/>
          <w:sz w:val="24"/>
          <w:szCs w:val="24"/>
          <w:lang w:val="en-US" w:bidi="ar-SA"/>
        </w:rPr>
        <w:t>类标准，不会对周边声环境产生明显的影响。</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10.4.4 对地下水环境的影响</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bidi="ar-SA"/>
        </w:rPr>
      </w:pPr>
      <w:r>
        <w:rPr>
          <w:rFonts w:hint="eastAsia" w:ascii="宋体" w:hAnsi="宋体" w:eastAsia="宋体" w:cs="宋体"/>
          <w:color w:val="auto"/>
          <w:spacing w:val="0"/>
          <w:w w:val="100"/>
          <w:kern w:val="0"/>
          <w:position w:val="0"/>
          <w:sz w:val="24"/>
          <w:szCs w:val="24"/>
          <w:lang w:val="en-US" w:bidi="ar-SA"/>
        </w:rPr>
        <w:t>该地区不存在与地下水相关的环境问题，项目的建设并不会带来新的地下水环境问题，不会对地下水环境带来明显影响。</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10.4.5 固废</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bidi="ar-SA"/>
        </w:rPr>
      </w:pPr>
      <w:r>
        <w:rPr>
          <w:rFonts w:hint="eastAsia" w:ascii="宋体" w:hAnsi="宋体" w:eastAsia="宋体" w:cs="宋体"/>
          <w:color w:val="auto"/>
          <w:spacing w:val="0"/>
          <w:w w:val="100"/>
          <w:kern w:val="0"/>
          <w:position w:val="0"/>
          <w:sz w:val="24"/>
          <w:szCs w:val="24"/>
          <w:lang w:val="en-US" w:bidi="ar-SA"/>
        </w:rPr>
        <w:t>本项目运行期产生的固体废物主要包括管理运行人员生活垃圾、打捞垃圾和废机油。目前，生活垃圾、打捞垃圾均可以做到及时处理，没有造成对周围环境的污染。</w:t>
      </w:r>
    </w:p>
    <w:p>
      <w:pPr>
        <w:pageBreakBefore w:val="0"/>
        <w:widowControl/>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bidi="ar-SA"/>
        </w:rPr>
      </w:pPr>
      <w:r>
        <w:rPr>
          <w:rFonts w:hint="eastAsia" w:ascii="宋体" w:hAnsi="宋体" w:eastAsia="宋体" w:cs="宋体"/>
          <w:color w:val="auto"/>
          <w:spacing w:val="0"/>
          <w:w w:val="100"/>
          <w:kern w:val="0"/>
          <w:position w:val="0"/>
          <w:sz w:val="24"/>
          <w:szCs w:val="24"/>
          <w:lang w:val="en-US" w:bidi="ar-SA"/>
        </w:rPr>
        <w:t>但是，项目运行时产生的废机油属危险废物，企业暂未进行妥善处置。因此，建设单位应按环评要求，设置危险废物专用收集桶，以及建立危险废物暂存间；规划危险废物处置台账，将危险废物发电机废油委托有资质单位安全处置。通过以上整改后，本项目的各类固废去向合理，不会对项目周围环境造成二次污染。</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10.4.6 对陆生植物和植被的影响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施工期已经结束，随着水土保持措施的落实，经现场调查，本项目临时施工占地区的植物和植被现已恢复。受淹没影响的植被在评价区不管是库区上游和下游、还是淹没线以上区域均可见到相似的群落。因此，不存在因局部植被淹没而导致种群消失或灭迹，更不会影响区域生态系统的完整性。另外，在对库区现场调查中，未发现国家重点保护植物的分布，因此，水库蓄水不会对国家重点保护植物产生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下游河段流量减少，水位降低将会导致河流两岸滩地面积增加、湿地面积相应减少，部分湿地植物的生长将会受到影响。</w:t>
      </w:r>
    </w:p>
    <w:p>
      <w:pPr>
        <w:keepNext/>
        <w:keepLines/>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2"/>
        <w:rPr>
          <w:rFonts w:hint="eastAsia" w:ascii="宋体" w:hAnsi="宋体" w:eastAsia="宋体" w:cs="宋体"/>
          <w:b/>
          <w:bCs/>
          <w:color w:val="auto"/>
          <w:spacing w:val="0"/>
          <w:w w:val="100"/>
          <w:kern w:val="0"/>
          <w:position w:val="0"/>
          <w:sz w:val="24"/>
          <w:szCs w:val="32"/>
          <w:lang w:val="en-US" w:eastAsia="zh-CN" w:bidi="ar-SA"/>
        </w:rPr>
      </w:pPr>
      <w:r>
        <w:rPr>
          <w:rFonts w:hint="eastAsia" w:ascii="宋体" w:hAnsi="宋体" w:eastAsia="宋体" w:cs="宋体"/>
          <w:b/>
          <w:bCs/>
          <w:color w:val="auto"/>
          <w:spacing w:val="0"/>
          <w:w w:val="100"/>
          <w:kern w:val="0"/>
          <w:position w:val="0"/>
          <w:sz w:val="24"/>
          <w:szCs w:val="32"/>
          <w:lang w:val="en-US" w:eastAsia="zh-CN" w:bidi="ar-SA"/>
        </w:rPr>
        <w:t>10.4.7 对陆生动物的影响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施工期已经结束，对两栖类动物、爬行类动物的影响已消除。水电站建库蓄水后，库周水文、气候、土壤等环境条件的改变有利于库周水生植被的生长，对于喜好水质良好、水草较多、水体清澈环境并依赖水体完成繁殖过程的两栖类动物营造较好的生存环境，有利于它们的繁殖和生长。</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水电站水库蓄水运行后，库周及附近地区水文和气候条件的变化有利于陆生植被的恢复，对鸟类的栖息生境形成正面影响，对库周附近地区鸟类的种类、数量和分布有利。水电站水库蓄水运行，一部分农田、沟渠、草滩、灌草丛被淹没，同时，水库形成后，气候和生态环境的变化有利于库岸植被的生长，在人为干扰因素减少的情况下有利于库植被的恢复，适应草滩、水沟、森林和灌草丛等栖息环境以及以上述环境为主要栖息生境和食物来源的动物类群将得到恢复。</w:t>
      </w:r>
    </w:p>
    <w:p>
      <w:pPr>
        <w:keepNext/>
        <w:keepLines/>
        <w:pageBreakBefore w:val="0"/>
        <w:kinsoku/>
        <w:wordWrap/>
        <w:overflowPunct/>
        <w:topLinePunct w:val="0"/>
        <w:autoSpaceDE/>
        <w:autoSpaceDN/>
        <w:bidi w:val="0"/>
        <w:adjustRightInd/>
        <w:snapToGrid/>
        <w:spacing w:line="360" w:lineRule="auto"/>
        <w:jc w:val="both"/>
        <w:outlineLvl w:val="2"/>
        <w:rPr>
          <w:rFonts w:hint="eastAsia" w:ascii="宋体" w:hAnsi="宋体" w:eastAsia="宋体" w:cs="宋体"/>
          <w:b/>
          <w:bCs/>
          <w:color w:val="auto"/>
          <w:spacing w:val="0"/>
          <w:w w:val="100"/>
          <w:kern w:val="0"/>
          <w:position w:val="0"/>
          <w:sz w:val="24"/>
          <w:szCs w:val="32"/>
          <w:lang w:val="en-US" w:bidi="ar-SA"/>
        </w:rPr>
      </w:pPr>
      <w:r>
        <w:rPr>
          <w:rFonts w:hint="eastAsia" w:ascii="宋体" w:hAnsi="宋体" w:eastAsia="宋体" w:cs="宋体"/>
          <w:b/>
          <w:bCs/>
          <w:color w:val="auto"/>
          <w:spacing w:val="0"/>
          <w:w w:val="100"/>
          <w:kern w:val="0"/>
          <w:position w:val="0"/>
          <w:sz w:val="24"/>
          <w:szCs w:val="32"/>
          <w:lang w:val="en-US" w:bidi="ar-SA"/>
        </w:rPr>
        <w:t>10.4.8 对水生生物的影响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由于大坝对河流的阻隔作用以及水文情势的改变，将对河流中水生生物特别是鱼类繁殖产生明显的影响。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库区来水为天然径流，营养物质、浮游植物外源性输入有限，水体营养水平较低，浮游植物现存量总体仍会较低。水库形成后，由于浮游植物的优势品种将由流水种类逐渐向喜静水种类变化，浮游动物的种类组成也将随之发生变化，原河流中种类和数量较少的枝角类和桡足类在水库中出现了增加，轮虫的种类和数量也呈不断增长趋势。本项目形成的水库调节性能差，对河道水位抬升较小，底层溶解氧变化较小，底栖动物演替变化将不会很明显。</w:t>
      </w:r>
    </w:p>
    <w:p>
      <w:pPr>
        <w:keepNext/>
        <w:keepLines/>
        <w:pageBreakBefore w:val="0"/>
        <w:kinsoku/>
        <w:wordWrap/>
        <w:overflowPunct/>
        <w:topLinePunct w:val="0"/>
        <w:autoSpaceDE/>
        <w:autoSpaceDN/>
        <w:bidi w:val="0"/>
        <w:adjustRightInd/>
        <w:snapToGrid/>
        <w:spacing w:line="360" w:lineRule="auto"/>
        <w:jc w:val="both"/>
        <w:outlineLvl w:val="2"/>
        <w:rPr>
          <w:rFonts w:hint="eastAsia" w:ascii="宋体" w:hAnsi="宋体" w:eastAsia="宋体" w:cs="宋体"/>
          <w:b/>
          <w:bCs/>
          <w:color w:val="auto"/>
          <w:spacing w:val="0"/>
          <w:w w:val="100"/>
          <w:kern w:val="0"/>
          <w:position w:val="0"/>
          <w:sz w:val="24"/>
          <w:szCs w:val="32"/>
          <w:lang w:val="en-US" w:bidi="ar-SA"/>
        </w:rPr>
      </w:pPr>
      <w:r>
        <w:rPr>
          <w:rFonts w:hint="eastAsia" w:ascii="宋体" w:hAnsi="宋体" w:eastAsia="宋体" w:cs="宋体"/>
          <w:b/>
          <w:bCs/>
          <w:color w:val="auto"/>
          <w:spacing w:val="0"/>
          <w:w w:val="100"/>
          <w:kern w:val="0"/>
          <w:position w:val="0"/>
          <w:sz w:val="24"/>
          <w:szCs w:val="32"/>
          <w:lang w:val="en-US" w:bidi="ar-SA"/>
        </w:rPr>
        <w:t>10.4.9 社会环境影响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本项目对社会环境的影响总体表现为良性影响，水资源利用程度明显提高。</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80" w:name="_Toc20617"/>
      <w:r>
        <w:rPr>
          <w:rFonts w:hint="eastAsia" w:ascii="宋体" w:hAnsi="宋体" w:eastAsia="宋体" w:cs="宋体"/>
          <w:b/>
          <w:bCs/>
          <w:color w:val="auto"/>
          <w:spacing w:val="0"/>
          <w:w w:val="100"/>
          <w:kern w:val="0"/>
          <w:position w:val="0"/>
          <w:sz w:val="24"/>
          <w:szCs w:val="24"/>
          <w:lang w:val="en-US" w:bidi="ar-SA"/>
        </w:rPr>
        <w:t>10.5 环境保护措施</w:t>
      </w:r>
      <w:bookmarkEnd w:id="80"/>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（1）水环境保护措施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电站生活区设置有化粪池，因本项目产生的水量较少，生活污水经改良式化粪池处理后，尾水用于绿化或周边农田的灌溉使用，不排向周边的水体。</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（2）大气环境保护措施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水电站的大气污染源主要是食堂油烟。食堂厨房配套 1 套静电除油设备，油烟废气经静电除油处理后引至屋顶排放。</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（3）声环境保护措施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水电站在运行过程中的噪声来源主要是发电机、空压机、各类泵等生产设备产生的机械噪声，采取“建筑物厂房隔声、厂区绿化”等降噪措施。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（4）固体废物治理措施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①生活垃圾处置</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由于本项目生活垃圾产生量较小，采取垃圾桶集中收集后，委托专业清运人员，定期运至生活垃圾填埋场，以避免对周围区域生态环境造成不利影响。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②电站格栅打捞垃圾</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针对电站格栅打捞垃圾，本项目配备相应的打捞工具。打捞搜集的漂浮物运至坝区的垃圾转运站，再每周定期清运至附近垃圾填埋场进行填埋。</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③危险废物处置</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设置危险废物收集桶以及危险废物暂存间，建立危险废物处置台账，将危险废物发电机废油、油渣、含油废液委托有资质单位安全处置。</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（5）水生生物保护措施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根据现场调查，评价区内虽无国家、省级保护的鱼类和水生动物及产卵场，主要鱼类为一般鱼类，建议建设单位在不影响水库库区Ⅲ类水质要求的情况下，采取增殖放流措施，每年在水库库区和坝址下游等处静水区域投放适当数量与现有鱼类种类相同的鱼苗，其鱼苗投放的数量和方式应征得当地农业渔业主管部门和环保部门的意见。</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（6）植物保护及恢复措施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建设单位已对库区和坝下减脱水河段沿河两岸的樟树及大胸径树木进行实地勘察，未发现需保护或移栽的树木。</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建设单位对工程临时占地产生的次生祼地须采取表土剥离、祼地复土、植被恢复等措施。对石料场、弃渣场也进行了植被恢复。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（7）陆生动物保护措施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恢复了堤岸附近以及取土场的植被，同时尽快恢复了工程临时占用的林地，改善了鸟类、爬行类、兽类等栖息地环境。</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（8）生态基流措施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水电站在坝体右侧设置冲砂闸门控制下泄，最小下泄生态流量为</w:t>
      </w:r>
      <w:r>
        <w:rPr>
          <w:rFonts w:hint="eastAsia" w:ascii="宋体" w:hAnsi="宋体" w:eastAsia="宋体" w:cs="宋体"/>
          <w:color w:val="auto"/>
          <w:spacing w:val="0"/>
          <w:w w:val="100"/>
          <w:kern w:val="0"/>
          <w:position w:val="0"/>
          <w:lang w:val="en-US" w:eastAsia="zh-CN" w:bidi="ar-SA"/>
        </w:rPr>
        <w:t>0.054m</w:t>
      </w:r>
      <w:r>
        <w:rPr>
          <w:rFonts w:hint="eastAsia" w:ascii="宋体" w:hAnsi="宋体" w:eastAsia="宋体" w:cs="宋体"/>
          <w:color w:val="auto"/>
          <w:spacing w:val="0"/>
          <w:w w:val="100"/>
          <w:kern w:val="0"/>
          <w:position w:val="0"/>
          <w:vertAlign w:val="superscript"/>
          <w:lang w:val="en-US" w:eastAsia="zh-CN" w:bidi="ar-SA"/>
        </w:rPr>
        <w:t>3</w:t>
      </w:r>
      <w:r>
        <w:rPr>
          <w:rFonts w:hint="eastAsia" w:ascii="宋体" w:hAnsi="宋体" w:eastAsia="宋体" w:cs="宋体"/>
          <w:color w:val="auto"/>
          <w:spacing w:val="0"/>
          <w:w w:val="100"/>
          <w:kern w:val="0"/>
          <w:position w:val="0"/>
          <w:lang w:val="en-US" w:eastAsia="zh-CN" w:bidi="ar-SA"/>
        </w:rPr>
        <w:t>/s</w:t>
      </w:r>
      <w:r>
        <w:rPr>
          <w:rFonts w:hint="eastAsia" w:ascii="宋体" w:hAnsi="宋体" w:eastAsia="宋体" w:cs="宋体"/>
          <w:color w:val="auto"/>
          <w:spacing w:val="0"/>
          <w:w w:val="100"/>
          <w:kern w:val="0"/>
          <w:position w:val="0"/>
          <w:lang w:val="en-US" w:bidi="ar-SA"/>
        </w:rPr>
        <w:t>，可满足生态用水需要水量的要求。冲砂闸处增设一套流量监控设备，实时监控下泄生态用水流量情况。严格按照下泄最小生态流量的要求运行，确保河流不存在减脱水情况。</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（9）保证农灌用水的措施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采取抽水灌溉、修建灌溉渠道措施，确保农业用水需水量的要求。</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（10）人群健康保护措施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开展预防性卫生工作，针对库区的环境特点，认真搞好灭鼠灭蚊工作，清除库周围杂草并消灭库区可能的虫媒繁殖场所，搞好计划免疫的预防接种。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（11）景观保护措施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按照水土保持措施方案对景观进行保护和修复，避免引起新的植被破坏和水土流失。</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81" w:name="_Toc29989"/>
      <w:r>
        <w:rPr>
          <w:rFonts w:hint="eastAsia" w:ascii="宋体" w:hAnsi="宋体" w:eastAsia="宋体" w:cs="宋体"/>
          <w:b/>
          <w:bCs/>
          <w:color w:val="auto"/>
          <w:spacing w:val="0"/>
          <w:w w:val="100"/>
          <w:kern w:val="0"/>
          <w:position w:val="0"/>
          <w:sz w:val="24"/>
          <w:szCs w:val="24"/>
          <w:lang w:val="en-US" w:bidi="ar-SA"/>
        </w:rPr>
        <w:t>10.6</w:t>
      </w:r>
      <w:r>
        <w:rPr>
          <w:rFonts w:hint="eastAsia" w:ascii="宋体" w:hAnsi="宋体" w:eastAsia="宋体" w:cs="宋体"/>
          <w:b/>
          <w:bCs/>
          <w:color w:val="auto"/>
          <w:spacing w:val="0"/>
          <w:w w:val="100"/>
          <w:kern w:val="0"/>
          <w:position w:val="0"/>
          <w:sz w:val="24"/>
          <w:szCs w:val="24"/>
          <w:lang w:val="en-US" w:eastAsia="zh-CN" w:bidi="ar-SA"/>
        </w:rPr>
        <w:t xml:space="preserve"> </w:t>
      </w:r>
      <w:r>
        <w:rPr>
          <w:rFonts w:hint="eastAsia" w:ascii="宋体" w:hAnsi="宋体" w:eastAsia="宋体" w:cs="宋体"/>
          <w:b/>
          <w:bCs/>
          <w:color w:val="auto"/>
          <w:spacing w:val="0"/>
          <w:w w:val="100"/>
          <w:kern w:val="0"/>
          <w:position w:val="0"/>
          <w:sz w:val="24"/>
          <w:szCs w:val="24"/>
          <w:lang w:val="en-US" w:bidi="ar-SA"/>
        </w:rPr>
        <w:t>环境管理与监测</w:t>
      </w:r>
      <w:bookmarkEnd w:id="81"/>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建设单位设立环境管理办公室，负责项目环境管理事务。各级环保及水行政主管等部门对各阶段环境保护工作进行监督。根据与工程建设紧密结合、科学性、全面性、代表性和可行性的原则，结合工程建设区和区域环境特点，建立水电站环境监测系统，包括水环境监测、大气环境监测、人群健康观测、生态环境监测、水土流失监测等，落实环境监测计划。</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82" w:name="_Toc12168"/>
      <w:r>
        <w:rPr>
          <w:rFonts w:hint="eastAsia" w:ascii="宋体" w:hAnsi="宋体" w:eastAsia="宋体" w:cs="宋体"/>
          <w:b/>
          <w:bCs/>
          <w:color w:val="auto"/>
          <w:spacing w:val="0"/>
          <w:w w:val="100"/>
          <w:kern w:val="0"/>
          <w:position w:val="0"/>
          <w:sz w:val="24"/>
          <w:szCs w:val="24"/>
          <w:lang w:val="en-US" w:bidi="ar-SA"/>
        </w:rPr>
        <w:t>10.</w:t>
      </w:r>
      <w:r>
        <w:rPr>
          <w:rFonts w:hint="eastAsia" w:ascii="宋体" w:hAnsi="宋体" w:eastAsia="宋体" w:cs="宋体"/>
          <w:b/>
          <w:bCs/>
          <w:color w:val="auto"/>
          <w:spacing w:val="0"/>
          <w:w w:val="100"/>
          <w:kern w:val="0"/>
          <w:position w:val="0"/>
          <w:sz w:val="24"/>
          <w:szCs w:val="24"/>
          <w:lang w:val="en-US" w:eastAsia="zh-CN" w:bidi="ar-SA"/>
        </w:rPr>
        <w:t xml:space="preserve">7 </w:t>
      </w:r>
      <w:r>
        <w:rPr>
          <w:rFonts w:hint="eastAsia" w:ascii="宋体" w:hAnsi="宋体" w:eastAsia="宋体" w:cs="宋体"/>
          <w:b/>
          <w:bCs/>
          <w:color w:val="auto"/>
          <w:spacing w:val="0"/>
          <w:w w:val="100"/>
          <w:kern w:val="0"/>
          <w:position w:val="0"/>
          <w:sz w:val="24"/>
          <w:szCs w:val="24"/>
          <w:lang w:val="en-US" w:bidi="ar-SA"/>
        </w:rPr>
        <w:t>环境风险分析</w:t>
      </w:r>
      <w:bookmarkEnd w:id="82"/>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风险识别：工程营运间，存在潜在的事故风险和环境风险，主要包括水库渗漏风险、洪水风险、溃坝风险、水质污染风险、溢油风险、外来物种潜在生态风险、水体富营养化风险等。</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环境风险防范措施：针对性地加强洪水的测报工作，加强大坝安全监测；加强风险管理；加强日常维护、安全巡察工作；针对水质污染存在的风险，要因地制宜进行植树造林，加强水土流失治理，建立完善的水质监测及其通讯系统，当事故发生时，能迅速采取应急措施，减免水质受到污染的影响程度。</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83" w:name="_Toc8487"/>
      <w:r>
        <w:rPr>
          <w:rFonts w:hint="eastAsia" w:ascii="宋体" w:hAnsi="宋体" w:eastAsia="宋体" w:cs="宋体"/>
          <w:b/>
          <w:bCs/>
          <w:color w:val="auto"/>
          <w:spacing w:val="0"/>
          <w:w w:val="100"/>
          <w:kern w:val="0"/>
          <w:position w:val="0"/>
          <w:sz w:val="24"/>
          <w:szCs w:val="24"/>
          <w:lang w:val="en-US" w:bidi="ar-SA"/>
        </w:rPr>
        <w:t>10.</w:t>
      </w:r>
      <w:r>
        <w:rPr>
          <w:rFonts w:hint="eastAsia" w:ascii="宋体" w:hAnsi="宋体" w:eastAsia="宋体" w:cs="宋体"/>
          <w:b/>
          <w:bCs/>
          <w:color w:val="auto"/>
          <w:spacing w:val="0"/>
          <w:w w:val="100"/>
          <w:kern w:val="0"/>
          <w:position w:val="0"/>
          <w:sz w:val="24"/>
          <w:szCs w:val="24"/>
          <w:lang w:val="en-US" w:eastAsia="zh-CN" w:bidi="ar-SA"/>
        </w:rPr>
        <w:t>8</w:t>
      </w:r>
      <w:r>
        <w:rPr>
          <w:rFonts w:hint="eastAsia" w:ascii="宋体" w:hAnsi="宋体" w:eastAsia="宋体" w:cs="宋体"/>
          <w:b/>
          <w:bCs/>
          <w:color w:val="auto"/>
          <w:spacing w:val="0"/>
          <w:w w:val="100"/>
          <w:kern w:val="0"/>
          <w:position w:val="0"/>
          <w:sz w:val="24"/>
          <w:szCs w:val="24"/>
          <w:lang w:val="en-US" w:bidi="ar-SA"/>
        </w:rPr>
        <w:t xml:space="preserve"> 环境影响综合评价结论</w:t>
      </w:r>
      <w:bookmarkEnd w:id="83"/>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本项目符合环境保护相关法律法规和政策，可以满足</w:t>
      </w:r>
      <w:r>
        <w:rPr>
          <w:rFonts w:hint="eastAsia" w:ascii="宋体" w:hAnsi="宋体" w:eastAsia="宋体" w:cs="宋体"/>
          <w:color w:val="auto"/>
          <w:spacing w:val="0"/>
          <w:w w:val="100"/>
          <w:kern w:val="0"/>
          <w:position w:val="0"/>
          <w:lang w:val="en-US" w:eastAsia="zh-CN" w:bidi="ar-SA"/>
        </w:rPr>
        <w:t>富田水流域</w:t>
      </w:r>
      <w:r>
        <w:rPr>
          <w:rFonts w:hint="eastAsia" w:ascii="宋体" w:hAnsi="宋体" w:eastAsia="宋体" w:cs="宋体"/>
          <w:color w:val="auto"/>
          <w:spacing w:val="0"/>
          <w:w w:val="100"/>
          <w:kern w:val="0"/>
          <w:position w:val="0"/>
          <w:lang w:val="en-US" w:bidi="ar-SA"/>
        </w:rPr>
        <w:t>综合规划、符合国家能源发展规划，符合</w:t>
      </w:r>
      <w:r>
        <w:rPr>
          <w:rFonts w:hint="eastAsia" w:ascii="宋体" w:hAnsi="宋体" w:eastAsia="宋体" w:cs="宋体"/>
          <w:color w:val="auto"/>
          <w:spacing w:val="0"/>
          <w:w w:val="100"/>
          <w:kern w:val="0"/>
          <w:position w:val="0"/>
          <w:lang w:val="en-US" w:eastAsia="zh-CN" w:bidi="ar-SA"/>
        </w:rPr>
        <w:t>富田水流域</w:t>
      </w:r>
      <w:r>
        <w:rPr>
          <w:rFonts w:hint="eastAsia" w:ascii="宋体" w:hAnsi="宋体" w:eastAsia="宋体" w:cs="宋体"/>
          <w:color w:val="auto"/>
          <w:spacing w:val="0"/>
          <w:w w:val="100"/>
          <w:kern w:val="0"/>
          <w:position w:val="0"/>
          <w:lang w:val="en-US" w:bidi="ar-SA"/>
        </w:rPr>
        <w:t>水电规划，符合</w:t>
      </w:r>
      <w:r>
        <w:rPr>
          <w:rFonts w:hint="eastAsia" w:ascii="宋体" w:hAnsi="宋体" w:eastAsia="宋体" w:cs="宋体"/>
          <w:color w:val="auto"/>
          <w:spacing w:val="0"/>
          <w:w w:val="100"/>
          <w:kern w:val="0"/>
          <w:position w:val="0"/>
          <w:lang w:val="en-US" w:eastAsia="zh-CN" w:bidi="ar-SA"/>
        </w:rPr>
        <w:t>富田水流域</w:t>
      </w:r>
      <w:r>
        <w:rPr>
          <w:rFonts w:hint="eastAsia" w:ascii="宋体" w:hAnsi="宋体" w:eastAsia="宋体" w:cs="宋体"/>
          <w:color w:val="auto"/>
          <w:spacing w:val="0"/>
          <w:w w:val="100"/>
          <w:kern w:val="0"/>
          <w:position w:val="0"/>
          <w:lang w:val="en-US" w:bidi="ar-SA"/>
        </w:rPr>
        <w:t>规划环评的要求，本项目的布局、开发方式及工程规模等主要参数总体符合规划。</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经过调查，本项目的施工组织方案基本合理，对弃土（渣）场等均落实了水土流失和施工迹地生态恢复等措施，对施工期各类废（污）水、废气、噪声、固体废物等也提出了防治或处置措施，符合环境保护相关标准和要求，施工期间没有对周围生态环境和敏感目标产生重大不利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的工程布局和水库淹没区均没有占用自然保护区、风景名胜区、永久基本农田，亦不涉及饮用水水源保护区。在采取了相应的泄放设施及在线监测设施和管理措施，不会对坝址下游水文情势造成不利生态环境影响。本项目也不会对流域水质造成不利影响，水质可以符合水环境功能区和水功能区要求，下泄水也满足坝址下游河道水生生态、水环境、景观、湿地等生态环境用水及下游生产、生活取水要求，不会造成脱水河段和对农灌、水生生物等造成重大不利影响。</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本项目在采取鱼类增殖措施后，流域的水生生物的生境、物种、资源量的损失以及阻隔影响等能够得到缓解和控制。</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本项目不存在移民安置。本项目不会带来外来物种入侵或扩散，相关河段受到污染或产生富营养化的环境风险较低。本评价报告已经按相关导则及规定要求，为建设单位制定了相应的生态、水环境等监测计划。</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综合来看，本项目工程的建设对生态与环境的影响有利有弊，而弊端均可以采取防治和改善措施予以减免。建设单位应切实落实本评价报告所提出的各项措施和对策，减免各种不利影响，做到开发与保护并重，从而促进生态环境、经济和社会的协调发展。总体上来讲，本项目建设从环境保护角度来看是可行的。</w:t>
      </w:r>
    </w:p>
    <w:p>
      <w:pPr>
        <w:keepNext/>
        <w:keepLines/>
        <w:pageBreakBefore w:val="0"/>
        <w:kinsoku/>
        <w:wordWrap/>
        <w:overflowPunct/>
        <w:topLinePunct w:val="0"/>
        <w:autoSpaceDE/>
        <w:autoSpaceDN/>
        <w:bidi w:val="0"/>
        <w:adjustRightInd/>
        <w:snapToGrid/>
        <w:spacing w:line="360" w:lineRule="auto"/>
        <w:jc w:val="both"/>
        <w:outlineLvl w:val="1"/>
        <w:rPr>
          <w:rFonts w:hint="eastAsia" w:ascii="宋体" w:hAnsi="宋体" w:eastAsia="宋体" w:cs="宋体"/>
          <w:b/>
          <w:bCs/>
          <w:color w:val="auto"/>
          <w:spacing w:val="0"/>
          <w:w w:val="100"/>
          <w:kern w:val="0"/>
          <w:position w:val="0"/>
          <w:sz w:val="24"/>
          <w:szCs w:val="24"/>
          <w:lang w:val="en-US" w:bidi="ar-SA"/>
        </w:rPr>
      </w:pPr>
      <w:bookmarkStart w:id="84" w:name="_Toc23967"/>
      <w:r>
        <w:rPr>
          <w:rFonts w:hint="eastAsia" w:ascii="宋体" w:hAnsi="宋体" w:eastAsia="宋体" w:cs="宋体"/>
          <w:b/>
          <w:bCs/>
          <w:color w:val="auto"/>
          <w:spacing w:val="0"/>
          <w:w w:val="100"/>
          <w:kern w:val="0"/>
          <w:position w:val="0"/>
          <w:sz w:val="24"/>
          <w:szCs w:val="24"/>
          <w:lang w:val="en-US" w:bidi="ar-SA"/>
        </w:rPr>
        <w:t>10.</w:t>
      </w:r>
      <w:r>
        <w:rPr>
          <w:rFonts w:hint="eastAsia" w:ascii="宋体" w:hAnsi="宋体" w:eastAsia="宋体" w:cs="宋体"/>
          <w:b/>
          <w:bCs/>
          <w:color w:val="auto"/>
          <w:spacing w:val="0"/>
          <w:w w:val="100"/>
          <w:kern w:val="0"/>
          <w:position w:val="0"/>
          <w:sz w:val="24"/>
          <w:szCs w:val="24"/>
          <w:lang w:val="en-US" w:eastAsia="zh-CN" w:bidi="ar-SA"/>
        </w:rPr>
        <w:t>9</w:t>
      </w:r>
      <w:r>
        <w:rPr>
          <w:rFonts w:hint="eastAsia" w:ascii="宋体" w:hAnsi="宋体" w:eastAsia="宋体" w:cs="宋体"/>
          <w:b/>
          <w:bCs/>
          <w:color w:val="auto"/>
          <w:spacing w:val="0"/>
          <w:w w:val="100"/>
          <w:kern w:val="0"/>
          <w:position w:val="0"/>
          <w:sz w:val="24"/>
          <w:szCs w:val="24"/>
          <w:lang w:val="en-US" w:bidi="ar-SA"/>
        </w:rPr>
        <w:t xml:space="preserve"> 建议</w:t>
      </w:r>
      <w:bookmarkEnd w:id="84"/>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（1）对存有问题的环保措施进行整改；</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（2）严格遵循“三同时”制度，并落实相应费用，确保各项环保措施的实施；</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bidi="ar-SA"/>
        </w:rPr>
      </w:pPr>
      <w:r>
        <w:rPr>
          <w:rFonts w:hint="eastAsia" w:ascii="宋体" w:hAnsi="宋体" w:eastAsia="宋体" w:cs="宋体"/>
          <w:color w:val="auto"/>
          <w:spacing w:val="0"/>
          <w:w w:val="100"/>
          <w:kern w:val="0"/>
          <w:position w:val="0"/>
          <w:lang w:val="en-US" w:bidi="ar-SA"/>
        </w:rPr>
        <w:t>（3）根据“三同时”原则，落实鱼类增殖， 并开展相关鱼类研究和监测、调查工作，切实保护鱼类资源；</w:t>
      </w:r>
    </w:p>
    <w:p>
      <w:pPr>
        <w:pStyle w:val="2"/>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lang w:val="en-US" w:eastAsia="zh-CN" w:bidi="ar-SA"/>
        </w:rPr>
      </w:pPr>
      <w:r>
        <w:rPr>
          <w:rFonts w:hint="eastAsia" w:ascii="宋体" w:hAnsi="宋体" w:eastAsia="宋体" w:cs="宋体"/>
          <w:color w:val="auto"/>
          <w:spacing w:val="0"/>
          <w:w w:val="100"/>
          <w:kern w:val="0"/>
          <w:position w:val="0"/>
          <w:lang w:val="en-US" w:bidi="ar-SA"/>
        </w:rPr>
        <w:t>（4）工程运行期需高度重视环境保护工作，加强环境管理，落实环境监测</w:t>
      </w:r>
      <w:r>
        <w:rPr>
          <w:rFonts w:ascii="Times New Roman" w:hAnsi="Times New Roman" w:cs="Times New Roman"/>
          <w:color w:val="auto"/>
          <w:spacing w:val="0"/>
          <w:w w:val="100"/>
          <w:kern w:val="0"/>
          <w:position w:val="0"/>
          <w:lang w:val="en-US" w:bidi="ar-SA"/>
        </w:rPr>
        <w:t>。</w:t>
      </w:r>
    </w:p>
    <w:p>
      <w:pPr>
        <w:pStyle w:val="4"/>
        <w:ind w:left="137" w:firstLine="0"/>
      </w:pPr>
      <w:r>
        <w:rPr>
          <w:rFonts w:ascii="Arial" w:eastAsia="Arial"/>
        </w:rPr>
        <w:t>3.2</w:t>
      </w:r>
      <w:bookmarkStart w:id="85" w:name="3.2环境影响报告书审批意见"/>
      <w:bookmarkEnd w:id="85"/>
      <w:r>
        <w:rPr>
          <w:rFonts w:ascii="Arial" w:eastAsia="Arial"/>
          <w:spacing w:val="68"/>
        </w:rPr>
        <w:t xml:space="preserve"> </w:t>
      </w:r>
      <w:r>
        <w:t>环境影响报告书审批意见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firstLine="480" w:firstLineChars="200"/>
        <w:textAlignment w:val="auto"/>
        <w:rPr>
          <w:rFonts w:hint="eastAsia" w:ascii="宋体" w:hAnsi="宋体" w:eastAsia="宋体" w:cs="宋体"/>
          <w:color w:val="FF0000"/>
        </w:rPr>
      </w:pPr>
      <w:r>
        <w:rPr>
          <w:rFonts w:hint="eastAsia" w:ascii="宋体" w:hAnsi="宋体" w:eastAsia="宋体" w:cs="宋体"/>
          <w:color w:val="000000" w:themeColor="text1"/>
          <w14:textFill>
            <w14:solidFill>
              <w14:schemeClr w14:val="tx1"/>
            </w14:solidFill>
          </w14:textFill>
        </w:rPr>
        <w:t>根据项目的环评批复，意见</w:t>
      </w:r>
      <w:r>
        <w:rPr>
          <w:rFonts w:hint="eastAsia" w:ascii="宋体" w:hAnsi="宋体" w:eastAsia="宋体" w:cs="宋体"/>
          <w:color w:val="000000" w:themeColor="text1"/>
          <w:lang w:eastAsia="zh-CN"/>
          <w14:textFill>
            <w14:solidFill>
              <w14:schemeClr w14:val="tx1"/>
            </w14:solidFill>
          </w14:textFill>
        </w:rPr>
        <w:t>见环评批复附件</w:t>
      </w:r>
      <w:r>
        <w:rPr>
          <w:rFonts w:hint="eastAsia" w:ascii="宋体" w:hAnsi="宋体" w:eastAsia="宋体" w:cs="宋体"/>
          <w:color w:val="000000" w:themeColor="text1"/>
          <w14:textFill>
            <w14:solidFill>
              <w14:schemeClr w14:val="tx1"/>
            </w14:solidFill>
          </w14:textFill>
        </w:rPr>
        <w:t>：</w:t>
      </w:r>
    </w:p>
    <w:p>
      <w:pPr>
        <w:pStyle w:val="7"/>
        <w:keepNext w:val="0"/>
        <w:keepLines w:val="0"/>
        <w:pageBreakBefore w:val="0"/>
        <w:widowControl w:val="0"/>
        <w:kinsoku/>
        <w:wordWrap/>
        <w:overflowPunct/>
        <w:topLinePunct w:val="0"/>
        <w:autoSpaceDE w:val="0"/>
        <w:autoSpaceDN w:val="0"/>
        <w:bidi w:val="0"/>
        <w:adjustRightInd/>
        <w:snapToGrid/>
        <w:spacing w:line="360" w:lineRule="auto"/>
        <w:textAlignment w:val="auto"/>
        <w:rPr>
          <w:rFonts w:hint="eastAsia" w:ascii="宋体" w:hAnsi="宋体" w:eastAsia="宋体" w:cs="宋体"/>
          <w:b w:val="0"/>
          <w:bCs w:val="0"/>
          <w:sz w:val="24"/>
          <w:szCs w:val="22"/>
        </w:rPr>
        <w:sectPr>
          <w:footerReference r:id="rId7" w:type="default"/>
          <w:pgSz w:w="11910" w:h="16840"/>
          <w:pgMar w:top="1380" w:right="560" w:bottom="1180" w:left="1660" w:header="0" w:footer="991" w:gutter="0"/>
          <w:pgNumType w:start="30"/>
        </w:sectPr>
      </w:pP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86" w:name="_bookmark16"/>
      <w:bookmarkEnd w:id="86"/>
      <w:bookmarkStart w:id="87" w:name="_bookmark16"/>
      <w:bookmarkEnd w:id="87"/>
      <w:bookmarkStart w:id="88" w:name="4环境保护措施落实情况调查"/>
      <w:bookmarkEnd w:id="88"/>
      <w:r>
        <w:rPr>
          <w:rFonts w:hint="eastAsia" w:ascii="宋体" w:hAnsi="宋体" w:eastAsia="宋体" w:cs="宋体"/>
        </w:rPr>
        <w:t>环境保护措施落实情况调查</w:t>
      </w:r>
    </w:p>
    <w:p>
      <w:pPr>
        <w:pStyle w:val="2"/>
        <w:spacing w:before="7"/>
        <w:rPr>
          <w:b/>
          <w:sz w:val="37"/>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89" w:name="_bookmark17"/>
      <w:bookmarkEnd w:id="89"/>
      <w:bookmarkStart w:id="90" w:name="4.1环保措施落实情况"/>
      <w:bookmarkEnd w:id="90"/>
      <w:bookmarkStart w:id="91" w:name="_bookmark17"/>
      <w:bookmarkEnd w:id="91"/>
      <w:r>
        <w:rPr>
          <w:rFonts w:hint="eastAsia" w:ascii="宋体" w:hAnsi="宋体" w:eastAsia="宋体" w:cs="宋体"/>
        </w:rPr>
        <w:t>环保措施落实情况</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92" w:name="4.1.1施工期环保措施"/>
      <w:bookmarkEnd w:id="92"/>
      <w:bookmarkStart w:id="93" w:name="4.1.1施工期环保措施"/>
      <w:bookmarkEnd w:id="93"/>
      <w:r>
        <w:rPr>
          <w:rFonts w:hint="eastAsia" w:ascii="宋体" w:hAnsi="宋体" w:eastAsia="宋体" w:cs="宋体"/>
          <w:b/>
          <w:sz w:val="28"/>
        </w:rPr>
        <w:t>施工期环保措施</w:t>
      </w:r>
    </w:p>
    <w:p>
      <w:pPr>
        <w:pStyle w:val="2"/>
        <w:spacing w:before="11"/>
        <w:rPr>
          <w:rFonts w:hint="eastAsia" w:ascii="宋体" w:hAnsi="宋体" w:eastAsia="宋体" w:cs="宋体"/>
          <w:b/>
          <w:sz w:val="23"/>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94" w:name="4.1.1.1施工期开挖采取的环境保护措施"/>
      <w:bookmarkEnd w:id="94"/>
      <w:bookmarkStart w:id="95" w:name="4.1.1.1施工期开挖采取的环境保护措施"/>
      <w:bookmarkEnd w:id="95"/>
      <w:r>
        <w:rPr>
          <w:rFonts w:hint="eastAsia" w:ascii="宋体" w:hAnsi="宋体" w:eastAsia="宋体" w:cs="宋体"/>
          <w:b/>
          <w:sz w:val="24"/>
          <w:lang w:eastAsia="zh-CN"/>
        </w:rPr>
        <w:t>生态环境</w:t>
      </w:r>
      <w:r>
        <w:rPr>
          <w:rFonts w:hint="eastAsia" w:ascii="宋体" w:hAnsi="宋体" w:eastAsia="宋体" w:cs="宋体"/>
          <w:b/>
          <w:sz w:val="24"/>
        </w:rPr>
        <w:t>保护措施</w:t>
      </w:r>
    </w:p>
    <w:p>
      <w:pPr>
        <w:pStyle w:val="2"/>
        <w:spacing w:before="9"/>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在施工期间对施工人员进行了施工区生态保护的宣传教育，并以公告、宣传标语等形式教育施工人员，通过制度化严禁施工人员非法滥砍滥伐林木，减轻了施工对当地陆生动植物的影响。弃渣场周围设置了挡渣墙、截水沟和排水沟，避免了流失造成水质污染和影响鱼类栖息环境。</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同时建设单位施工期间对工程的水土保持工作比较重视，在建设中为了确保水土保持工程的质量，将水土保持工程纳入主体工程的管理程序中，严格执行了项目建设监理制度。建设单位对工程建设质量进行监督检查，并检查了施工单位及质保体系运行情况。建设过程中未造成较大的水土流失危害。</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总体而言，施工期间基本落实了必要的生态环境保护措施。</w:t>
      </w: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96" w:name="4.1.1.2施工期的水污染防治措施"/>
      <w:bookmarkEnd w:id="96"/>
      <w:bookmarkStart w:id="97" w:name="4.1.1.2施工期的水污染防治措施"/>
      <w:bookmarkEnd w:id="97"/>
      <w:r>
        <w:rPr>
          <w:rFonts w:hint="eastAsia" w:ascii="宋体" w:hAnsi="宋体" w:eastAsia="宋体" w:cs="宋体"/>
          <w:b/>
          <w:sz w:val="24"/>
        </w:rPr>
        <w:t>施工期的水污染防治措施</w:t>
      </w:r>
    </w:p>
    <w:p>
      <w:pPr>
        <w:pStyle w:val="18"/>
        <w:numPr>
          <w:ilvl w:val="0"/>
          <w:numId w:val="0"/>
        </w:numPr>
        <w:tabs>
          <w:tab w:val="left" w:pos="990"/>
        </w:tabs>
        <w:spacing w:before="0" w:after="0" w:line="240" w:lineRule="auto"/>
        <w:ind w:left="136" w:leftChars="0" w:right="0" w:rightChars="0"/>
        <w:jc w:val="left"/>
        <w:rPr>
          <w:rFonts w:hint="eastAsia" w:ascii="宋体" w:hAnsi="宋体" w:eastAsia="宋体" w:cs="宋体"/>
          <w:b/>
          <w:sz w:val="24"/>
        </w:rPr>
      </w:pP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生产废水主要是基坑废水、生产废水和施工人员生活污水，废水经处理后回用于生产、周边区域绿化及降尘等综合利用，并未排入水体。其中：施工期间产生的基坑废水采用沉淀法进行处理；施工期生产废水主要产生于砂石料冲洗、混凝土搅拌、机械修配以及汽车修理等，主要污染物为泥沙、悬浮物、油类，采用自然沉淀处理方法；施工期修建了防渗旱厕，用堆肥方式处理施工人员的生活废水，堆肥用做电站周围绿化肥料。</w:t>
      </w: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总体而言，施工期水环境保护措施基本合理，施工期间未发生水污染事件。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98" w:name="4.1.1.3施工期的大气污染防治措施"/>
      <w:bookmarkEnd w:id="98"/>
      <w:bookmarkStart w:id="99" w:name="4.1.1.3施工期的大气污染防治措施"/>
      <w:bookmarkEnd w:id="99"/>
      <w:r>
        <w:rPr>
          <w:rFonts w:hint="eastAsia" w:ascii="宋体" w:hAnsi="宋体" w:eastAsia="宋体" w:cs="宋体"/>
          <w:b/>
          <w:sz w:val="24"/>
        </w:rPr>
        <w:t>施工期的大气污染防治措施</w:t>
      </w:r>
    </w:p>
    <w:p>
      <w:pPr>
        <w:pStyle w:val="2"/>
        <w:spacing w:before="9"/>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建设过程中，针对运输车辆、机械设备运行废气；凿裂、钻孔、露天爆破粉尘；砂石料加工系统粉尘以及道路扬尘等，建设单位采取了严禁随地随处乱挖乱放、尽量控制开挖面、运输粉状施工材料的车辆加遮盖物、经常在作业区域洒水、凿岩机的人员配戴防尘口罩等大气污染防治措施。据调查，施工期间未发生大气污染投诉事件。</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0" w:name="4.1.1.4施工期的噪声污染防治措施"/>
      <w:bookmarkEnd w:id="100"/>
      <w:bookmarkStart w:id="101" w:name="4.1.1.4施工期的噪声污染防治措施"/>
      <w:bookmarkEnd w:id="101"/>
      <w:r>
        <w:rPr>
          <w:rFonts w:hint="eastAsia" w:ascii="宋体" w:hAnsi="宋体" w:eastAsia="宋体" w:cs="宋体"/>
          <w:b/>
          <w:sz w:val="24"/>
        </w:rPr>
        <w:t>施工期的噪声污染防治措施</w:t>
      </w:r>
    </w:p>
    <w:p>
      <w:pPr>
        <w:pStyle w:val="2"/>
        <w:spacing w:before="9"/>
        <w:rPr>
          <w:b/>
          <w:sz w:val="21"/>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施工期噪声主要是施工机械噪声、施工爆破噪声，会对施工操作人员构成一定影响。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eastAsia="宋体" w:cs="宋体"/>
          <w:color w:val="auto"/>
          <w:spacing w:val="0"/>
          <w:w w:val="100"/>
          <w:kern w:val="0"/>
          <w:position w:val="0"/>
          <w:sz w:val="24"/>
          <w:szCs w:val="24"/>
          <w:lang w:val="en-US"/>
        </w:rPr>
        <w:t>据调查，施工单位采取了“合理安排施工作业时间、施工人员佩戴防噪耳塞、施工场地安装临时挡板”等噪声防治措施，施工期间未发生噪声扰民、噪声污染投诉事件。</w:t>
      </w:r>
    </w:p>
    <w:p>
      <w:pPr>
        <w:pStyle w:val="2"/>
        <w:spacing w:before="11"/>
        <w:rPr>
          <w:sz w:val="21"/>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2" w:name="4.1.1.5施工期生活垃圾污染防治措施"/>
      <w:bookmarkEnd w:id="102"/>
      <w:bookmarkStart w:id="103" w:name="4.1.1.5施工期生活垃圾污染防治措施"/>
      <w:bookmarkEnd w:id="103"/>
      <w:r>
        <w:rPr>
          <w:rFonts w:hint="eastAsia" w:ascii="宋体" w:hAnsi="宋体" w:eastAsia="宋体" w:cs="宋体"/>
          <w:b/>
          <w:sz w:val="24"/>
        </w:rPr>
        <w:t>施工期</w:t>
      </w:r>
      <w:r>
        <w:rPr>
          <w:rFonts w:hint="eastAsia" w:ascii="宋体" w:hAnsi="宋体" w:eastAsia="宋体" w:cs="宋体"/>
          <w:b/>
          <w:sz w:val="24"/>
          <w:lang w:eastAsia="zh-CN"/>
        </w:rPr>
        <w:t>固体废物</w:t>
      </w:r>
      <w:r>
        <w:rPr>
          <w:rFonts w:hint="eastAsia" w:ascii="宋体" w:hAnsi="宋体" w:eastAsia="宋体" w:cs="宋体"/>
          <w:b/>
          <w:sz w:val="24"/>
        </w:rPr>
        <w:t>污染防治措施</w:t>
      </w:r>
    </w:p>
    <w:p>
      <w:pPr>
        <w:pStyle w:val="2"/>
        <w:spacing w:before="9"/>
        <w:rPr>
          <w:b/>
          <w:sz w:val="21"/>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据调查，施工期的生活垃圾由施工单位组织人员定期清运，未在作业区设置生活垃圾处置堆存点，避免了对区域生态造成不利影响；旱厕由施工单位组织人员定期清理运送，用做绿化堆肥。建设单位在施工完成后，对于作业区堆放的弃渣进行了及时清运处置。运至周边其它建设项目进行填方使用。</w:t>
      </w:r>
    </w:p>
    <w:p>
      <w:pPr>
        <w:pStyle w:val="18"/>
        <w:numPr>
          <w:ilvl w:val="2"/>
          <w:numId w:val="4"/>
        </w:numPr>
        <w:tabs>
          <w:tab w:val="left" w:pos="836"/>
        </w:tabs>
        <w:spacing w:before="120" w:after="0" w:line="240" w:lineRule="auto"/>
        <w:ind w:left="836" w:right="0" w:hanging="699"/>
        <w:jc w:val="left"/>
        <w:rPr>
          <w:rFonts w:hint="eastAsia" w:ascii="宋体" w:hAnsi="宋体" w:eastAsia="宋体" w:cs="宋体"/>
          <w:b/>
          <w:sz w:val="28"/>
        </w:rPr>
      </w:pPr>
      <w:bookmarkStart w:id="104" w:name="4.1.2营运期环保措施"/>
      <w:bookmarkEnd w:id="104"/>
      <w:bookmarkStart w:id="105" w:name="4.1.2营运期环保措施"/>
      <w:bookmarkEnd w:id="105"/>
      <w:r>
        <w:rPr>
          <w:rFonts w:hint="eastAsia" w:ascii="宋体" w:hAnsi="宋体" w:eastAsia="宋体" w:cs="宋体"/>
          <w:b/>
          <w:spacing w:val="-1"/>
          <w:w w:val="95"/>
          <w:sz w:val="28"/>
        </w:rPr>
        <w:t>营运期环保措施</w:t>
      </w:r>
    </w:p>
    <w:p>
      <w:pPr>
        <w:pStyle w:val="2"/>
        <w:spacing w:before="10"/>
        <w:rPr>
          <w:rFonts w:hint="eastAsia" w:ascii="宋体" w:hAnsi="宋体" w:eastAsia="宋体" w:cs="宋体"/>
          <w:b/>
          <w:sz w:val="23"/>
        </w:rPr>
      </w:pPr>
    </w:p>
    <w:p>
      <w:pPr>
        <w:pStyle w:val="18"/>
        <w:numPr>
          <w:ilvl w:val="3"/>
          <w:numId w:val="4"/>
        </w:numPr>
        <w:tabs>
          <w:tab w:val="left" w:pos="990"/>
        </w:tabs>
        <w:spacing w:before="0" w:after="0" w:line="240" w:lineRule="auto"/>
        <w:ind w:left="989" w:right="0" w:hanging="853"/>
        <w:jc w:val="left"/>
        <w:rPr>
          <w:rFonts w:hint="eastAsia" w:ascii="宋体" w:hAnsi="宋体" w:eastAsia="宋体" w:cs="宋体"/>
          <w:b/>
          <w:sz w:val="24"/>
        </w:rPr>
      </w:pPr>
      <w:bookmarkStart w:id="106" w:name="4.1.2.1废水污染处置设施"/>
      <w:bookmarkEnd w:id="106"/>
      <w:bookmarkStart w:id="107" w:name="4.1.2.1废水污染处置设施"/>
      <w:bookmarkEnd w:id="107"/>
      <w:r>
        <w:rPr>
          <w:rFonts w:hint="eastAsia" w:ascii="宋体" w:hAnsi="宋体" w:eastAsia="宋体" w:cs="宋体"/>
          <w:b/>
          <w:sz w:val="24"/>
        </w:rPr>
        <w:t>废水污染处置设施</w:t>
      </w:r>
    </w:p>
    <w:p>
      <w:pPr>
        <w:pStyle w:val="2"/>
        <w:spacing w:before="12"/>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ascii="Times New Roman" w:hAnsi="Times New Roman" w:cs="Times New Roman"/>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水电站建成投运后，现状生活污水经化粪池处理后用于周边农田灌溉，对环境影响较小。</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08" w:name="4.1.2.2噪声污染防治措施"/>
      <w:bookmarkEnd w:id="108"/>
      <w:bookmarkStart w:id="109" w:name="4.1.2.2噪声污染防治措施"/>
      <w:bookmarkEnd w:id="109"/>
      <w:r>
        <w:rPr>
          <w:rFonts w:hint="eastAsia" w:ascii="宋体" w:hAnsi="宋体" w:eastAsia="宋体" w:cs="宋体"/>
          <w:b/>
          <w:sz w:val="24"/>
        </w:rPr>
        <w:t>噪声污染防治措施</w:t>
      </w:r>
    </w:p>
    <w:p>
      <w:pPr>
        <w:pStyle w:val="2"/>
        <w:spacing w:before="9"/>
        <w:rPr>
          <w:b/>
          <w:sz w:val="21"/>
        </w:rPr>
      </w:pPr>
    </w:p>
    <w:p>
      <w:pPr>
        <w:pageBreakBefore w:val="0"/>
        <w:kinsoku/>
        <w:wordWrap/>
        <w:overflowPunct/>
        <w:topLinePunct w:val="0"/>
        <w:autoSpaceDE/>
        <w:autoSpaceDN/>
        <w:bidi w:val="0"/>
        <w:adjustRightInd/>
        <w:snapToGrid/>
        <w:spacing w:line="360" w:lineRule="auto"/>
        <w:ind w:firstLine="480" w:firstLineChars="200"/>
        <w:jc w:val="both"/>
        <w:rPr>
          <w:rFonts w:hint="eastAsia" w:ascii="宋体" w:hAnsi="宋体" w:eastAsia="宋体" w:cs="宋体"/>
          <w:color w:val="auto"/>
          <w:spacing w:val="0"/>
          <w:w w:val="100"/>
          <w:kern w:val="0"/>
          <w:position w:val="0"/>
          <w:sz w:val="24"/>
          <w:szCs w:val="24"/>
          <w:lang w:val="en-US"/>
        </w:rPr>
      </w:pPr>
      <w:r>
        <w:rPr>
          <w:rFonts w:hint="eastAsia" w:ascii="宋体" w:hAnsi="宋体" w:eastAsia="宋体" w:cs="宋体"/>
          <w:color w:val="auto"/>
          <w:spacing w:val="0"/>
          <w:w w:val="100"/>
          <w:kern w:val="0"/>
          <w:position w:val="0"/>
          <w:sz w:val="24"/>
          <w:szCs w:val="24"/>
          <w:lang w:val="en-US"/>
        </w:rPr>
        <w:t>水电站在运行过程中，噪声来源主要是发电机、空压机、各类泵等生产设备产生的机械噪声，声级强度介于</w:t>
      </w:r>
      <w:r>
        <w:rPr>
          <w:rFonts w:hint="default" w:ascii="Times New Roman" w:hAnsi="Times New Roman" w:eastAsia="宋体" w:cs="Times New Roman"/>
          <w:color w:val="auto"/>
          <w:spacing w:val="0"/>
          <w:w w:val="100"/>
          <w:kern w:val="0"/>
          <w:position w:val="0"/>
          <w:sz w:val="24"/>
          <w:szCs w:val="24"/>
          <w:lang w:val="en-US"/>
        </w:rPr>
        <w:t>65~90dB(A)</w:t>
      </w:r>
      <w:r>
        <w:rPr>
          <w:rFonts w:hint="eastAsia" w:ascii="宋体" w:hAnsi="宋体" w:eastAsia="宋体" w:cs="宋体"/>
          <w:color w:val="auto"/>
          <w:spacing w:val="0"/>
          <w:w w:val="100"/>
          <w:kern w:val="0"/>
          <w:position w:val="0"/>
          <w:sz w:val="24"/>
          <w:szCs w:val="24"/>
          <w:lang w:val="en-US"/>
        </w:rPr>
        <w:t>；实际运行过程中，本电站采取了“机电设备基础减震，建筑物厂房隔声”等降噪措施，基本可以满足厂界噪声排放标准的要求。</w:t>
      </w:r>
    </w:p>
    <w:p>
      <w:pPr>
        <w:pStyle w:val="18"/>
        <w:keepNext w:val="0"/>
        <w:keepLines w:val="0"/>
        <w:pageBreakBefore w:val="0"/>
        <w:widowControl w:val="0"/>
        <w:numPr>
          <w:ilvl w:val="3"/>
          <w:numId w:val="4"/>
        </w:numPr>
        <w:tabs>
          <w:tab w:val="left" w:pos="990"/>
        </w:tabs>
        <w:kinsoku/>
        <w:wordWrap/>
        <w:overflowPunct/>
        <w:topLinePunct w:val="0"/>
        <w:autoSpaceDE w:val="0"/>
        <w:autoSpaceDN w:val="0"/>
        <w:bidi w:val="0"/>
        <w:adjustRightInd/>
        <w:snapToGrid/>
        <w:spacing w:before="0" w:after="0" w:line="360" w:lineRule="auto"/>
        <w:ind w:left="482" w:right="0" w:hanging="482" w:hangingChars="200"/>
        <w:jc w:val="left"/>
        <w:textAlignment w:val="auto"/>
        <w:rPr>
          <w:rFonts w:ascii="Arial" w:eastAsia="Arial"/>
          <w:b/>
          <w:bCs w:val="0"/>
          <w:sz w:val="24"/>
        </w:rPr>
      </w:pPr>
      <w:bookmarkStart w:id="110" w:name="4.1.2.3废气污染防治措施"/>
      <w:bookmarkEnd w:id="110"/>
      <w:bookmarkStart w:id="111" w:name="4.1.2.3废气污染防治措施"/>
      <w:bookmarkEnd w:id="111"/>
      <w:r>
        <w:rPr>
          <w:rFonts w:hint="eastAsia" w:ascii="宋体" w:hAnsi="宋体" w:eastAsia="宋体" w:cs="宋体"/>
          <w:b/>
          <w:bCs w:val="0"/>
          <w:sz w:val="24"/>
        </w:rPr>
        <w:t xml:space="preserve">废气污染防治措施 </w:t>
      </w:r>
    </w:p>
    <w:p>
      <w:pPr>
        <w:pStyle w:val="18"/>
        <w:keepNext w:val="0"/>
        <w:keepLines w:val="0"/>
        <w:pageBreakBefore w:val="0"/>
        <w:widowControl w:val="0"/>
        <w:numPr>
          <w:ilvl w:val="0"/>
          <w:numId w:val="0"/>
        </w:numPr>
        <w:tabs>
          <w:tab w:val="left" w:pos="990"/>
        </w:tabs>
        <w:kinsoku/>
        <w:wordWrap/>
        <w:overflowPunct/>
        <w:topLinePunct w:val="0"/>
        <w:autoSpaceDE w:val="0"/>
        <w:autoSpaceDN w:val="0"/>
        <w:bidi w:val="0"/>
        <w:adjustRightInd/>
        <w:snapToGrid/>
        <w:spacing w:before="0" w:after="0" w:line="360" w:lineRule="auto"/>
        <w:ind w:leftChars="-200" w:right="0" w:rightChars="0" w:firstLine="472" w:firstLineChars="200"/>
        <w:jc w:val="left"/>
        <w:textAlignment w:val="auto"/>
        <w:rPr>
          <w:rFonts w:ascii="Arial" w:eastAsia="Arial"/>
          <w:sz w:val="24"/>
        </w:rPr>
      </w:pPr>
      <w:r>
        <w:rPr>
          <w:rFonts w:hint="eastAsia" w:ascii="宋体" w:hAnsi="宋体" w:eastAsia="宋体" w:cs="宋体"/>
          <w:spacing w:val="-2"/>
          <w:sz w:val="24"/>
        </w:rPr>
        <w:t>运营期没有大气污染源。</w:t>
      </w:r>
    </w:p>
    <w:p>
      <w:pPr>
        <w:pStyle w:val="18"/>
        <w:numPr>
          <w:ilvl w:val="3"/>
          <w:numId w:val="4"/>
        </w:numPr>
        <w:tabs>
          <w:tab w:val="left" w:pos="990"/>
        </w:tabs>
        <w:spacing w:before="125" w:after="0" w:line="240" w:lineRule="auto"/>
        <w:ind w:left="989" w:right="0" w:hanging="853"/>
        <w:jc w:val="left"/>
        <w:rPr>
          <w:rFonts w:hint="eastAsia" w:ascii="宋体" w:hAnsi="宋体" w:eastAsia="宋体" w:cs="宋体"/>
          <w:b/>
          <w:sz w:val="24"/>
        </w:rPr>
      </w:pPr>
      <w:bookmarkStart w:id="112" w:name="4.1.2.4固废污染防治措施"/>
      <w:bookmarkEnd w:id="112"/>
      <w:bookmarkStart w:id="113" w:name="4.1.2.4固废污染防治措施"/>
      <w:bookmarkEnd w:id="113"/>
      <w:r>
        <w:rPr>
          <w:rFonts w:hint="eastAsia" w:ascii="宋体" w:hAnsi="宋体" w:eastAsia="宋体" w:cs="宋体"/>
          <w:b/>
          <w:sz w:val="24"/>
        </w:rPr>
        <w:t>固废污染防治措施</w:t>
      </w:r>
    </w:p>
    <w:p>
      <w:pPr>
        <w:pStyle w:val="2"/>
        <w:spacing w:before="9"/>
        <w:rPr>
          <w:b/>
          <w:sz w:val="21"/>
        </w:rPr>
      </w:pP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工程弃渣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lang w:eastAsia="zh-CN"/>
        </w:rPr>
        <w:t>青原区龙家塘</w:t>
      </w:r>
      <w:r>
        <w:rPr>
          <w:rFonts w:hint="eastAsia" w:ascii="宋体" w:hAnsi="宋体" w:eastAsia="宋体" w:cs="宋体"/>
          <w:spacing w:val="-3"/>
        </w:rPr>
        <w:t>水电站已建成运行</w:t>
      </w:r>
      <w:r>
        <w:rPr>
          <w:rFonts w:hint="eastAsia" w:ascii="宋体" w:hAnsi="宋体" w:eastAsia="宋体" w:cs="宋体"/>
          <w:spacing w:val="-3"/>
          <w:lang w:eastAsia="zh-CN"/>
        </w:rPr>
        <w:t>十余</w:t>
      </w:r>
      <w:r>
        <w:rPr>
          <w:rFonts w:hint="eastAsia" w:ascii="宋体" w:hAnsi="宋体" w:eastAsia="宋体" w:cs="宋体"/>
        </w:rPr>
        <w:t>年，根据现场踏勘可知，电站原有工程施</w:t>
      </w:r>
      <w:r>
        <w:rPr>
          <w:rFonts w:hint="eastAsia" w:ascii="宋体" w:hAnsi="宋体" w:eastAsia="宋体" w:cs="宋体"/>
          <w:spacing w:val="-10"/>
        </w:rPr>
        <w:t>工时的弃渣场、取土场、施工场及施工道路植被均已自然恢复，工程区植被及防</w:t>
      </w:r>
      <w:r>
        <w:rPr>
          <w:rFonts w:hint="eastAsia" w:ascii="宋体" w:hAnsi="宋体" w:eastAsia="宋体" w:cs="宋体"/>
          <w:spacing w:val="-7"/>
        </w:rPr>
        <w:t>护情况良好。临时堆场已采取土地平整、覆盖、边</w:t>
      </w:r>
      <w:r>
        <w:rPr>
          <w:rFonts w:hint="eastAsia" w:ascii="宋体" w:hAnsi="宋体" w:eastAsia="宋体" w:cs="宋体"/>
        </w:rPr>
        <w:t>坡撒播草籽等植被恢复措施。</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val="en-US" w:eastAsia="zh-CN"/>
        </w:rPr>
        <w:t>（2）</w:t>
      </w: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根据现场调查，运营期电站厂房及生活办公区设置有垃圾收集桶，生活垃圾经垃圾桶收集后定期交由当地环卫部处置。</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3</w:t>
      </w:r>
      <w:r>
        <w:rPr>
          <w:rFonts w:hint="eastAsia" w:ascii="宋体" w:hAnsi="宋体" w:eastAsia="宋体" w:cs="宋体"/>
          <w:sz w:val="24"/>
          <w:lang w:eastAsia="zh-CN"/>
        </w:rPr>
        <w:t>）</w:t>
      </w:r>
      <w:r>
        <w:rPr>
          <w:rFonts w:hint="eastAsia" w:ascii="宋体" w:hAnsi="宋体" w:eastAsia="宋体" w:cs="宋体"/>
          <w:sz w:val="24"/>
        </w:rPr>
        <w:t>废机油</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根据现场调查，水电站已建成运行</w:t>
      </w:r>
      <w:r>
        <w:rPr>
          <w:rFonts w:hint="eastAsia" w:ascii="宋体" w:hAnsi="宋体" w:eastAsia="宋体" w:cs="宋体"/>
          <w:spacing w:val="-3"/>
          <w:lang w:eastAsia="zh-CN"/>
        </w:rPr>
        <w:t>十余</w:t>
      </w:r>
      <w:r>
        <w:rPr>
          <w:rFonts w:hint="eastAsia" w:ascii="宋体" w:hAnsi="宋体" w:eastAsia="宋体" w:cs="宋体"/>
        </w:rPr>
        <w:t>年</w:t>
      </w:r>
      <w:r>
        <w:rPr>
          <w:rFonts w:hint="eastAsia" w:ascii="宋体" w:hAnsi="宋体" w:eastAsia="宋体" w:cs="宋体"/>
          <w:spacing w:val="-7"/>
        </w:rPr>
        <w:t>，电站水轮机采用立式布置，目前</w:t>
      </w:r>
      <w:r>
        <w:rPr>
          <w:rFonts w:hint="eastAsia" w:ascii="宋体" w:hAnsi="宋体" w:eastAsia="宋体" w:cs="宋体"/>
          <w:spacing w:val="-13"/>
        </w:rPr>
        <w:t>机组运行良好，机修及设备检修产生的废机油及后期变压器产生的废油均交给设</w:t>
      </w:r>
      <w:r>
        <w:rPr>
          <w:rFonts w:hint="eastAsia" w:ascii="宋体" w:hAnsi="宋体" w:eastAsia="宋体" w:cs="宋体"/>
        </w:rPr>
        <w:t>备检修单位带走，不在厂区暂存。</w:t>
      </w:r>
    </w:p>
    <w:p>
      <w:pPr>
        <w:pStyle w:val="18"/>
        <w:numPr>
          <w:ilvl w:val="2"/>
          <w:numId w:val="4"/>
        </w:numPr>
        <w:tabs>
          <w:tab w:val="left" w:pos="836"/>
        </w:tabs>
        <w:spacing w:before="44" w:after="0" w:line="240" w:lineRule="auto"/>
        <w:ind w:left="836" w:right="0" w:hanging="699"/>
        <w:jc w:val="left"/>
        <w:rPr>
          <w:rFonts w:hint="eastAsia" w:ascii="宋体" w:hAnsi="宋体" w:eastAsia="宋体" w:cs="宋体"/>
          <w:b/>
          <w:sz w:val="28"/>
        </w:rPr>
      </w:pPr>
      <w:bookmarkStart w:id="114" w:name="4.1.3生态保护工程和设施"/>
      <w:bookmarkEnd w:id="114"/>
      <w:bookmarkStart w:id="115" w:name="4.1.3生态保护工程和设施"/>
      <w:bookmarkEnd w:id="115"/>
      <w:r>
        <w:rPr>
          <w:rFonts w:hint="eastAsia" w:ascii="宋体" w:hAnsi="宋体" w:eastAsia="宋体" w:cs="宋体"/>
          <w:b/>
          <w:sz w:val="28"/>
          <w:lang w:val="en-US" w:eastAsia="zh-CN"/>
        </w:rPr>
        <w:t xml:space="preserve"> </w:t>
      </w:r>
      <w:r>
        <w:rPr>
          <w:rFonts w:hint="eastAsia" w:ascii="宋体" w:hAnsi="宋体" w:eastAsia="宋体" w:cs="宋体"/>
          <w:b/>
          <w:sz w:val="28"/>
        </w:rPr>
        <w:t>生态保护工程和设施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考虑到枯水期坝下游脱水河段的用水需要，在堰坝的设计中，拦河坝</w:t>
      </w:r>
      <w:r>
        <w:rPr>
          <w:rFonts w:hint="eastAsia" w:ascii="宋体" w:hAnsi="宋体" w:eastAsia="宋体" w:cs="宋体"/>
          <w:spacing w:val="-9"/>
          <w:sz w:val="24"/>
          <w:szCs w:val="24"/>
        </w:rPr>
        <w:t xml:space="preserve">设立了直径为 </w:t>
      </w:r>
      <w:r>
        <w:rPr>
          <w:rFonts w:hint="default" w:ascii="Times New Roman" w:hAnsi="Times New Roman" w:eastAsia="宋体" w:cs="Times New Roman"/>
          <w:sz w:val="24"/>
          <w:szCs w:val="24"/>
        </w:rPr>
        <w:t xml:space="preserve">10cm </w:t>
      </w:r>
      <w:r>
        <w:rPr>
          <w:rFonts w:hint="eastAsia" w:ascii="宋体" w:hAnsi="宋体" w:eastAsia="宋体" w:cs="宋体"/>
          <w:spacing w:val="-4"/>
          <w:sz w:val="24"/>
          <w:szCs w:val="24"/>
        </w:rPr>
        <w:t>的生态泄流口，不间断的向下游供水，保证了工程设计要求</w:t>
      </w:r>
      <w:r>
        <w:rPr>
          <w:rFonts w:hint="eastAsia" w:ascii="宋体" w:hAnsi="宋体" w:eastAsia="宋体" w:cs="宋体"/>
          <w:sz w:val="24"/>
          <w:szCs w:val="24"/>
        </w:rPr>
        <w:t>下泄流量</w:t>
      </w:r>
      <w:r>
        <w:rPr>
          <w:rFonts w:hint="default" w:ascii="Times New Roman" w:hAnsi="Times New Roman" w:eastAsia="宋体" w:cs="Times New Roman"/>
          <w:sz w:val="24"/>
          <w:szCs w:val="24"/>
        </w:rPr>
        <w:t>≥0.002</w:t>
      </w: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m</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rPr>
        <w:t>/s</w:t>
      </w:r>
      <w:r>
        <w:rPr>
          <w:rFonts w:hint="eastAsia" w:ascii="宋体" w:hAnsi="宋体" w:eastAsia="宋体" w:cs="宋体"/>
          <w:spacing w:val="-3"/>
          <w:sz w:val="24"/>
          <w:szCs w:val="24"/>
        </w:rPr>
        <w:t xml:space="preserve"> </w:t>
      </w:r>
      <w:r>
        <w:rPr>
          <w:rFonts w:hint="eastAsia" w:ascii="宋体" w:hAnsi="宋体" w:eastAsia="宋体" w:cs="宋体"/>
          <w:sz w:val="24"/>
          <w:szCs w:val="24"/>
        </w:rPr>
        <w:t>的要求，并安装流量装置，实现监控水流量情况。</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积极做好水土防治工作，尽量减少了项目水土流失。施工区植被已恢</w:t>
      </w:r>
      <w:r>
        <w:rPr>
          <w:rFonts w:hint="eastAsia" w:ascii="宋体" w:hAnsi="宋体" w:eastAsia="宋体" w:cs="宋体"/>
          <w:spacing w:val="-11"/>
          <w:sz w:val="24"/>
          <w:szCs w:val="24"/>
        </w:rPr>
        <w:t>复，植被覆盖度高，水土保持状况良好，在工程建设过程中，在历次监督检查中</w:t>
      </w:r>
      <w:r>
        <w:rPr>
          <w:rFonts w:hint="eastAsia" w:ascii="宋体" w:hAnsi="宋体" w:eastAsia="宋体" w:cs="宋体"/>
          <w:sz w:val="24"/>
          <w:szCs w:val="24"/>
        </w:rPr>
        <w:t>未发现重大水土保持问题。</w:t>
      </w:r>
    </w:p>
    <w:p>
      <w:pPr>
        <w:pStyle w:val="2"/>
        <w:spacing w:before="11"/>
        <w:rPr>
          <w:sz w:val="18"/>
        </w:rPr>
      </w:pPr>
    </w:p>
    <w:p>
      <w:pPr>
        <w:pStyle w:val="4"/>
        <w:numPr>
          <w:ilvl w:val="1"/>
          <w:numId w:val="5"/>
        </w:numPr>
        <w:tabs>
          <w:tab w:val="left" w:pos="740"/>
        </w:tabs>
        <w:spacing w:before="0" w:after="0" w:line="240" w:lineRule="auto"/>
        <w:ind w:left="740" w:right="0" w:hanging="603"/>
        <w:jc w:val="left"/>
        <w:rPr>
          <w:rFonts w:hint="eastAsia" w:ascii="宋体" w:hAnsi="宋体" w:eastAsia="宋体" w:cs="宋体"/>
        </w:rPr>
      </w:pPr>
      <w:bookmarkStart w:id="116" w:name="4.2环保设施投资及“三同时”落实情况"/>
      <w:bookmarkEnd w:id="116"/>
      <w:bookmarkStart w:id="117" w:name="_bookmark18"/>
      <w:bookmarkEnd w:id="117"/>
      <w:bookmarkStart w:id="118" w:name="_bookmark18"/>
      <w:bookmarkEnd w:id="118"/>
      <w:r>
        <w:rPr>
          <w:rFonts w:hint="eastAsia" w:ascii="宋体" w:hAnsi="宋体" w:eastAsia="宋体" w:cs="宋体"/>
        </w:rPr>
        <w:t>环保设施投资及“三同时”落实情况</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1</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环保设施投资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color w:val="000000" w:themeColor="text1"/>
          <w14:textFill>
            <w14:solidFill>
              <w14:schemeClr w14:val="tx1"/>
            </w14:solidFill>
          </w14:textFill>
        </w:rPr>
        <w:t>本工程己采取的环保措施与环评报告书及环保行政主管部门审批要求的对比情况见表</w:t>
      </w:r>
      <w:r>
        <w:rPr>
          <w:rFonts w:hint="eastAsia" w:ascii="宋体" w:hAnsi="宋体" w:eastAsia="宋体" w:cs="宋体"/>
          <w:color w:val="000000" w:themeColor="text1"/>
          <w:lang w:val="en-US" w:eastAsia="zh-CN"/>
          <w14:textFill>
            <w14:solidFill>
              <w14:schemeClr w14:val="tx1"/>
            </w14:solidFill>
          </w14:textFill>
        </w:rPr>
        <w:t>4-1</w:t>
      </w:r>
      <w:r>
        <w:rPr>
          <w:rFonts w:hint="eastAsia" w:ascii="宋体" w:hAnsi="宋体" w:eastAsia="宋体" w:cs="宋体"/>
          <w:color w:val="000000" w:themeColor="text1"/>
          <w14:textFill>
            <w14:solidFill>
              <w14:schemeClr w14:val="tx1"/>
            </w14:solidFill>
          </w14:textFill>
        </w:rPr>
        <w:t>。环保总投资约为</w:t>
      </w:r>
      <w:r>
        <w:rPr>
          <w:rFonts w:hint="eastAsia" w:ascii="宋体" w:hAnsi="宋体" w:eastAsia="宋体" w:cs="宋体"/>
          <w:color w:val="000000" w:themeColor="text1"/>
          <w:spacing w:val="0"/>
          <w:w w:val="100"/>
          <w:kern w:val="0"/>
          <w:position w:val="0"/>
          <w:sz w:val="24"/>
          <w:szCs w:val="20"/>
          <w:lang w:val="en-US" w:eastAsia="zh-CN" w:bidi="ar-SA"/>
          <w14:textFill>
            <w14:solidFill>
              <w14:schemeClr w14:val="tx1"/>
            </w14:solidFill>
          </w14:textFill>
        </w:rPr>
        <w:t>40</w:t>
      </w:r>
      <w:r>
        <w:rPr>
          <w:rFonts w:hint="eastAsia" w:ascii="宋体" w:hAnsi="宋体" w:eastAsia="宋体" w:cs="宋体"/>
          <w:color w:val="auto"/>
          <w:spacing w:val="0"/>
          <w:w w:val="100"/>
          <w:kern w:val="0"/>
          <w:position w:val="0"/>
          <w:sz w:val="24"/>
          <w:szCs w:val="20"/>
          <w:lang w:val="en-US" w:bidi="ar-SA"/>
        </w:rPr>
        <w:t>万元，占总投资（</w:t>
      </w:r>
      <w:r>
        <w:rPr>
          <w:rFonts w:hint="eastAsia" w:ascii="宋体" w:hAnsi="宋体" w:eastAsia="宋体" w:cs="宋体"/>
          <w:color w:val="auto"/>
          <w:spacing w:val="0"/>
          <w:w w:val="100"/>
          <w:kern w:val="0"/>
          <w:position w:val="0"/>
          <w:sz w:val="24"/>
          <w:szCs w:val="20"/>
          <w:lang w:val="en-US" w:eastAsia="zh-CN" w:bidi="ar-SA"/>
        </w:rPr>
        <w:t>328.6</w:t>
      </w:r>
      <w:r>
        <w:rPr>
          <w:rFonts w:hint="eastAsia" w:ascii="宋体" w:hAnsi="宋体" w:eastAsia="宋体" w:cs="宋体"/>
          <w:color w:val="auto"/>
          <w:spacing w:val="0"/>
          <w:w w:val="100"/>
          <w:kern w:val="0"/>
          <w:position w:val="0"/>
          <w:sz w:val="24"/>
          <w:szCs w:val="20"/>
          <w:lang w:val="en-US" w:bidi="ar-SA"/>
        </w:rPr>
        <w:t>万元）的</w:t>
      </w:r>
      <w:r>
        <w:rPr>
          <w:rFonts w:hint="eastAsia" w:ascii="宋体" w:hAnsi="宋体" w:eastAsia="宋体" w:cs="宋体"/>
          <w:color w:val="auto"/>
          <w:spacing w:val="0"/>
          <w:w w:val="100"/>
          <w:kern w:val="0"/>
          <w:position w:val="0"/>
          <w:sz w:val="24"/>
          <w:szCs w:val="20"/>
          <w:lang w:val="en-US" w:eastAsia="zh-CN" w:bidi="ar-SA"/>
        </w:rPr>
        <w:t>15.2</w:t>
      </w:r>
      <w:r>
        <w:rPr>
          <w:rFonts w:hint="eastAsia" w:ascii="宋体" w:hAnsi="宋体" w:eastAsia="宋体" w:cs="宋体"/>
          <w:color w:val="auto"/>
          <w:spacing w:val="0"/>
          <w:w w:val="100"/>
          <w:kern w:val="0"/>
          <w:position w:val="0"/>
          <w:sz w:val="24"/>
          <w:szCs w:val="20"/>
          <w:lang w:val="en-US" w:bidi="ar-SA"/>
        </w:rPr>
        <w:t>%</w:t>
      </w:r>
      <w:r>
        <w:rPr>
          <w:rFonts w:hint="eastAsia" w:ascii="宋体" w:hAnsi="宋体" w:eastAsia="宋体" w:cs="宋体"/>
        </w:rPr>
        <w:t>。</w:t>
      </w:r>
    </w:p>
    <w:p>
      <w:pPr>
        <w:spacing w:before="1"/>
        <w:ind w:left="2403" w:right="0" w:firstLine="0"/>
        <w:jc w:val="left"/>
        <w:rPr>
          <w:rFonts w:hint="eastAsia" w:ascii="宋体" w:hAnsi="宋体" w:eastAsia="宋体" w:cs="宋体"/>
          <w:b/>
          <w:sz w:val="21"/>
        </w:rPr>
      </w:pPr>
      <w:r>
        <w:rPr>
          <w:rFonts w:hint="eastAsia" w:ascii="宋体" w:hAnsi="宋体" w:eastAsia="宋体" w:cs="宋体"/>
          <w:b/>
          <w:sz w:val="21"/>
        </w:rPr>
        <w:t>表 4- 1工程环保措施落实情况对比一览表</w:t>
      </w:r>
    </w:p>
    <w:p>
      <w:pPr>
        <w:spacing w:after="0"/>
        <w:jc w:val="center"/>
        <w:rPr>
          <w:rFonts w:ascii="Times New Roman"/>
          <w:sz w:val="21"/>
        </w:rPr>
      </w:pP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20"/>
        <w:gridCol w:w="3059"/>
        <w:gridCol w:w="696"/>
        <w:gridCol w:w="695"/>
        <w:gridCol w:w="696"/>
        <w:gridCol w:w="1082"/>
        <w:gridCol w:w="914"/>
        <w:gridCol w:w="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3059"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项目和费用名称</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单价</w:t>
            </w:r>
          </w:p>
        </w:tc>
        <w:tc>
          <w:tcPr>
            <w:tcW w:w="695"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数量</w:t>
            </w:r>
          </w:p>
        </w:tc>
        <w:tc>
          <w:tcPr>
            <w:tcW w:w="696"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单位</w:t>
            </w:r>
          </w:p>
        </w:tc>
        <w:tc>
          <w:tcPr>
            <w:tcW w:w="1082"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lang w:eastAsia="zh-CN"/>
              </w:rPr>
              <w:t>设计</w:t>
            </w:r>
            <w:r>
              <w:rPr>
                <w:rFonts w:hint="eastAsia" w:ascii="宋体" w:hAnsi="宋体" w:eastAsia="宋体" w:cs="宋体"/>
                <w:b/>
                <w:color w:val="auto"/>
                <w:sz w:val="21"/>
                <w:szCs w:val="21"/>
              </w:rPr>
              <w:t>费用</w:t>
            </w:r>
          </w:p>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(万元)</w:t>
            </w:r>
          </w:p>
        </w:tc>
        <w:tc>
          <w:tcPr>
            <w:tcW w:w="914" w:type="dxa"/>
            <w:noWrap w:val="0"/>
            <w:vAlign w:val="center"/>
          </w:tcPr>
          <w:p>
            <w:pPr>
              <w:spacing w:line="24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lang w:eastAsia="zh-CN"/>
              </w:rPr>
              <w:t>实际</w:t>
            </w:r>
            <w:r>
              <w:rPr>
                <w:rFonts w:hint="eastAsia" w:ascii="宋体" w:hAnsi="宋体" w:eastAsia="宋体" w:cs="宋体"/>
                <w:b/>
                <w:color w:val="auto"/>
                <w:sz w:val="21"/>
                <w:szCs w:val="21"/>
              </w:rPr>
              <w:t>费用</w:t>
            </w:r>
          </w:p>
          <w:p>
            <w:pPr>
              <w:spacing w:line="240" w:lineRule="auto"/>
              <w:ind w:left="0" w:leftChars="0" w:right="0" w:rightChars="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(万元)</w:t>
            </w:r>
          </w:p>
        </w:tc>
        <w:tc>
          <w:tcPr>
            <w:tcW w:w="914" w:type="dxa"/>
            <w:noWrap w:val="0"/>
            <w:vAlign w:val="center"/>
          </w:tcPr>
          <w:p>
            <w:pPr>
              <w:tabs>
                <w:tab w:val="left" w:pos="671"/>
              </w:tabs>
              <w:spacing w:line="240" w:lineRule="auto"/>
              <w:ind w:left="0" w:leftChars="0" w:right="0" w:rightChars="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备</w:t>
            </w:r>
            <w:r>
              <w:rPr>
                <w:rFonts w:hint="eastAsia" w:ascii="宋体" w:hAnsi="宋体" w:eastAsia="宋体" w:cs="宋体"/>
                <w:b/>
                <w:color w:val="auto"/>
                <w:sz w:val="21"/>
                <w:szCs w:val="21"/>
              </w:rPr>
              <w:tab/>
            </w:r>
            <w:r>
              <w:rPr>
                <w:rFonts w:hint="eastAsia" w:ascii="宋体" w:hAnsi="宋体" w:eastAsia="宋体" w:cs="宋体"/>
                <w:b/>
                <w:color w:val="auto"/>
                <w:sz w:val="21"/>
                <w:szCs w:val="21"/>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生态影响补偿</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16</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生态用水下泄联网</w:t>
            </w:r>
          </w:p>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在线监控措施</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6</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人工增殖放流鱼苗</w:t>
            </w:r>
          </w:p>
        </w:tc>
        <w:tc>
          <w:tcPr>
            <w:tcW w:w="696"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695"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10</w:t>
            </w:r>
          </w:p>
        </w:tc>
        <w:tc>
          <w:tcPr>
            <w:tcW w:w="696" w:type="dxa"/>
            <w:noWrap w:val="0"/>
            <w:vAlign w:val="center"/>
          </w:tcPr>
          <w:p>
            <w:pPr>
              <w:spacing w:line="240" w:lineRule="auto"/>
              <w:jc w:val="center"/>
              <w:rPr>
                <w:rFonts w:ascii="Times New Roman" w:hAnsi="Times New Roman" w:cs="Times New Roman"/>
                <w:color w:val="auto"/>
                <w:sz w:val="21"/>
                <w:szCs w:val="21"/>
              </w:rPr>
            </w:pPr>
            <w:r>
              <w:rPr>
                <w:rFonts w:hint="eastAsia" w:ascii="宋体" w:hAnsi="宋体" w:eastAsia="宋体" w:cs="宋体"/>
                <w:color w:val="auto"/>
                <w:sz w:val="21"/>
                <w:szCs w:val="21"/>
              </w:rPr>
              <w:t>年</w:t>
            </w: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10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10</w:t>
            </w:r>
          </w:p>
        </w:tc>
        <w:tc>
          <w:tcPr>
            <w:tcW w:w="914" w:type="dxa"/>
            <w:noWrap w:val="0"/>
            <w:vAlign w:val="center"/>
          </w:tcPr>
          <w:p>
            <w:pPr>
              <w:spacing w:line="24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按</w:t>
            </w:r>
            <w:r>
              <w:rPr>
                <w:rFonts w:hint="eastAsia" w:ascii="Times New Roman" w:hAnsi="Times New Roman" w:cs="Times New Roman"/>
                <w:color w:val="auto"/>
                <w:sz w:val="21"/>
                <w:szCs w:val="21"/>
                <w:lang w:val="en-US"/>
              </w:rPr>
              <w:t>10</w:t>
            </w:r>
            <w:r>
              <w:rPr>
                <w:rFonts w:hint="eastAsia" w:ascii="宋体" w:hAnsi="宋体" w:eastAsia="宋体" w:cs="宋体"/>
                <w:color w:val="auto"/>
                <w:sz w:val="21"/>
                <w:szCs w:val="21"/>
                <w:lang w:val="en-US"/>
              </w:rPr>
              <w:t>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固废防治</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设置危废暂存间</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3</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环境风险</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变压器下方设置事故油池</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4</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运行期环境监测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8</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8</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1）</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定期监测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6</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6</w:t>
            </w:r>
          </w:p>
        </w:tc>
        <w:tc>
          <w:tcPr>
            <w:tcW w:w="914" w:type="dxa"/>
            <w:noWrap w:val="0"/>
            <w:vAlign w:val="center"/>
          </w:tcPr>
          <w:p>
            <w:pPr>
              <w:spacing w:line="24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按</w:t>
            </w:r>
            <w:r>
              <w:rPr>
                <w:rFonts w:hint="eastAsia" w:ascii="Times New Roman" w:hAnsi="Times New Roman" w:cs="Times New Roman"/>
                <w:color w:val="auto"/>
                <w:sz w:val="21"/>
                <w:szCs w:val="21"/>
                <w:lang w:val="en-US"/>
              </w:rPr>
              <w:t>10</w:t>
            </w:r>
            <w:r>
              <w:rPr>
                <w:rFonts w:hint="eastAsia" w:ascii="宋体" w:hAnsi="宋体" w:eastAsia="宋体" w:cs="宋体"/>
                <w:color w:val="auto"/>
                <w:sz w:val="21"/>
                <w:szCs w:val="21"/>
                <w:lang w:val="en-US"/>
              </w:rPr>
              <w:t>年计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rPr>
              <w:t>2）</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库区大断面冲淤监测</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5</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环境管理费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2</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rPr>
              <w:t>6</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竣工环保验收费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10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ascii="Times New Roman" w:hAnsi="Times New Roman" w:cs="Times New Roman"/>
                <w:color w:val="auto"/>
                <w:sz w:val="21"/>
                <w:szCs w:val="21"/>
                <w:lang w:val="en-US"/>
              </w:rPr>
              <w:t>10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20" w:type="dxa"/>
            <w:noWrap w:val="0"/>
            <w:vAlign w:val="center"/>
          </w:tcPr>
          <w:p>
            <w:pPr>
              <w:spacing w:line="240" w:lineRule="auto"/>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7</w:t>
            </w:r>
          </w:p>
        </w:tc>
        <w:tc>
          <w:tcPr>
            <w:tcW w:w="3059" w:type="dxa"/>
            <w:noWrap w:val="0"/>
            <w:vAlign w:val="center"/>
          </w:tcPr>
          <w:p>
            <w:pPr>
              <w:spacing w:line="24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基本预备费</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10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10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79" w:type="dxa"/>
            <w:gridSpan w:val="2"/>
            <w:noWrap w:val="0"/>
            <w:vAlign w:val="center"/>
          </w:tcPr>
          <w:p>
            <w:pPr>
              <w:spacing w:line="240" w:lineRule="auto"/>
              <w:jc w:val="center"/>
              <w:rPr>
                <w:rFonts w:ascii="Times New Roman" w:hAnsi="Times New Roman" w:cs="Times New Roman"/>
                <w:color w:val="auto"/>
                <w:sz w:val="21"/>
                <w:szCs w:val="21"/>
              </w:rPr>
            </w:pPr>
            <w:r>
              <w:rPr>
                <w:rFonts w:hint="eastAsia" w:ascii="宋体" w:hAnsi="宋体" w:eastAsia="宋体" w:cs="宋体"/>
                <w:color w:val="auto"/>
                <w:sz w:val="21"/>
                <w:szCs w:val="21"/>
              </w:rPr>
              <w:t>新增环保投资合计</w:t>
            </w: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695" w:type="dxa"/>
            <w:noWrap w:val="0"/>
            <w:vAlign w:val="center"/>
          </w:tcPr>
          <w:p>
            <w:pPr>
              <w:spacing w:line="240" w:lineRule="auto"/>
              <w:jc w:val="center"/>
              <w:rPr>
                <w:rFonts w:ascii="Times New Roman" w:hAnsi="Times New Roman" w:cs="Times New Roman"/>
                <w:color w:val="auto"/>
                <w:sz w:val="21"/>
                <w:szCs w:val="21"/>
              </w:rPr>
            </w:pPr>
          </w:p>
        </w:tc>
        <w:tc>
          <w:tcPr>
            <w:tcW w:w="696" w:type="dxa"/>
            <w:noWrap w:val="0"/>
            <w:vAlign w:val="center"/>
          </w:tcPr>
          <w:p>
            <w:pPr>
              <w:spacing w:line="240" w:lineRule="auto"/>
              <w:jc w:val="center"/>
              <w:rPr>
                <w:rFonts w:ascii="Times New Roman" w:hAnsi="Times New Roman" w:cs="Times New Roman"/>
                <w:color w:val="auto"/>
                <w:sz w:val="21"/>
                <w:szCs w:val="21"/>
              </w:rPr>
            </w:pPr>
          </w:p>
        </w:tc>
        <w:tc>
          <w:tcPr>
            <w:tcW w:w="1082" w:type="dxa"/>
            <w:noWrap w:val="0"/>
            <w:vAlign w:val="center"/>
          </w:tcPr>
          <w:p>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50</w:t>
            </w:r>
          </w:p>
        </w:tc>
        <w:tc>
          <w:tcPr>
            <w:tcW w:w="914" w:type="dxa"/>
            <w:noWrap w:val="0"/>
            <w:vAlign w:val="center"/>
          </w:tcPr>
          <w:p>
            <w:pPr>
              <w:spacing w:line="240" w:lineRule="auto"/>
              <w:ind w:left="0" w:leftChars="0" w:right="0" w:rightChars="0"/>
              <w:jc w:val="center"/>
              <w:rPr>
                <w:rFonts w:ascii="Times New Roman" w:hAnsi="Times New Roman" w:cs="Times New Roman"/>
                <w:color w:val="auto"/>
                <w:sz w:val="21"/>
                <w:szCs w:val="21"/>
              </w:rPr>
            </w:pPr>
          </w:p>
        </w:tc>
      </w:tr>
    </w:tbl>
    <w:p>
      <w:pPr>
        <w:spacing w:after="0"/>
        <w:jc w:val="center"/>
        <w:rPr>
          <w:rFonts w:ascii="Times New Roman"/>
          <w:sz w:val="21"/>
        </w:rPr>
        <w:sectPr>
          <w:pgSz w:w="11910" w:h="16840"/>
          <w:pgMar w:top="1380" w:right="560" w:bottom="1180" w:left="1660" w:header="0" w:footer="991" w:gutter="0"/>
        </w:sectPr>
      </w:pP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“三同时”落实情况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rPr>
      </w:pPr>
      <w:r>
        <w:rPr>
          <w:rFonts w:hint="default" w:ascii="Times New Roman" w:hAnsi="Times New Roman" w:eastAsia="宋体" w:cs="Times New Roman"/>
          <w:b w:val="0"/>
          <w:bCs w:val="0"/>
          <w:color w:val="auto"/>
          <w:spacing w:val="-11"/>
          <w:kern w:val="0"/>
          <w:sz w:val="24"/>
          <w:szCs w:val="24"/>
          <w:highlight w:val="none"/>
          <w:lang w:eastAsia="zh-CN"/>
        </w:rPr>
        <w:t>青原区东井冈水电站增效扩容改造工程</w:t>
      </w:r>
      <w:r>
        <w:rPr>
          <w:rFonts w:hint="eastAsia" w:ascii="Times New Roman" w:hAnsi="Times New Roman" w:eastAsia="宋体" w:cs="Times New Roman"/>
          <w:b w:val="0"/>
          <w:bCs w:val="0"/>
          <w:color w:val="auto"/>
          <w:spacing w:val="-11"/>
          <w:kern w:val="0"/>
          <w:sz w:val="24"/>
          <w:szCs w:val="24"/>
          <w:highlight w:val="none"/>
          <w:lang w:eastAsia="zh-CN"/>
        </w:rPr>
        <w:t>项目</w:t>
      </w:r>
      <w:r>
        <w:rPr>
          <w:rFonts w:hint="eastAsia" w:ascii="宋体" w:hAnsi="宋体" w:eastAsia="宋体" w:cs="宋体"/>
          <w:spacing w:val="-6"/>
        </w:rPr>
        <w:t>在立项、环评、初步设计等手续齐全，环保设施与主</w:t>
      </w:r>
      <w:r>
        <w:rPr>
          <w:rFonts w:hint="eastAsia" w:ascii="宋体" w:hAnsi="宋体" w:eastAsia="宋体" w:cs="宋体"/>
          <w:spacing w:val="-9"/>
        </w:rPr>
        <w:t>体工程同时设计、施工、投入使用。项目环评、环保审批等手续齐全，执行了国</w:t>
      </w:r>
      <w:r>
        <w:rPr>
          <w:rFonts w:hint="eastAsia" w:ascii="宋体" w:hAnsi="宋体" w:eastAsia="宋体" w:cs="宋体"/>
        </w:rPr>
        <w:t>家环境保护“三同时”</w:t>
      </w:r>
      <w:r>
        <w:rPr>
          <w:rFonts w:hint="eastAsia" w:ascii="宋体" w:hAnsi="宋体" w:eastAsia="宋体" w:cs="宋体"/>
          <w:spacing w:val="-8"/>
        </w:rPr>
        <w:t>的有关规定，符合《环境影响评价法》和《建设项目环境保</w:t>
      </w:r>
      <w:r>
        <w:rPr>
          <w:rFonts w:hint="eastAsia" w:ascii="宋体" w:hAnsi="宋体" w:eastAsia="宋体" w:cs="宋体"/>
          <w:spacing w:val="-9"/>
        </w:rPr>
        <w:t>护管理条例》中的有关规定。根据企业提供的资料和现场踏勘情况，并与建设项</w:t>
      </w:r>
      <w:r>
        <w:rPr>
          <w:rFonts w:hint="eastAsia" w:ascii="宋体" w:hAnsi="宋体" w:eastAsia="宋体" w:cs="宋体"/>
          <w:spacing w:val="-10"/>
        </w:rPr>
        <w:t>目环评报告书，工程设计书及批复文件进行对比，企业的建设内容与环评提出的</w:t>
      </w:r>
      <w:r>
        <w:rPr>
          <w:rFonts w:hint="eastAsia" w:ascii="宋体" w:hAnsi="宋体" w:eastAsia="宋体" w:cs="宋体"/>
        </w:rPr>
        <w:t>要求基本一致，项目“三同时”落实情况见表 4-</w:t>
      </w:r>
      <w:r>
        <w:rPr>
          <w:rFonts w:hint="eastAsia" w:ascii="宋体" w:hAnsi="宋体" w:eastAsia="宋体" w:cs="宋体"/>
          <w:spacing w:val="4"/>
        </w:rPr>
        <w:t>2</w:t>
      </w:r>
      <w:r>
        <w:rPr>
          <w:rFonts w:hint="eastAsia" w:ascii="宋体" w:hAnsi="宋体" w:eastAsia="宋体" w:cs="宋体"/>
        </w:rPr>
        <w:t>。</w:t>
      </w:r>
    </w:p>
    <w:p>
      <w:pPr>
        <w:spacing w:after="0" w:line="364" w:lineRule="auto"/>
        <w:jc w:val="both"/>
        <w:sectPr>
          <w:pgSz w:w="11910" w:h="16840"/>
          <w:pgMar w:top="1360" w:right="560" w:bottom="1180" w:left="1660" w:header="0" w:footer="991" w:gutter="0"/>
        </w:sectPr>
      </w:pPr>
    </w:p>
    <w:p>
      <w:pPr>
        <w:pStyle w:val="2"/>
        <w:spacing w:before="1"/>
        <w:rPr>
          <w:sz w:val="20"/>
        </w:rPr>
      </w:pPr>
    </w:p>
    <w:p>
      <w:pPr>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0"/>
        <w:jc w:val="center"/>
        <w:textAlignment w:val="auto"/>
        <w:rPr>
          <w:rFonts w:hint="eastAsia" w:ascii="宋体" w:hAnsi="宋体" w:eastAsia="宋体" w:cs="宋体"/>
          <w:b/>
          <w:sz w:val="21"/>
        </w:rPr>
      </w:pPr>
      <w:r>
        <w:rPr>
          <w:rFonts w:hint="eastAsia" w:ascii="宋体" w:hAnsi="宋体" w:eastAsia="宋体" w:cs="宋体"/>
          <w:b/>
          <w:sz w:val="21"/>
        </w:rPr>
        <w:t>表 4- 2企业“三同时”落实情况</w:t>
      </w:r>
    </w:p>
    <w:p>
      <w:pPr>
        <w:pStyle w:val="2"/>
        <w:spacing w:before="12"/>
        <w:rPr>
          <w:b/>
          <w:sz w:val="10"/>
        </w:rPr>
      </w:pPr>
    </w:p>
    <w:tbl>
      <w:tblPr>
        <w:tblStyle w:val="13"/>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277"/>
        <w:gridCol w:w="4605"/>
        <w:gridCol w:w="181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277" w:type="dxa"/>
            <w:tcBorders>
              <w:left w:val="single" w:color="000000" w:sz="6" w:space="0"/>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605" w:type="dxa"/>
            <w:tcBorders>
              <w:left w:val="single" w:color="000000" w:sz="6" w:space="0"/>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810" w:type="dxa"/>
            <w:tcBorders>
              <w:lef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35" w:hRule="atLeast"/>
        </w:trPr>
        <w:tc>
          <w:tcPr>
            <w:tcW w:w="687" w:type="dxa"/>
            <w:vMerge w:val="restart"/>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废水</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numPr>
                <w:ilvl w:val="0"/>
                <w:numId w:val="6"/>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4"/>
                <w:sz w:val="21"/>
                <w:szCs w:val="21"/>
                <w:lang w:eastAsia="zh-CN"/>
              </w:rPr>
              <w:t>①</w:t>
            </w:r>
            <w:r>
              <w:rPr>
                <w:rFonts w:hint="eastAsia" w:ascii="宋体" w:hAnsi="宋体" w:eastAsia="宋体" w:cs="宋体"/>
                <w:spacing w:val="-4"/>
                <w:sz w:val="21"/>
                <w:szCs w:val="21"/>
              </w:rPr>
              <w:t>加强对爆破药品的管理，防止散落水中污染水体。</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②</w:t>
            </w:r>
            <w:r>
              <w:rPr>
                <w:rFonts w:hint="eastAsia" w:ascii="宋体" w:hAnsi="宋体" w:eastAsia="宋体" w:cs="宋体"/>
                <w:spacing w:val="-5"/>
                <w:sz w:val="21"/>
                <w:szCs w:val="21"/>
              </w:rPr>
              <w:t>在施工人员集中的区域，应建化类池，防止生活废物直排入溪。</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5"/>
                <w:sz w:val="21"/>
                <w:szCs w:val="21"/>
                <w:lang w:eastAsia="zh-CN"/>
              </w:rPr>
              <w:t>③</w:t>
            </w:r>
            <w:r>
              <w:rPr>
                <w:rFonts w:hint="eastAsia" w:ascii="宋体" w:hAnsi="宋体" w:eastAsia="宋体" w:cs="宋体"/>
                <w:spacing w:val="-5"/>
                <w:sz w:val="21"/>
                <w:szCs w:val="21"/>
              </w:rPr>
              <w:t xml:space="preserve">在施工机械集中维修点，应建含油废水集水池， </w:t>
            </w:r>
            <w:r>
              <w:rPr>
                <w:rFonts w:hint="eastAsia" w:ascii="宋体" w:hAnsi="宋体" w:eastAsia="宋体" w:cs="宋体"/>
                <w:sz w:val="21"/>
                <w:szCs w:val="21"/>
              </w:rPr>
              <w:t>通过隔油处理后排放。</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9"/>
                <w:sz w:val="21"/>
                <w:szCs w:val="21"/>
              </w:rPr>
              <w:t>施工期间，机械维修和拆洗产生的废水及日常生活污水应有效处理</w:t>
            </w:r>
            <w:r>
              <w:rPr>
                <w:rFonts w:hint="eastAsia" w:ascii="宋体" w:hAnsi="宋体" w:eastAsia="宋体" w:cs="宋体"/>
                <w:spacing w:val="-15"/>
                <w:sz w:val="21"/>
                <w:szCs w:val="21"/>
              </w:rPr>
              <w:t>水污染物排放执行</w:t>
            </w:r>
            <w:r>
              <w:rPr>
                <w:rFonts w:hint="default" w:ascii="Times New Roman" w:hAnsi="Times New Roman" w:eastAsia="宋体" w:cs="Times New Roman"/>
                <w:sz w:val="21"/>
                <w:szCs w:val="21"/>
              </w:rPr>
              <w:t>GB8978-1996</w:t>
            </w:r>
            <w:r>
              <w:rPr>
                <w:rFonts w:hint="eastAsia" w:ascii="宋体" w:hAnsi="宋体" w:eastAsia="宋体" w:cs="宋体"/>
                <w:spacing w:val="-7"/>
                <w:sz w:val="21"/>
                <w:szCs w:val="21"/>
              </w:rPr>
              <w:t>《污水综合排放标准》中的一级排</w:t>
            </w:r>
            <w:r>
              <w:rPr>
                <w:rFonts w:hint="eastAsia" w:ascii="宋体" w:hAnsi="宋体" w:eastAsia="宋体" w:cs="宋体"/>
                <w:spacing w:val="-16"/>
                <w:position w:val="2"/>
                <w:sz w:val="21"/>
                <w:szCs w:val="21"/>
              </w:rPr>
              <w:t xml:space="preserve">放标准，即 </w:t>
            </w:r>
            <w:r>
              <w:rPr>
                <w:rFonts w:hint="eastAsia" w:ascii="Times New Roman" w:hAnsi="Times New Roman" w:eastAsia="宋体" w:cs="Times New Roman"/>
                <w:sz w:val="21"/>
                <w:szCs w:val="21"/>
              </w:rPr>
              <w:t>CODCr≤100mg/L</w:t>
            </w:r>
            <w:r>
              <w:rPr>
                <w:rFonts w:hint="eastAsia" w:ascii="宋体" w:hAnsi="宋体" w:eastAsia="宋体" w:cs="宋体"/>
                <w:position w:val="2"/>
                <w:sz w:val="21"/>
                <w:szCs w:val="21"/>
                <w:vertAlign w:val="baseline"/>
              </w:rPr>
              <w:t xml:space="preserve">， </w:t>
            </w:r>
            <w:r>
              <w:rPr>
                <w:rFonts w:hint="eastAsia" w:ascii="Times New Roman" w:hAnsi="Times New Roman" w:eastAsia="宋体" w:cs="Times New Roman"/>
                <w:sz w:val="21"/>
                <w:szCs w:val="21"/>
              </w:rPr>
              <w:t>BOD5≤</w:t>
            </w:r>
            <w:r>
              <w:rPr>
                <w:rFonts w:hint="eastAsia"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rPr>
              <w:t>0mg/L</w:t>
            </w:r>
            <w:r>
              <w:rPr>
                <w:rFonts w:hint="eastAsia" w:ascii="宋体" w:hAnsi="宋体" w:eastAsia="宋体" w:cs="宋体"/>
                <w:position w:val="2"/>
                <w:sz w:val="21"/>
                <w:szCs w:val="21"/>
                <w:vertAlign w:val="baseline"/>
              </w:rPr>
              <w:t>，</w:t>
            </w:r>
            <w:r>
              <w:rPr>
                <w:rFonts w:hint="eastAsia" w:ascii="Times New Roman" w:hAnsi="Times New Roman" w:eastAsia="宋体" w:cs="Times New Roman"/>
                <w:sz w:val="21"/>
                <w:szCs w:val="21"/>
              </w:rPr>
              <w:t>SS≤70mg/L</w:t>
            </w:r>
            <w:r>
              <w:rPr>
                <w:rFonts w:hint="eastAsia" w:ascii="宋体" w:hAnsi="宋体" w:eastAsia="宋体" w:cs="宋体"/>
                <w:position w:val="2"/>
                <w:sz w:val="21"/>
                <w:szCs w:val="21"/>
                <w:vertAlign w:val="baseline"/>
              </w:rPr>
              <w:t>，</w:t>
            </w:r>
            <w:r>
              <w:rPr>
                <w:rFonts w:hint="eastAsia" w:ascii="宋体" w:hAnsi="宋体" w:eastAsia="宋体" w:cs="宋体"/>
                <w:position w:val="2"/>
                <w:sz w:val="21"/>
                <w:szCs w:val="21"/>
                <w:vertAlign w:val="baseline"/>
                <w:lang w:eastAsia="zh-CN"/>
              </w:rPr>
              <w:t>石油类</w:t>
            </w:r>
            <w:r>
              <w:rPr>
                <w:rFonts w:hint="eastAsia" w:ascii="Times New Roman" w:hAnsi="Times New Roman" w:eastAsia="宋体" w:cs="Times New Roman"/>
                <w:sz w:val="21"/>
                <w:szCs w:val="21"/>
              </w:rPr>
              <w:t>≤10mg/L</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w:t>
            </w: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37"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考虑到特枯年份，坝下脱水段的用水需要，应预设放水孔，以满足脱水段农灌用水和植物生长的需水量。</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242" w:lineRule="auto"/>
              <w:ind w:left="0" w:right="0"/>
              <w:jc w:val="left"/>
              <w:textAlignment w:val="auto"/>
              <w:rPr>
                <w:rFonts w:hint="eastAsia" w:ascii="宋体" w:hAnsi="宋体" w:eastAsia="宋体" w:cs="宋体"/>
                <w:sz w:val="21"/>
                <w:szCs w:val="21"/>
              </w:rPr>
            </w:pPr>
            <w:r>
              <w:rPr>
                <w:rFonts w:hint="eastAsia" w:ascii="宋体" w:hAnsi="宋体" w:eastAsia="宋体" w:cs="宋体"/>
                <w:spacing w:val="-2"/>
                <w:sz w:val="21"/>
                <w:szCs w:val="21"/>
              </w:rPr>
              <w:t>工程在施工期和营运期应确保工程所在区域的地表水环境质量达</w:t>
            </w:r>
            <w:r>
              <w:rPr>
                <w:rFonts w:hint="eastAsia" w:ascii="宋体" w:hAnsi="宋体" w:eastAsia="宋体" w:cs="宋体"/>
                <w:sz w:val="21"/>
                <w:szCs w:val="21"/>
              </w:rPr>
              <w:t>到《地表水环境质量标准》(</w:t>
            </w:r>
            <w:r>
              <w:rPr>
                <w:rFonts w:hint="eastAsia" w:ascii="Times New Roman" w:hAnsi="Times New Roman" w:eastAsia="宋体" w:cs="Times New Roman"/>
                <w:sz w:val="21"/>
                <w:szCs w:val="21"/>
              </w:rPr>
              <w:t xml:space="preserve"> GB3838-2002 </w:t>
            </w:r>
            <w:r>
              <w:rPr>
                <w:rFonts w:hint="eastAsia" w:ascii="宋体" w:hAnsi="宋体" w:eastAsia="宋体" w:cs="宋体"/>
                <w:sz w:val="21"/>
                <w:szCs w:val="21"/>
              </w:rPr>
              <w:t>)Ⅲ类标准；</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867"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废气</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7"/>
                <w:sz w:val="21"/>
                <w:szCs w:val="21"/>
                <w:lang w:eastAsia="zh-CN"/>
              </w:rPr>
              <w:t>①</w:t>
            </w:r>
            <w:r>
              <w:rPr>
                <w:rFonts w:hint="eastAsia" w:ascii="宋体" w:hAnsi="宋体" w:eastAsia="宋体" w:cs="宋体"/>
                <w:spacing w:val="-7"/>
                <w:sz w:val="21"/>
                <w:szCs w:val="21"/>
              </w:rPr>
              <w:t>加强对施工汽车、挖掘机、拖拉机等燃油设备的维护，保持其完好运行，使燃料充分燃烧，节约能源， 减少大气污染物排放。</w:t>
            </w:r>
          </w:p>
          <w:p>
            <w:pPr>
              <w:pStyle w:val="19"/>
              <w:keepNext w:val="0"/>
              <w:keepLines w:val="0"/>
              <w:pageBreakBefore w:val="0"/>
              <w:widowControl w:val="0"/>
              <w:numPr>
                <w:ilvl w:val="0"/>
                <w:numId w:val="7"/>
              </w:numPr>
              <w:tabs>
                <w:tab w:val="left" w:pos="615"/>
              </w:tabs>
              <w:kinsoku/>
              <w:wordWrap/>
              <w:overflowPunct/>
              <w:topLinePunct w:val="0"/>
              <w:autoSpaceDE w:val="0"/>
              <w:autoSpaceDN w:val="0"/>
              <w:bidi w:val="0"/>
              <w:adjustRightInd/>
              <w:snapToGrid/>
              <w:spacing w:before="0" w:after="0" w:line="240" w:lineRule="auto"/>
              <w:ind w:left="0" w:right="0" w:hanging="602"/>
              <w:jc w:val="left"/>
              <w:textAlignment w:val="auto"/>
              <w:rPr>
                <w:rFonts w:hint="eastAsia" w:ascii="宋体" w:hAnsi="宋体" w:eastAsia="宋体" w:cs="宋体"/>
                <w:sz w:val="21"/>
                <w:szCs w:val="21"/>
              </w:rPr>
            </w:pPr>
            <w:r>
              <w:rPr>
                <w:rFonts w:hint="eastAsia" w:ascii="宋体" w:hAnsi="宋体" w:eastAsia="宋体" w:cs="宋体"/>
                <w:spacing w:val="-8"/>
                <w:sz w:val="21"/>
                <w:szCs w:val="21"/>
                <w:lang w:eastAsia="zh-CN"/>
              </w:rPr>
              <w:t>②</w:t>
            </w:r>
            <w:r>
              <w:rPr>
                <w:rFonts w:hint="eastAsia" w:ascii="宋体" w:hAnsi="宋体" w:eastAsia="宋体" w:cs="宋体"/>
                <w:spacing w:val="-8"/>
                <w:sz w:val="21"/>
                <w:szCs w:val="21"/>
              </w:rPr>
              <w:t>在运输、装卸建材时，尽量控制少洒落，必要时对</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临时道路采用洒水等措施以降低扬尘。对粉尘浓度高的施工点，工人配备防尘护具。</w:t>
            </w:r>
          </w:p>
        </w:tc>
        <w:tc>
          <w:tcPr>
            <w:tcW w:w="4605"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施工期间，大气污染物必须达到《大气污染物综合排放标准》(</w:t>
            </w:r>
            <w:r>
              <w:rPr>
                <w:rFonts w:hint="eastAsia" w:ascii="Times New Roman" w:hAnsi="Times New Roman" w:eastAsia="宋体" w:cs="Times New Roman"/>
                <w:sz w:val="21"/>
                <w:szCs w:val="21"/>
              </w:rPr>
              <w:t>GB16297-1996</w:t>
            </w:r>
            <w:r>
              <w:rPr>
                <w:rFonts w:hint="eastAsia" w:ascii="宋体" w:hAnsi="宋体" w:eastAsia="宋体" w:cs="宋体"/>
                <w:sz w:val="21"/>
                <w:szCs w:val="21"/>
              </w:rPr>
              <w:t>)</w:t>
            </w:r>
            <w:r>
              <w:rPr>
                <w:rFonts w:hint="eastAsia" w:ascii="宋体" w:hAnsi="宋体" w:eastAsia="宋体" w:cs="宋体"/>
                <w:spacing w:val="-3"/>
                <w:sz w:val="21"/>
                <w:szCs w:val="21"/>
              </w:rPr>
              <w:t xml:space="preserve"> 无组织排放监</w:t>
            </w:r>
            <w:r>
              <w:rPr>
                <w:rFonts w:hint="eastAsia" w:ascii="宋体" w:hAnsi="宋体" w:eastAsia="宋体" w:cs="宋体"/>
                <w:sz w:val="21"/>
                <w:szCs w:val="21"/>
              </w:rPr>
              <w:t>控浓度限值；</w:t>
            </w:r>
          </w:p>
        </w:tc>
        <w:tc>
          <w:tcPr>
            <w:tcW w:w="1810" w:type="dxa"/>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171" w:hRule="atLeast"/>
        </w:trPr>
        <w:tc>
          <w:tcPr>
            <w:tcW w:w="687" w:type="dxa"/>
            <w:vMerge w:val="restart"/>
            <w:tcBorders>
              <w:top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噪声</w:t>
            </w:r>
          </w:p>
        </w:tc>
        <w:tc>
          <w:tcPr>
            <w:tcW w:w="88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277"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①</w:t>
            </w:r>
            <w:r>
              <w:rPr>
                <w:rFonts w:hint="eastAsia" w:ascii="宋体" w:hAnsi="宋体" w:eastAsia="宋体" w:cs="宋体"/>
                <w:spacing w:val="-3"/>
                <w:sz w:val="21"/>
                <w:szCs w:val="21"/>
              </w:rPr>
              <w:t>尽量选择低噪声施工机械设备，对高噪声施工设备实行科学合理调配，应尽量将高噪声声设备安排在白天施工。</w:t>
            </w:r>
          </w:p>
          <w:p>
            <w:pPr>
              <w:pStyle w:val="19"/>
              <w:keepNext w:val="0"/>
              <w:keepLines w:val="0"/>
              <w:pageBreakBefore w:val="0"/>
              <w:widowControl w:val="0"/>
              <w:numPr>
                <w:ilvl w:val="0"/>
                <w:numId w:val="0"/>
              </w:numPr>
              <w:tabs>
                <w:tab w:val="left" w:pos="615"/>
              </w:tabs>
              <w:kinsoku/>
              <w:wordWrap/>
              <w:overflowPunct/>
              <w:topLinePunct w:val="0"/>
              <w:autoSpaceDE w:val="0"/>
              <w:autoSpaceDN w:val="0"/>
              <w:bidi w:val="0"/>
              <w:adjustRightInd/>
              <w:snapToGrid/>
              <w:spacing w:before="0" w:after="0" w:line="242" w:lineRule="auto"/>
              <w:ind w:leftChars="0" w:right="0" w:rightChars="0"/>
              <w:jc w:val="left"/>
              <w:textAlignment w:val="auto"/>
              <w:rPr>
                <w:rFonts w:hint="eastAsia" w:ascii="宋体" w:hAnsi="宋体" w:eastAsia="宋体" w:cs="宋体"/>
                <w:sz w:val="21"/>
                <w:szCs w:val="21"/>
              </w:rPr>
            </w:pPr>
            <w:r>
              <w:rPr>
                <w:rFonts w:hint="eastAsia" w:ascii="宋体" w:hAnsi="宋体" w:eastAsia="宋体" w:cs="宋体"/>
                <w:spacing w:val="-3"/>
                <w:sz w:val="21"/>
                <w:szCs w:val="21"/>
                <w:lang w:eastAsia="zh-CN"/>
              </w:rPr>
              <w:t>②</w:t>
            </w:r>
            <w:r>
              <w:rPr>
                <w:rFonts w:hint="eastAsia" w:ascii="宋体" w:hAnsi="宋体" w:eastAsia="宋体" w:cs="宋体"/>
                <w:spacing w:val="-3"/>
                <w:sz w:val="21"/>
                <w:szCs w:val="21"/>
              </w:rPr>
              <w:t>在离民居点较近的施工点，应尽可能采用低噪声的施工设备，必须采用高噪声设备施工</w:t>
            </w:r>
          </w:p>
          <w:p>
            <w:pPr>
              <w:pStyle w:val="19"/>
              <w:keepNext w:val="0"/>
              <w:keepLines w:val="0"/>
              <w:pageBreakBefore w:val="0"/>
              <w:widowControl w:val="0"/>
              <w:kinsoku/>
              <w:wordWrap/>
              <w:overflowPunct/>
              <w:topLinePunct w:val="0"/>
              <w:autoSpaceDE w:val="0"/>
              <w:autoSpaceDN w:val="0"/>
              <w:bidi w:val="0"/>
              <w:adjustRightInd/>
              <w:snapToGrid/>
              <w:spacing w:before="0" w:line="310" w:lineRule="atLeast"/>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的工艺，应尽可能紧凑，以缩短噪声影响时间，并在施工前通告当地居民。</w:t>
            </w:r>
          </w:p>
        </w:tc>
        <w:tc>
          <w:tcPr>
            <w:tcW w:w="4605"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2" w:lineRule="auto"/>
              <w:ind w:right="0"/>
              <w:jc w:val="left"/>
              <w:textAlignment w:val="auto"/>
              <w:rPr>
                <w:rFonts w:hint="eastAsia" w:ascii="宋体" w:hAnsi="宋体" w:eastAsia="宋体" w:cs="宋体"/>
                <w:sz w:val="21"/>
                <w:szCs w:val="21"/>
              </w:rPr>
            </w:pPr>
            <w:r>
              <w:rPr>
                <w:rFonts w:hint="eastAsia" w:ascii="宋体" w:hAnsi="宋体" w:eastAsia="宋体" w:cs="宋体"/>
                <w:spacing w:val="-8"/>
                <w:sz w:val="21"/>
                <w:szCs w:val="21"/>
              </w:rPr>
              <w:t>施工噪声必须达到《建筑施工</w:t>
            </w:r>
            <w:r>
              <w:rPr>
                <w:rFonts w:hint="eastAsia" w:ascii="宋体" w:hAnsi="宋体" w:eastAsia="宋体" w:cs="宋体"/>
                <w:spacing w:val="-17"/>
                <w:sz w:val="21"/>
                <w:szCs w:val="21"/>
              </w:rPr>
              <w:t>场界噪声限值》</w:t>
            </w:r>
            <w:r>
              <w:rPr>
                <w:rFonts w:hint="eastAsia" w:ascii="宋体" w:hAnsi="宋体" w:eastAsia="宋体" w:cs="宋体"/>
                <w:sz w:val="21"/>
                <w:szCs w:val="21"/>
              </w:rPr>
              <w:t>(</w:t>
            </w:r>
            <w:r>
              <w:rPr>
                <w:rFonts w:hint="eastAsia" w:ascii="Times New Roman" w:hAnsi="Times New Roman" w:eastAsia="宋体" w:cs="Times New Roman"/>
                <w:sz w:val="21"/>
                <w:szCs w:val="21"/>
              </w:rPr>
              <w:t>GB12523-90</w:t>
            </w:r>
            <w:r>
              <w:rPr>
                <w:rFonts w:hint="eastAsia" w:ascii="宋体" w:hAnsi="宋体" w:eastAsia="宋体" w:cs="宋体"/>
                <w:sz w:val="21"/>
                <w:szCs w:val="21"/>
              </w:rPr>
              <w:t>)标准要求。</w:t>
            </w:r>
          </w:p>
        </w:tc>
        <w:tc>
          <w:tcPr>
            <w:tcW w:w="1810" w:type="dxa"/>
            <w:tcBorders>
              <w:top w:val="single" w:color="000000" w:sz="6" w:space="0"/>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b/>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1" w:hRule="atLeast"/>
        </w:trPr>
        <w:tc>
          <w:tcPr>
            <w:tcW w:w="687" w:type="dxa"/>
            <w:vMerge w:val="continue"/>
            <w:tcBorders>
              <w:top w:val="nil"/>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277"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加强对发电机组的管理，保证机器完好运行，降低设备</w:t>
            </w:r>
          </w:p>
        </w:tc>
        <w:tc>
          <w:tcPr>
            <w:tcW w:w="4605"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发电厂房厂界噪声执行</w:t>
            </w:r>
            <w:r>
              <w:rPr>
                <w:rFonts w:hint="eastAsia" w:ascii="Times New Roman" w:hAnsi="Times New Roman" w:eastAsia="宋体" w:cs="Times New Roman"/>
                <w:spacing w:val="-9"/>
                <w:sz w:val="21"/>
                <w:szCs w:val="21"/>
                <w:lang w:val="en-US" w:eastAsia="zh-CN"/>
              </w:rPr>
              <w:t>GB3096-93</w:t>
            </w:r>
            <w:r>
              <w:rPr>
                <w:rFonts w:hint="eastAsia" w:ascii="宋体" w:hAnsi="宋体" w:eastAsia="宋体" w:cs="宋体"/>
                <w:sz w:val="21"/>
                <w:szCs w:val="21"/>
              </w:rPr>
              <w:t>《城市区域</w:t>
            </w:r>
          </w:p>
        </w:tc>
        <w:tc>
          <w:tcPr>
            <w:tcW w:w="1810" w:type="dxa"/>
            <w:tcBorders>
              <w:top w:val="single" w:color="000000" w:sz="6" w:space="0"/>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pStyle w:val="2"/>
        <w:spacing w:before="4"/>
        <w:rPr>
          <w:b/>
        </w:rPr>
      </w:pPr>
      <w:r>
        <mc:AlternateContent>
          <mc:Choice Requires="wps">
            <w:drawing>
              <wp:anchor distT="0" distB="0" distL="0" distR="0" simplePos="0" relativeHeight="251663360" behindDoc="1" locked="0" layoutInCell="1" allowOverlap="1">
                <wp:simplePos x="0" y="0"/>
                <wp:positionH relativeFrom="page">
                  <wp:posOffset>1143000</wp:posOffset>
                </wp:positionH>
                <wp:positionV relativeFrom="paragraph">
                  <wp:posOffset>225425</wp:posOffset>
                </wp:positionV>
                <wp:extent cx="8406130" cy="0"/>
                <wp:effectExtent l="0" t="0" r="0" b="0"/>
                <wp:wrapTopAndBottom/>
                <wp:docPr id="90" name="直线 12"/>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2" o:spid="_x0000_s1026" o:spt="20" style="position:absolute;left:0pt;margin-left:90pt;margin-top:17.75pt;height:0pt;width:661.9pt;mso-position-horizontal-relative:page;mso-wrap-distance-bottom:0pt;mso-wrap-distance-top:0pt;z-index:-251653120;mso-width-relative:page;mso-height-relative:page;" filled="f" stroked="t" coordsize="21600,21600" o:gfxdata="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&#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epkyV1wAAAAoBAAAPAAAAAAAAAAEAIAAAACIAAABk&#10;cnMvZG93bnJldi54bWxQSwECFAAUAAAACACHTuJAZ20ed84BAACPAwAADgAAAAAAAAABACAAAAAm&#10;AQAAZHJzL2Uyb0RvYy54bWxQSwUGAAAAAAYABgBZAQAAZgUAAAAA&#10;">
                <v:fill on="f" focussize="0,0"/>
                <v:stroke weight="0.48pt" color="#000000" joinstyle="round"/>
                <v:imagedata o:title=""/>
                <o:lock v:ext="edit" aspectratio="f"/>
                <w10:wrap type="topAndBottom"/>
              </v:line>
            </w:pict>
          </mc:Fallback>
        </mc:AlternateContent>
      </w:r>
    </w:p>
    <w:p>
      <w:pPr>
        <w:pStyle w:val="2"/>
        <w:rPr>
          <w:rFonts w:ascii="Times New Roman"/>
          <w:sz w:val="29"/>
        </w:rPr>
      </w:pPr>
    </w:p>
    <w:tbl>
      <w:tblPr>
        <w:tblStyle w:val="13"/>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87"/>
        <w:gridCol w:w="889"/>
        <w:gridCol w:w="5809"/>
        <w:gridCol w:w="4133"/>
        <w:gridCol w:w="175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1576" w:type="dxa"/>
            <w:gridSpan w:val="2"/>
            <w:tcBorders>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验收对象</w:t>
            </w:r>
          </w:p>
        </w:tc>
        <w:tc>
          <w:tcPr>
            <w:tcW w:w="5809" w:type="dxa"/>
            <w:tcBorders>
              <w:left w:val="single" w:color="000000" w:sz="6" w:space="0"/>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环评及设计要求</w:t>
            </w:r>
          </w:p>
        </w:tc>
        <w:tc>
          <w:tcPr>
            <w:tcW w:w="4133" w:type="dxa"/>
            <w:tcBorders>
              <w:left w:val="single" w:color="000000" w:sz="6" w:space="0"/>
              <w:righ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批复要求</w:t>
            </w:r>
          </w:p>
        </w:tc>
        <w:tc>
          <w:tcPr>
            <w:tcW w:w="1750" w:type="dxa"/>
            <w:tcBorders>
              <w:left w:val="single" w:color="000000" w:sz="6" w:space="0"/>
            </w:tcBorders>
            <w:shd w:val="clear" w:color="auto" w:fill="CCFFFF"/>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落实情况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22" w:hRule="atLeast"/>
        </w:trPr>
        <w:tc>
          <w:tcPr>
            <w:tcW w:w="687" w:type="dxa"/>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580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噪声源强，并加强厂房周围的绿化，既达到美化环境的效果，又起到消音减震作用，保证边界噪声达标排放。</w:t>
            </w:r>
          </w:p>
        </w:tc>
        <w:tc>
          <w:tcPr>
            <w:tcW w:w="4133"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环境噪声标</w:t>
            </w:r>
            <w:r>
              <w:rPr>
                <w:rFonts w:hint="eastAsia" w:ascii="宋体" w:hAnsi="宋体" w:eastAsia="宋体" w:cs="宋体"/>
                <w:spacing w:val="-19"/>
                <w:sz w:val="21"/>
                <w:szCs w:val="21"/>
              </w:rPr>
              <w:t>准》中</w:t>
            </w:r>
            <w:r>
              <w:rPr>
                <w:rFonts w:hint="eastAsia" w:ascii="宋体" w:hAnsi="宋体" w:eastAsia="宋体" w:cs="宋体"/>
                <w:spacing w:val="-19"/>
                <w:sz w:val="21"/>
                <w:szCs w:val="21"/>
                <w:lang w:val="en-US" w:eastAsia="zh-CN"/>
              </w:rPr>
              <w:t>2</w:t>
            </w:r>
            <w:r>
              <w:rPr>
                <w:rFonts w:hint="eastAsia" w:ascii="宋体" w:hAnsi="宋体" w:eastAsia="宋体" w:cs="宋体"/>
                <w:spacing w:val="-9"/>
                <w:sz w:val="21"/>
                <w:szCs w:val="21"/>
              </w:rPr>
              <w:t>类区标准，及昼间</w:t>
            </w:r>
            <w:r>
              <w:rPr>
                <w:rFonts w:hint="default" w:ascii="Times New Roman" w:hAnsi="Times New Roman" w:eastAsia="宋体" w:cs="Times New Roman"/>
                <w:spacing w:val="-9"/>
                <w:sz w:val="21"/>
                <w:szCs w:val="21"/>
                <w:lang w:val="en-US" w:eastAsia="zh-CN"/>
              </w:rPr>
              <w:t>60</w:t>
            </w:r>
            <w:r>
              <w:rPr>
                <w:rFonts w:hint="default" w:ascii="Times New Roman" w:hAnsi="Times New Roman" w:eastAsia="宋体" w:cs="Times New Roman"/>
                <w:sz w:val="21"/>
                <w:szCs w:val="21"/>
              </w:rPr>
              <w:t>dB（A）</w:t>
            </w:r>
            <w:r>
              <w:rPr>
                <w:rFonts w:hint="eastAsia" w:ascii="宋体" w:hAnsi="宋体" w:eastAsia="宋体" w:cs="宋体"/>
                <w:sz w:val="21"/>
                <w:szCs w:val="21"/>
              </w:rPr>
              <w:t>、夜间</w:t>
            </w:r>
            <w:r>
              <w:rPr>
                <w:rFonts w:hint="eastAsia" w:ascii="Times New Roman" w:hAnsi="Times New Roman" w:eastAsia="宋体" w:cs="Times New Roman"/>
                <w:spacing w:val="-9"/>
                <w:sz w:val="21"/>
                <w:szCs w:val="21"/>
                <w:lang w:val="en-US" w:eastAsia="zh-CN"/>
              </w:rPr>
              <w:t>50dB（A）</w:t>
            </w:r>
            <w:r>
              <w:rPr>
                <w:rFonts w:hint="eastAsia" w:ascii="宋体" w:hAnsi="宋体" w:eastAsia="宋体" w:cs="宋体"/>
                <w:sz w:val="21"/>
                <w:szCs w:val="21"/>
              </w:rPr>
              <w:t>。</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3" w:hRule="atLeast"/>
        </w:trPr>
        <w:tc>
          <w:tcPr>
            <w:tcW w:w="687" w:type="dxa"/>
            <w:vMerge w:val="restar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固废</w:t>
            </w:r>
          </w:p>
        </w:tc>
        <w:tc>
          <w:tcPr>
            <w:tcW w:w="889" w:type="dxa"/>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施工期</w:t>
            </w:r>
          </w:p>
        </w:tc>
        <w:tc>
          <w:tcPr>
            <w:tcW w:w="5809"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应建垃圾箱，集中收集及时清运并妥善填埋处理。</w:t>
            </w:r>
          </w:p>
        </w:tc>
        <w:tc>
          <w:tcPr>
            <w:tcW w:w="4133" w:type="dxa"/>
            <w:vMerge w:val="restar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hanging="3"/>
              <w:jc w:val="left"/>
              <w:textAlignment w:val="auto"/>
              <w:rPr>
                <w:rFonts w:hint="eastAsia" w:ascii="宋体" w:hAnsi="宋体" w:eastAsia="宋体" w:cs="宋体"/>
                <w:sz w:val="21"/>
                <w:szCs w:val="21"/>
              </w:rPr>
            </w:pPr>
            <w:r>
              <w:rPr>
                <w:rFonts w:hint="eastAsia" w:ascii="宋体" w:hAnsi="宋体" w:eastAsia="宋体" w:cs="宋体"/>
                <w:sz w:val="21"/>
                <w:szCs w:val="21"/>
              </w:rPr>
              <w:t>工程固体废物应在有挡墙且避水</w:t>
            </w:r>
            <w:r>
              <w:rPr>
                <w:rFonts w:hint="eastAsia" w:ascii="宋体" w:hAnsi="宋体" w:eastAsia="宋体" w:cs="宋体"/>
                <w:spacing w:val="-9"/>
                <w:sz w:val="21"/>
                <w:szCs w:val="21"/>
              </w:rPr>
              <w:t>的堆场堆放，并做好堆场表面植被</w:t>
            </w:r>
            <w:r>
              <w:rPr>
                <w:rFonts w:hint="eastAsia" w:ascii="宋体" w:hAnsi="宋体" w:eastAsia="宋体" w:cs="宋体"/>
                <w:spacing w:val="-11"/>
                <w:sz w:val="21"/>
                <w:szCs w:val="21"/>
              </w:rPr>
              <w:t>覆盖工作，避免弃渣不当而对环境</w:t>
            </w:r>
            <w:r>
              <w:rPr>
                <w:rFonts w:hint="eastAsia" w:ascii="宋体" w:hAnsi="宋体" w:eastAsia="宋体" w:cs="宋体"/>
                <w:sz w:val="21"/>
                <w:szCs w:val="21"/>
              </w:rPr>
              <w:t>造成污染。</w:t>
            </w:r>
          </w:p>
        </w:tc>
        <w:tc>
          <w:tcPr>
            <w:tcW w:w="1750" w:type="dxa"/>
            <w:vMerge w:val="restart"/>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61" w:hRule="atLeast"/>
        </w:trPr>
        <w:tc>
          <w:tcPr>
            <w:tcW w:w="687" w:type="dxa"/>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c>
          <w:tcPr>
            <w:tcW w:w="88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营运期</w:t>
            </w:r>
          </w:p>
        </w:tc>
        <w:tc>
          <w:tcPr>
            <w:tcW w:w="5809"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4133" w:type="dxa"/>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p>
        </w:tc>
        <w:tc>
          <w:tcPr>
            <w:tcW w:w="1750" w:type="dxa"/>
            <w:vMerge w:val="continue"/>
            <w:tcBorders>
              <w:top w:val="nil"/>
              <w:left w:val="single" w:color="000000" w:sz="6" w:space="0"/>
            </w:tcBorders>
            <w:vAlign w:val="center"/>
          </w:tcPr>
          <w:p>
            <w:pPr>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98" w:hRule="atLeast"/>
        </w:trPr>
        <w:tc>
          <w:tcPr>
            <w:tcW w:w="1576" w:type="dxa"/>
            <w:gridSpan w:val="2"/>
            <w:tcBorders>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水土保持</w:t>
            </w:r>
          </w:p>
        </w:tc>
        <w:tc>
          <w:tcPr>
            <w:tcW w:w="5809"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① 水土保持工程必须与主体工程同时设计、同时施工同时投入使用。</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② 做好预防工作，尽量减少施工过程中造成的水土流失，防止对征地范围以外水土资源的破坏。施工临时用地在施工结束后，要清除地表杂物并绿化。</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③由工程建设引起的水土流失均要求采取相应的治理措施，如挡土墙、护面墙、浆砌护坡、草皮等。</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④工程开挖的土石方，在工程中尽量加以利用，不能利用的弃方堆置在指定的弃渣场内。弃渣要防护，边坡要稳定，岩石、黄土不裸露。</w:t>
            </w:r>
          </w:p>
        </w:tc>
        <w:tc>
          <w:tcPr>
            <w:tcW w:w="4133" w:type="dxa"/>
            <w:tcBorders>
              <w:top w:val="single" w:color="000000" w:sz="6" w:space="0"/>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l、加强水污染物的处置工作。对</w:t>
            </w:r>
            <w:r>
              <w:rPr>
                <w:rFonts w:hint="eastAsia" w:ascii="宋体" w:hAnsi="宋体" w:eastAsia="宋体" w:cs="宋体"/>
                <w:spacing w:val="11"/>
                <w:sz w:val="21"/>
                <w:szCs w:val="21"/>
              </w:rPr>
              <w:t>施工过程中的砂石骨料加工系统</w:t>
            </w:r>
            <w:r>
              <w:rPr>
                <w:rFonts w:hint="eastAsia" w:ascii="宋体" w:hAnsi="宋体" w:eastAsia="宋体" w:cs="宋体"/>
                <w:spacing w:val="-7"/>
                <w:sz w:val="21"/>
                <w:szCs w:val="21"/>
              </w:rPr>
              <w:t>废水、混凝土拌和系统废水、基坑</w:t>
            </w:r>
            <w:r>
              <w:rPr>
                <w:rFonts w:hint="eastAsia" w:ascii="宋体" w:hAnsi="宋体" w:eastAsia="宋体" w:cs="宋体"/>
                <w:spacing w:val="-5"/>
                <w:sz w:val="21"/>
                <w:szCs w:val="21"/>
              </w:rPr>
              <w:t>排水和生活污水进行认真处理，达</w:t>
            </w:r>
            <w:r>
              <w:rPr>
                <w:rFonts w:hint="eastAsia" w:ascii="宋体" w:hAnsi="宋体" w:eastAsia="宋体" w:cs="宋体"/>
                <w:sz w:val="21"/>
                <w:szCs w:val="21"/>
              </w:rPr>
              <w:t>标排放。</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2、对施工期开挖、爆破、砂石骨料加工和混凝土搅拌过程中产生的粉尘妥善处理，防止对周边环境空气造成污染。</w:t>
            </w:r>
          </w:p>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left"/>
              <w:textAlignment w:val="auto"/>
              <w:rPr>
                <w:rFonts w:hint="eastAsia" w:ascii="宋体" w:hAnsi="宋体" w:eastAsia="宋体" w:cs="宋体"/>
                <w:sz w:val="21"/>
                <w:szCs w:val="21"/>
              </w:rPr>
            </w:pPr>
            <w:r>
              <w:rPr>
                <w:rFonts w:hint="eastAsia" w:ascii="宋体" w:hAnsi="宋体" w:eastAsia="宋体" w:cs="宋体"/>
                <w:sz w:val="21"/>
                <w:szCs w:val="21"/>
              </w:rPr>
              <w:t>3、由于建筑施工的开挖与填筑、</w:t>
            </w:r>
            <w:r>
              <w:rPr>
                <w:rFonts w:hint="eastAsia" w:ascii="宋体" w:hAnsi="宋体" w:eastAsia="宋体" w:cs="宋体"/>
                <w:spacing w:val="-17"/>
                <w:sz w:val="21"/>
                <w:szCs w:val="21"/>
              </w:rPr>
              <w:t>弃渣</w:t>
            </w:r>
            <w:r>
              <w:rPr>
                <w:rFonts w:hint="eastAsia" w:ascii="宋体" w:hAnsi="宋体" w:eastAsia="宋体" w:cs="宋体"/>
                <w:spacing w:val="-3"/>
                <w:sz w:val="21"/>
                <w:szCs w:val="21"/>
              </w:rPr>
              <w:t>（</w:t>
            </w:r>
            <w:r>
              <w:rPr>
                <w:rFonts w:hint="eastAsia" w:ascii="宋体" w:hAnsi="宋体" w:eastAsia="宋体" w:cs="宋体"/>
                <w:sz w:val="21"/>
                <w:szCs w:val="21"/>
              </w:rPr>
              <w:t>土</w:t>
            </w:r>
            <w:r>
              <w:rPr>
                <w:rFonts w:hint="eastAsia" w:ascii="宋体" w:hAnsi="宋体" w:eastAsia="宋体" w:cs="宋体"/>
                <w:spacing w:val="-34"/>
                <w:sz w:val="21"/>
                <w:szCs w:val="21"/>
              </w:rPr>
              <w:t>）</w:t>
            </w:r>
            <w:r>
              <w:rPr>
                <w:rFonts w:hint="eastAsia" w:ascii="宋体" w:hAnsi="宋体" w:eastAsia="宋体" w:cs="宋体"/>
                <w:sz w:val="21"/>
                <w:szCs w:val="21"/>
              </w:rPr>
              <w:t>的堆置等均易造成水土</w:t>
            </w:r>
            <w:r>
              <w:rPr>
                <w:rFonts w:hint="eastAsia" w:ascii="宋体" w:hAnsi="宋体" w:eastAsia="宋体" w:cs="宋体"/>
                <w:spacing w:val="-9"/>
                <w:sz w:val="21"/>
                <w:szCs w:val="21"/>
              </w:rPr>
              <w:t>流失，必须做好工程的生态环境保</w:t>
            </w:r>
            <w:r>
              <w:rPr>
                <w:rFonts w:hint="eastAsia" w:ascii="宋体" w:hAnsi="宋体" w:eastAsia="宋体" w:cs="宋体"/>
                <w:spacing w:val="-10"/>
                <w:sz w:val="21"/>
                <w:szCs w:val="21"/>
              </w:rPr>
              <w:t>护工作。施工完成后，应按照要求</w:t>
            </w:r>
            <w:r>
              <w:rPr>
                <w:rFonts w:hint="eastAsia" w:ascii="宋体" w:hAnsi="宋体" w:eastAsia="宋体" w:cs="宋体"/>
                <w:spacing w:val="-12"/>
                <w:sz w:val="21"/>
                <w:szCs w:val="21"/>
              </w:rPr>
              <w:t>及时对施工场地、弃渣场、施工递路和施工营地等采取工程、植树</w:t>
            </w:r>
            <w:r>
              <w:rPr>
                <w:rFonts w:hint="eastAsia" w:ascii="宋体" w:hAnsi="宋体" w:eastAsia="宋体" w:cs="宋体"/>
                <w:sz w:val="21"/>
                <w:szCs w:val="21"/>
              </w:rPr>
              <w:t>种草等措施予以防护和恢复， 防止水土流失。</w:t>
            </w:r>
          </w:p>
        </w:tc>
        <w:tc>
          <w:tcPr>
            <w:tcW w:w="1750" w:type="dxa"/>
            <w:tcBorders>
              <w:left w:val="single" w:color="000000" w:sz="6" w:space="0"/>
            </w:tcBorders>
            <w:vAlign w:val="center"/>
          </w:tcPr>
          <w:p>
            <w:pPr>
              <w:pStyle w:val="19"/>
              <w:keepNext w:val="0"/>
              <w:keepLines w:val="0"/>
              <w:pageBreakBefore w:val="0"/>
              <w:widowControl w:val="0"/>
              <w:kinsoku/>
              <w:wordWrap/>
              <w:overflowPunct/>
              <w:topLinePunct w:val="0"/>
              <w:autoSpaceDE w:val="0"/>
              <w:autoSpaceDN w:val="0"/>
              <w:bidi w:val="0"/>
              <w:adjustRightInd/>
              <w:snapToGrid/>
              <w:spacing w:before="0" w:line="360" w:lineRule="auto"/>
              <w:ind w:left="0" w:right="0"/>
              <w:jc w:val="center"/>
              <w:textAlignment w:val="auto"/>
              <w:rPr>
                <w:rFonts w:hint="eastAsia" w:ascii="宋体" w:hAnsi="宋体" w:eastAsia="宋体" w:cs="宋体"/>
                <w:sz w:val="21"/>
                <w:szCs w:val="21"/>
              </w:rPr>
            </w:pPr>
            <w:r>
              <w:rPr>
                <w:rFonts w:hint="eastAsia" w:ascii="宋体" w:hAnsi="宋体" w:eastAsia="宋体" w:cs="宋体"/>
                <w:sz w:val="21"/>
                <w:szCs w:val="21"/>
              </w:rPr>
              <w:t>已落实</w:t>
            </w:r>
          </w:p>
        </w:tc>
      </w:tr>
    </w:tbl>
    <w:p>
      <w:pPr>
        <w:spacing w:after="0"/>
        <w:rPr>
          <w:sz w:val="24"/>
        </w:rPr>
        <w:sectPr>
          <w:footerReference r:id="rId8" w:type="default"/>
          <w:pgSz w:w="16840" w:h="11910" w:orient="landscape"/>
          <w:pgMar w:top="1100" w:right="1640" w:bottom="1060" w:left="1660" w:header="0" w:footer="875" w:gutter="0"/>
        </w:sectPr>
      </w:pPr>
    </w:p>
    <w:p>
      <w:pPr>
        <w:pStyle w:val="3"/>
        <w:numPr>
          <w:ilvl w:val="0"/>
          <w:numId w:val="4"/>
        </w:numPr>
        <w:tabs>
          <w:tab w:val="left" w:pos="498"/>
        </w:tabs>
        <w:spacing w:before="83" w:after="0" w:line="240" w:lineRule="auto"/>
        <w:ind w:left="497" w:right="0" w:hanging="361"/>
        <w:jc w:val="left"/>
        <w:rPr>
          <w:rFonts w:hint="eastAsia" w:ascii="宋体" w:hAnsi="宋体" w:eastAsia="宋体" w:cs="宋体"/>
        </w:rPr>
      </w:pPr>
      <w:bookmarkStart w:id="119" w:name="_bookmark19"/>
      <w:bookmarkEnd w:id="119"/>
      <w:bookmarkStart w:id="120" w:name="5环境影响调查"/>
      <w:bookmarkEnd w:id="120"/>
      <w:bookmarkStart w:id="121" w:name="_bookmark19"/>
      <w:bookmarkEnd w:id="121"/>
      <w:r>
        <w:rPr>
          <w:rFonts w:hint="eastAsia" w:ascii="宋体" w:hAnsi="宋体" w:eastAsia="宋体" w:cs="宋体"/>
        </w:rPr>
        <w:t>环境影响调查</w:t>
      </w:r>
    </w:p>
    <w:p>
      <w:pPr>
        <w:pStyle w:val="2"/>
        <w:spacing w:before="7"/>
        <w:rPr>
          <w:rFonts w:hint="eastAsia" w:ascii="宋体" w:hAnsi="宋体" w:eastAsia="宋体" w:cs="宋体"/>
          <w:b/>
          <w:sz w:val="37"/>
        </w:rPr>
      </w:pP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22" w:name="_bookmark20"/>
      <w:bookmarkEnd w:id="122"/>
      <w:bookmarkStart w:id="123" w:name="_bookmark20"/>
      <w:bookmarkEnd w:id="123"/>
      <w:bookmarkStart w:id="124" w:name="5.1生态环境影响调查"/>
      <w:bookmarkEnd w:id="124"/>
      <w:r>
        <w:rPr>
          <w:rFonts w:hint="eastAsia" w:ascii="宋体" w:hAnsi="宋体" w:eastAsia="宋体" w:cs="宋体"/>
        </w:rPr>
        <w:t>生态环境影响调查</w:t>
      </w:r>
    </w:p>
    <w:p>
      <w:pPr>
        <w:pStyle w:val="18"/>
        <w:numPr>
          <w:ilvl w:val="2"/>
          <w:numId w:val="4"/>
        </w:numPr>
        <w:tabs>
          <w:tab w:val="left" w:pos="836"/>
        </w:tabs>
        <w:spacing w:before="244" w:after="0" w:line="240" w:lineRule="auto"/>
        <w:ind w:left="836" w:right="0" w:hanging="699"/>
        <w:jc w:val="left"/>
        <w:rPr>
          <w:rFonts w:hint="eastAsia" w:ascii="宋体" w:hAnsi="宋体" w:eastAsia="宋体" w:cs="宋体"/>
          <w:b/>
          <w:sz w:val="28"/>
        </w:rPr>
      </w:pPr>
      <w:bookmarkStart w:id="125" w:name="5.1.1地形、地貌调查"/>
      <w:bookmarkEnd w:id="125"/>
      <w:bookmarkStart w:id="126" w:name="5.1.1地形、地貌调查"/>
      <w:bookmarkEnd w:id="126"/>
      <w:r>
        <w:rPr>
          <w:rFonts w:hint="eastAsia" w:ascii="宋体" w:hAnsi="宋体" w:eastAsia="宋体" w:cs="宋体"/>
          <w:b/>
          <w:sz w:val="28"/>
        </w:rPr>
        <w:t>地形、地貌调查</w:t>
      </w:r>
    </w:p>
    <w:p>
      <w:pPr>
        <w:pStyle w:val="2"/>
        <w:spacing w:before="11"/>
        <w:rPr>
          <w:b/>
          <w:sz w:val="23"/>
        </w:rPr>
      </w:pP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流域内农业以生产水稻为主，主要农特产品有茶叶、笋竹、中草药材、荞头等。区内植被发育，为轻度水土流失区。主要岩层为加里东期的汤湖花岗岩体，为侵入型花岗岩，裂隙发育，河流“U"型河谷发育。河道为山区性河流，两岸基岩裸露，河谷为该岩石的漂石及滚石。坝址区附近未见不良物理地质现象，主要分布有加里东期侵入花岗岩及第四系冲积层。</w:t>
      </w:r>
    </w:p>
    <w:p>
      <w:pPr>
        <w:kinsoku/>
        <w:wordWrap/>
        <w:overflowPunct/>
        <w:topLinePunct w:val="0"/>
        <w:autoSpaceDE/>
        <w:autoSpaceDN/>
        <w:bidi w:val="0"/>
        <w:adjustRightInd/>
        <w:snapToGrid/>
        <w:spacing w:line="360" w:lineRule="auto"/>
        <w:ind w:firstLine="480" w:firstLineChars="200"/>
        <w:rPr>
          <w:rFonts w:hint="eastAsia" w:ascii="宋体" w:hAnsi="宋体" w:eastAsia="宋体" w:cs="宋体"/>
          <w:sz w:val="24"/>
          <w:szCs w:val="24"/>
        </w:rPr>
      </w:pPr>
      <w:r>
        <w:rPr>
          <w:rFonts w:hint="eastAsia" w:ascii="宋体" w:hAnsi="宋体" w:eastAsia="宋体" w:cs="宋体"/>
          <w:color w:val="auto"/>
          <w:sz w:val="24"/>
          <w:szCs w:val="24"/>
        </w:rPr>
        <w:t>工程区域内为花岗岩区，无大断层，山高坡陡，场地内基岩裸露，地层岩性单一，无岩洞，土洞，大型滑坡等不良工程现象，工程地质性质稳定，区域为VI级以下地震设防区，适合修建电站各水工程建筑物。</w:t>
      </w:r>
    </w:p>
    <w:p>
      <w:pPr>
        <w:pStyle w:val="18"/>
        <w:numPr>
          <w:ilvl w:val="2"/>
          <w:numId w:val="4"/>
        </w:numPr>
        <w:tabs>
          <w:tab w:val="left" w:pos="836"/>
        </w:tabs>
        <w:spacing w:before="123" w:after="0" w:line="240" w:lineRule="auto"/>
        <w:ind w:left="836" w:right="0" w:hanging="699"/>
        <w:jc w:val="left"/>
        <w:rPr>
          <w:rFonts w:hint="eastAsia" w:ascii="宋体" w:hAnsi="宋体" w:eastAsia="宋体" w:cs="宋体"/>
          <w:b/>
          <w:sz w:val="28"/>
        </w:rPr>
      </w:pPr>
      <w:bookmarkStart w:id="127" w:name="5.1.2植被与动物影响调查"/>
      <w:bookmarkEnd w:id="127"/>
      <w:bookmarkStart w:id="128" w:name="5.1.2植被与动物影响调查"/>
      <w:bookmarkEnd w:id="128"/>
      <w:r>
        <w:rPr>
          <w:rFonts w:hint="eastAsia" w:ascii="宋体" w:hAnsi="宋体" w:eastAsia="宋体" w:cs="宋体"/>
          <w:b/>
          <w:sz w:val="28"/>
        </w:rPr>
        <w:t>植被与动物影响调查</w:t>
      </w:r>
    </w:p>
    <w:p>
      <w:pPr>
        <w:pStyle w:val="2"/>
        <w:spacing w:before="10"/>
        <w:rPr>
          <w:b/>
          <w:sz w:val="23"/>
        </w:rPr>
      </w:pP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青原区境内评价范围内的生态系统可分为森林生态系统、湿地生态系统、农业生态系统和城镇、村落生态系统四大类。</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（1）森林生态系统</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评价范围内森林生态系统主要集中在富田水流域中上游区域，如东固乡、富田镇等地区。青原区境内富田水流域森林生态系统的面积为</w:t>
      </w:r>
      <w:r>
        <w:rPr>
          <w:rFonts w:hint="eastAsia" w:ascii="Times New Roman" w:hAnsi="Times New Roman" w:eastAsia="宋体" w:cs="Times New Roman"/>
          <w:b w:val="0"/>
          <w:bCs w:val="0"/>
          <w:sz w:val="24"/>
          <w:szCs w:val="24"/>
        </w:rPr>
        <w:t>385.87km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，占流域面积的71.73%。</w:t>
      </w:r>
    </w:p>
    <w:p>
      <w:pPr>
        <w:pStyle w:val="6"/>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（2）湿地生态系统</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sz w:val="24"/>
          <w:szCs w:val="24"/>
        </w:rPr>
      </w:pPr>
      <w:r>
        <w:rPr>
          <w:rFonts w:hint="eastAsia" w:ascii="宋体" w:hAnsi="宋体" w:eastAsia="宋体" w:cs="宋体"/>
          <w:b w:val="0"/>
          <w:bCs w:val="0"/>
          <w:sz w:val="24"/>
          <w:szCs w:val="24"/>
        </w:rPr>
        <w:t>富田水流域湿地生态系统以河流、湖泊和沼泽湿地为主。青原区境内富田水流域湿地生态系统的面积为</w:t>
      </w:r>
      <w:r>
        <w:rPr>
          <w:rFonts w:hint="default" w:ascii="Times New Roman" w:hAnsi="Times New Roman" w:eastAsia="宋体" w:cs="Times New Roman"/>
          <w:b w:val="0"/>
          <w:bCs w:val="0"/>
          <w:sz w:val="24"/>
          <w:szCs w:val="24"/>
        </w:rPr>
        <w:t>17.73km</w:t>
      </w:r>
      <w:r>
        <w:rPr>
          <w:rFonts w:hint="default" w:ascii="Times New Roman" w:hAnsi="Times New Roman" w:eastAsia="宋体" w:cs="Times New Roman"/>
          <w:b w:val="0"/>
          <w:bCs w:val="0"/>
          <w:sz w:val="24"/>
          <w:szCs w:val="24"/>
          <w:vertAlign w:val="superscript"/>
        </w:rPr>
        <w:t>2</w:t>
      </w:r>
      <w:r>
        <w:rPr>
          <w:rFonts w:hint="eastAsia" w:ascii="宋体" w:hAnsi="宋体" w:eastAsia="宋体" w:cs="宋体"/>
          <w:b w:val="0"/>
          <w:bCs w:val="0"/>
          <w:sz w:val="24"/>
          <w:szCs w:val="24"/>
        </w:rPr>
        <w:t>，占流域面积</w:t>
      </w:r>
      <w:r>
        <w:rPr>
          <w:rFonts w:hint="eastAsia" w:cs="宋体"/>
          <w:b w:val="0"/>
          <w:bCs w:val="0"/>
          <w:sz w:val="24"/>
          <w:szCs w:val="24"/>
          <w:lang w:eastAsia="zh-CN"/>
        </w:rPr>
        <w:t>的</w:t>
      </w:r>
      <w:r>
        <w:rPr>
          <w:rFonts w:hint="eastAsia" w:ascii="Times New Roman" w:hAnsi="Times New Roman" w:eastAsia="宋体" w:cs="Times New Roman"/>
          <w:b w:val="0"/>
          <w:bCs w:val="0"/>
          <w:sz w:val="24"/>
          <w:szCs w:val="24"/>
        </w:rPr>
        <w:t>3.3%</w:t>
      </w:r>
      <w:r>
        <w:rPr>
          <w:rFonts w:hint="eastAsia" w:ascii="宋体" w:hAnsi="宋体" w:eastAsia="宋体" w:cs="宋体"/>
          <w:b w:val="0"/>
          <w:bCs w:val="0"/>
          <w:sz w:val="24"/>
          <w:szCs w:val="24"/>
        </w:rPr>
        <w:t>。</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（3）农业生态系统</w:t>
      </w:r>
    </w:p>
    <w:p>
      <w:pPr>
        <w:pStyle w:val="6"/>
        <w:keepNext w:val="0"/>
        <w:keepLines w:val="0"/>
        <w:pageBreakBefore w:val="0"/>
        <w:widowControl w:val="0"/>
        <w:kinsoku/>
        <w:wordWrap/>
        <w:overflowPunct/>
        <w:topLinePunct w:val="0"/>
        <w:bidi w:val="0"/>
        <w:adjustRightInd/>
        <w:snapToGrid/>
        <w:spacing w:before="0" w:line="360" w:lineRule="auto"/>
        <w:ind w:left="0" w:firstLine="456"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评价范围的农业生态系统主要分布于干流和各级支流的两岸灌区和旱地地带。富田水流域农业生态系统的面积为</w:t>
      </w:r>
      <w:r>
        <w:rPr>
          <w:rFonts w:hint="eastAsia" w:ascii="Times New Roman" w:hAnsi="Times New Roman" w:eastAsia="宋体" w:cs="Times New Roman"/>
          <w:b w:val="0"/>
          <w:bCs w:val="0"/>
          <w:spacing w:val="0"/>
          <w:sz w:val="24"/>
          <w:szCs w:val="24"/>
          <w:lang w:val="zh-CN" w:eastAsia="zh-CN" w:bidi="zh-CN"/>
        </w:rPr>
        <w:t>97.32km</w:t>
      </w:r>
      <w:r>
        <w:rPr>
          <w:rFonts w:hint="eastAsia" w:ascii="Times New Roman" w:hAnsi="Times New Roman" w:eastAsia="宋体" w:cs="Times New Roman"/>
          <w:b w:val="0"/>
          <w:bCs w:val="0"/>
          <w:spacing w:val="0"/>
          <w:sz w:val="24"/>
          <w:szCs w:val="24"/>
          <w:vertAlign w:val="superscript"/>
          <w:lang w:val="zh-CN" w:eastAsia="zh-CN" w:bidi="zh-CN"/>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pacing w:val="0"/>
          <w:sz w:val="24"/>
          <w:szCs w:val="24"/>
          <w:lang w:val="zh-CN" w:eastAsia="zh-CN" w:bidi="zh-CN"/>
        </w:rPr>
        <w:t xml:space="preserve"> 18.1%</w:t>
      </w:r>
      <w:r>
        <w:rPr>
          <w:rFonts w:hint="eastAsia" w:ascii="宋体" w:hAnsi="宋体" w:eastAsia="宋体" w:cs="宋体"/>
          <w:b w:val="0"/>
          <w:bCs w:val="0"/>
          <w:color w:val="auto"/>
          <w:sz w:val="24"/>
          <w:szCs w:val="24"/>
        </w:rPr>
        <w:t>。</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（4）城镇</w:t>
      </w:r>
      <w:r>
        <w:rPr>
          <w:rFonts w:hint="eastAsia" w:cs="宋体"/>
          <w:b w:val="0"/>
          <w:bCs w:val="0"/>
          <w:color w:val="auto"/>
          <w:sz w:val="24"/>
          <w:szCs w:val="24"/>
          <w:lang w:eastAsia="zh-CN"/>
        </w:rPr>
        <w:t>、</w:t>
      </w:r>
      <w:r>
        <w:rPr>
          <w:rFonts w:hint="eastAsia" w:ascii="宋体" w:hAnsi="宋体" w:eastAsia="宋体" w:cs="宋体"/>
          <w:b w:val="0"/>
          <w:bCs w:val="0"/>
          <w:color w:val="auto"/>
          <w:sz w:val="24"/>
          <w:szCs w:val="24"/>
        </w:rPr>
        <w:t>村落生态系统</w:t>
      </w:r>
    </w:p>
    <w:p>
      <w:pPr>
        <w:pStyle w:val="5"/>
        <w:keepNext w:val="0"/>
        <w:keepLines w:val="0"/>
        <w:pageBreakBefore w:val="0"/>
        <w:widowControl w:val="0"/>
        <w:kinsoku/>
        <w:wordWrap/>
        <w:overflowPunct/>
        <w:topLinePunct w:val="0"/>
        <w:autoSpaceDE/>
        <w:autoSpaceDN/>
        <w:bidi w:val="0"/>
        <w:adjustRightInd/>
        <w:snapToGrid/>
        <w:spacing w:before="0" w:beforeLines="0" w:after="0" w:line="360" w:lineRule="auto"/>
        <w:ind w:left="0" w:leftChars="0" w:firstLine="480" w:firstLineChars="200"/>
        <w:textAlignment w:val="auto"/>
        <w:outlineLvl w:val="9"/>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评价范围内城镇/村落生态系统面积为</w:t>
      </w:r>
      <w:r>
        <w:rPr>
          <w:rFonts w:hint="eastAsia" w:ascii="Times New Roman" w:hAnsi="Times New Roman" w:eastAsia="宋体" w:cs="Times New Roman"/>
          <w:b w:val="0"/>
          <w:bCs w:val="0"/>
          <w:sz w:val="24"/>
          <w:szCs w:val="24"/>
        </w:rPr>
        <w:t>18.74km</w:t>
      </w:r>
      <w:r>
        <w:rPr>
          <w:rFonts w:hint="eastAsia" w:ascii="Times New Roman" w:hAnsi="Times New Roman" w:eastAsia="宋体" w:cs="Times New Roman"/>
          <w:b w:val="0"/>
          <w:bCs w:val="0"/>
          <w:sz w:val="24"/>
          <w:szCs w:val="24"/>
          <w:vertAlign w:val="superscript"/>
        </w:rPr>
        <w:t>2</w:t>
      </w:r>
      <w:r>
        <w:rPr>
          <w:rFonts w:hint="eastAsia" w:ascii="宋体" w:hAnsi="宋体" w:eastAsia="宋体" w:cs="宋体"/>
          <w:b w:val="0"/>
          <w:bCs w:val="0"/>
          <w:color w:val="auto"/>
          <w:sz w:val="24"/>
          <w:szCs w:val="24"/>
        </w:rPr>
        <w:t>，占流域面积的</w:t>
      </w:r>
      <w:r>
        <w:rPr>
          <w:rFonts w:hint="eastAsia" w:ascii="Times New Roman" w:hAnsi="Times New Roman" w:eastAsia="宋体" w:cs="Times New Roman"/>
          <w:b w:val="0"/>
          <w:bCs w:val="0"/>
          <w:sz w:val="24"/>
          <w:szCs w:val="24"/>
        </w:rPr>
        <w:t>3.48%</w:t>
      </w:r>
      <w:r>
        <w:rPr>
          <w:rFonts w:hint="eastAsia" w:ascii="宋体" w:hAnsi="宋体" w:eastAsia="宋体" w:cs="宋体"/>
          <w:b w:val="0"/>
          <w:bCs w:val="0"/>
          <w:color w:val="auto"/>
          <w:sz w:val="24"/>
          <w:szCs w:val="24"/>
        </w:rPr>
        <w:t>。城镇/村落生态系统的服务功能主要包括三大类：①提供生活和生产物质的功能，包括食物生产、原材料生产；②与人类日常生活和身心健康相关的生命支持的功能，包括：气候调节、水源涵养、固碳释氮、土壤形成与保护、净化空气、生物多样性保护、减轻噪声；③满足人类精神生活需求的功能，包括娱乐文化。</w:t>
      </w:r>
    </w:p>
    <w:p>
      <w:pPr>
        <w:pStyle w:val="18"/>
        <w:numPr>
          <w:ilvl w:val="2"/>
          <w:numId w:val="4"/>
        </w:numPr>
        <w:tabs>
          <w:tab w:val="left" w:pos="836"/>
        </w:tabs>
        <w:spacing w:before="115" w:after="0" w:line="240" w:lineRule="auto"/>
        <w:ind w:left="836" w:right="0" w:hanging="699"/>
        <w:jc w:val="left"/>
        <w:rPr>
          <w:rFonts w:hint="eastAsia" w:ascii="宋体" w:hAnsi="宋体" w:eastAsia="宋体" w:cs="宋体"/>
          <w:b/>
          <w:sz w:val="28"/>
        </w:rPr>
      </w:pPr>
      <w:bookmarkStart w:id="129" w:name="5.1.3水土流失影响调查"/>
      <w:bookmarkEnd w:id="129"/>
      <w:bookmarkStart w:id="130" w:name="5.1.3水土流失影响调查"/>
      <w:bookmarkEnd w:id="130"/>
      <w:r>
        <w:rPr>
          <w:rFonts w:hint="eastAsia" w:ascii="宋体" w:hAnsi="宋体" w:eastAsia="宋体" w:cs="宋体"/>
          <w:b/>
          <w:sz w:val="28"/>
        </w:rPr>
        <w:t>水土流失影响调查</w:t>
      </w:r>
    </w:p>
    <w:p>
      <w:pPr>
        <w:pStyle w:val="2"/>
        <w:spacing w:before="10"/>
        <w:rPr>
          <w:b/>
          <w:sz w:val="23"/>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工程实际发生的水土流失防治责任范围主要为项目建设区和直接影响区，项目建设区包括：拦河坝区、工程永久占地、施工临时占地等，直接影响区包括： 各弃渣场及有弃渣冲入的河道范围。</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本工程不占基本农田，只需征用林地、水田等合计</w:t>
      </w:r>
      <w:r>
        <w:rPr>
          <w:rFonts w:hint="eastAsia" w:ascii="Times New Roman" w:hAnsi="Times New Roman" w:eastAsia="宋体" w:cs="Times New Roman"/>
          <w:sz w:val="24"/>
          <w:szCs w:val="24"/>
        </w:rPr>
        <w:t>20.7</w:t>
      </w:r>
      <w:r>
        <w:rPr>
          <w:rFonts w:hint="eastAsia" w:ascii="宋体" w:hAnsi="宋体" w:eastAsia="宋体" w:cs="宋体"/>
          <w:sz w:val="24"/>
          <w:szCs w:val="24"/>
        </w:rPr>
        <w:t>亩，用于永久性建筑物，总占地面积小于</w:t>
      </w:r>
      <w:r>
        <w:rPr>
          <w:rFonts w:hint="default" w:ascii="Times New Roman" w:hAnsi="Times New Roman" w:eastAsia="宋体" w:cs="Times New Roman"/>
          <w:sz w:val="24"/>
          <w:szCs w:val="24"/>
        </w:rPr>
        <w:t>2km</w:t>
      </w:r>
      <w:r>
        <w:rPr>
          <w:rFonts w:hint="default" w:ascii="Times New Roman" w:hAnsi="Times New Roman" w:eastAsia="宋体" w:cs="Times New Roman"/>
          <w:sz w:val="24"/>
          <w:szCs w:val="24"/>
          <w:vertAlign w:val="superscript"/>
        </w:rPr>
        <w:t>2</w:t>
      </w:r>
      <w:r>
        <w:rPr>
          <w:rFonts w:hint="eastAsia" w:ascii="宋体" w:hAnsi="宋体" w:eastAsia="宋体" w:cs="宋体"/>
          <w:sz w:val="24"/>
          <w:szCs w:val="24"/>
        </w:rPr>
        <w:t>。。随着工程</w:t>
      </w:r>
      <w:r>
        <w:rPr>
          <w:rFonts w:hint="eastAsia" w:ascii="宋体" w:hAnsi="宋体" w:eastAsia="宋体" w:cs="宋体"/>
          <w:spacing w:val="-9"/>
          <w:sz w:val="24"/>
          <w:szCs w:val="24"/>
        </w:rPr>
        <w:t>的建设完成，工程区域逐步由建筑物、道路等工程所覆盖，造成水土流失范围逐</w:t>
      </w:r>
      <w:r>
        <w:rPr>
          <w:rFonts w:hint="eastAsia" w:ascii="宋体" w:hAnsi="宋体" w:eastAsia="宋体" w:cs="宋体"/>
          <w:spacing w:val="-10"/>
          <w:sz w:val="24"/>
          <w:szCs w:val="24"/>
        </w:rPr>
        <w:t>渐减小。结合主体工程中具有水土保持功能工程，采取有效的工程措施、植物措</w:t>
      </w:r>
      <w:r>
        <w:rPr>
          <w:rFonts w:hint="eastAsia" w:ascii="宋体" w:hAnsi="宋体" w:eastAsia="宋体" w:cs="宋体"/>
          <w:spacing w:val="-11"/>
          <w:sz w:val="24"/>
          <w:szCs w:val="24"/>
        </w:rPr>
        <w:t>施、临时防护措施，进行全面防护，以形成完整、科学的水土流失防治体系，可</w:t>
      </w:r>
      <w:r>
        <w:rPr>
          <w:rFonts w:hint="eastAsia" w:ascii="宋体" w:hAnsi="宋体" w:eastAsia="宋体" w:cs="宋体"/>
          <w:sz w:val="24"/>
          <w:szCs w:val="24"/>
        </w:rPr>
        <w:t>达到良好的防治效果。</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sz w:val="24"/>
          <w:szCs w:val="24"/>
        </w:rPr>
      </w:pPr>
      <w:r>
        <w:rPr>
          <w:rFonts w:hint="eastAsia" w:ascii="宋体" w:hAnsi="宋体" w:eastAsia="宋体" w:cs="宋体"/>
          <w:spacing w:val="-6"/>
          <w:sz w:val="24"/>
          <w:szCs w:val="24"/>
        </w:rPr>
        <w:t>根据现场踏勘可知，电站原有工程施工时的弃渣场、取土场、施工场及施工</w:t>
      </w:r>
      <w:r>
        <w:rPr>
          <w:rFonts w:hint="eastAsia" w:ascii="宋体" w:hAnsi="宋体" w:eastAsia="宋体" w:cs="宋体"/>
          <w:spacing w:val="-7"/>
          <w:sz w:val="24"/>
          <w:szCs w:val="24"/>
        </w:rPr>
        <w:t>道路植被均已自然恢复，工程区植被及防护情况良好。在工程建设过程中，在历</w:t>
      </w:r>
      <w:r>
        <w:rPr>
          <w:rFonts w:hint="eastAsia" w:ascii="宋体" w:hAnsi="宋体" w:eastAsia="宋体" w:cs="宋体"/>
          <w:spacing w:val="-6"/>
          <w:sz w:val="24"/>
          <w:szCs w:val="24"/>
        </w:rPr>
        <w:t>次监督检查中未发现重大水土保持问题。基本上控制了因工程建设而造成的水土</w:t>
      </w:r>
      <w:r>
        <w:rPr>
          <w:rFonts w:hint="eastAsia" w:ascii="宋体" w:hAnsi="宋体" w:eastAsia="宋体" w:cs="宋体"/>
          <w:sz w:val="24"/>
          <w:szCs w:val="24"/>
        </w:rPr>
        <w:t>流失，工程对生态环境造成的破坏和影响基本得到了恢复。</w:t>
      </w:r>
    </w:p>
    <w:p>
      <w:pPr>
        <w:pStyle w:val="18"/>
        <w:keepNext w:val="0"/>
        <w:keepLines w:val="0"/>
        <w:pageBreakBefore w:val="0"/>
        <w:widowControl w:val="0"/>
        <w:numPr>
          <w:ilvl w:val="2"/>
          <w:numId w:val="4"/>
        </w:numPr>
        <w:tabs>
          <w:tab w:val="left" w:pos="836"/>
        </w:tabs>
        <w:kinsoku/>
        <w:wordWrap/>
        <w:overflowPunct/>
        <w:topLinePunct w:val="0"/>
        <w:autoSpaceDE w:val="0"/>
        <w:autoSpaceDN w:val="0"/>
        <w:bidi w:val="0"/>
        <w:adjustRightInd/>
        <w:snapToGrid/>
        <w:spacing w:before="113" w:after="0" w:line="360" w:lineRule="auto"/>
        <w:ind w:left="836" w:right="0" w:hanging="699"/>
        <w:jc w:val="left"/>
        <w:textAlignment w:val="auto"/>
        <w:rPr>
          <w:b/>
          <w:sz w:val="23"/>
        </w:rPr>
      </w:pPr>
      <w:bookmarkStart w:id="131" w:name="5.1.4施工占地对环境影响"/>
      <w:bookmarkEnd w:id="131"/>
      <w:bookmarkStart w:id="132" w:name="5.1.4施工占地对环境影响"/>
      <w:bookmarkEnd w:id="132"/>
      <w:r>
        <w:rPr>
          <w:rFonts w:hint="eastAsia" w:ascii="宋体" w:hAnsi="宋体" w:eastAsia="宋体" w:cs="宋体"/>
          <w:b/>
          <w:sz w:val="28"/>
        </w:rPr>
        <w:t>施工占地对环境影响</w:t>
      </w:r>
    </w:p>
    <w:p>
      <w:pPr>
        <w:pStyle w:val="2"/>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left"/>
        <w:textAlignment w:val="auto"/>
        <w:rPr>
          <w:rFonts w:hint="eastAsia" w:ascii="宋体" w:hAnsi="宋体" w:eastAsia="宋体" w:cs="宋体"/>
          <w:sz w:val="18"/>
        </w:rPr>
      </w:pPr>
      <w:r>
        <w:rPr>
          <w:rFonts w:hint="eastAsia" w:ascii="宋体" w:hAnsi="宋体" w:eastAsia="宋体" w:cs="宋体"/>
        </w:rPr>
        <w:t>工程永久占地</w:t>
      </w:r>
      <w:r>
        <w:rPr>
          <w:rFonts w:hint="eastAsia" w:ascii="宋体" w:hAnsi="宋体" w:eastAsia="宋体" w:cs="宋体"/>
          <w:lang w:val="en-US" w:eastAsia="zh-CN"/>
        </w:rPr>
        <w:t>20.7</w:t>
      </w:r>
      <w:r>
        <w:rPr>
          <w:rFonts w:hint="eastAsia" w:ascii="宋体" w:hAnsi="宋体" w:eastAsia="宋体" w:cs="宋体"/>
        </w:rPr>
        <w:t>亩。施工结束后，除兴建永久建筑外，其余土地均及时绿化，恢复植被，防止水土流失，保持当地生态系统稳定。</w:t>
      </w:r>
    </w:p>
    <w:p>
      <w:pPr>
        <w:pStyle w:val="4"/>
        <w:keepNext w:val="0"/>
        <w:keepLines w:val="0"/>
        <w:pageBreakBefore w:val="0"/>
        <w:widowControl w:val="0"/>
        <w:numPr>
          <w:ilvl w:val="1"/>
          <w:numId w:val="4"/>
        </w:numPr>
        <w:tabs>
          <w:tab w:val="left" w:pos="740"/>
        </w:tabs>
        <w:kinsoku/>
        <w:wordWrap/>
        <w:overflowPunct/>
        <w:topLinePunct w:val="0"/>
        <w:autoSpaceDE w:val="0"/>
        <w:autoSpaceDN w:val="0"/>
        <w:bidi w:val="0"/>
        <w:adjustRightInd/>
        <w:snapToGrid/>
        <w:spacing w:before="1" w:after="0" w:line="360" w:lineRule="auto"/>
        <w:ind w:left="740" w:right="0" w:hanging="603"/>
        <w:jc w:val="left"/>
        <w:textAlignment w:val="auto"/>
        <w:rPr>
          <w:rFonts w:hint="eastAsia" w:ascii="宋体" w:hAnsi="宋体" w:eastAsia="宋体" w:cs="宋体"/>
        </w:rPr>
      </w:pPr>
      <w:bookmarkStart w:id="133" w:name="_bookmark21"/>
      <w:bookmarkEnd w:id="133"/>
      <w:bookmarkStart w:id="134" w:name="5.2水文情势影响调查"/>
      <w:bookmarkEnd w:id="134"/>
      <w:bookmarkStart w:id="135" w:name="_bookmark21"/>
      <w:bookmarkEnd w:id="135"/>
      <w:r>
        <w:rPr>
          <w:rFonts w:hint="eastAsia" w:ascii="宋体" w:hAnsi="宋体" w:eastAsia="宋体" w:cs="宋体"/>
        </w:rPr>
        <w:t>水文情势影响调查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pacing w:val="3"/>
          <w:sz w:val="24"/>
          <w:szCs w:val="24"/>
        </w:rPr>
      </w:pPr>
      <w:r>
        <w:rPr>
          <w:rFonts w:hint="eastAsia" w:ascii="宋体" w:hAnsi="宋体" w:eastAsia="宋体" w:cs="宋体"/>
          <w:color w:val="auto"/>
          <w:spacing w:val="0"/>
          <w:w w:val="100"/>
          <w:kern w:val="0"/>
          <w:position w:val="0"/>
          <w:sz w:val="24"/>
          <w:szCs w:val="24"/>
          <w:lang w:val="en-US" w:eastAsia="zh-CN" w:bidi="ar-SA"/>
        </w:rPr>
        <w:t>电站坝址位于东固水一级支流龙家塘上游</w:t>
      </w:r>
      <w:r>
        <w:rPr>
          <w:rFonts w:hint="eastAsia" w:ascii="宋体" w:hAnsi="宋体" w:eastAsia="宋体" w:cs="宋体"/>
          <w:spacing w:val="3"/>
          <w:sz w:val="24"/>
          <w:szCs w:val="24"/>
          <w:lang w:eastAsia="zh-CN"/>
        </w:rPr>
        <w:t>。</w:t>
      </w:r>
      <w:r>
        <w:rPr>
          <w:rFonts w:hint="eastAsia" w:ascii="宋体" w:hAnsi="宋体" w:eastAsia="宋体" w:cs="宋体"/>
          <w:spacing w:val="3"/>
          <w:sz w:val="24"/>
          <w:szCs w:val="24"/>
        </w:rPr>
        <w:t>东固水：富田水一级支流，孤江二级支流。发源于兴国县崇贤乡西北部的观音坳，河源位于东径</w:t>
      </w:r>
      <w:r>
        <w:rPr>
          <w:rFonts w:hint="default" w:ascii="Times New Roman" w:hAnsi="Times New Roman" w:eastAsia="宋体" w:cs="Times New Roman"/>
          <w:spacing w:val="3"/>
          <w:sz w:val="24"/>
          <w:szCs w:val="24"/>
        </w:rPr>
        <w:t>115°20′</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36</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由南向北流经兴国县崇贤乡的上脑排、贺堂、龙下瀑布进入青原区东固畲族乡境内赖屋、六渡、至青原区东固畲族乡新屋场从左岸汇入富田水，河口位于东径</w:t>
      </w:r>
      <w:r>
        <w:rPr>
          <w:rFonts w:hint="eastAsia" w:ascii="Times New Roman" w:hAnsi="Times New Roman" w:eastAsia="宋体" w:cs="Times New Roman"/>
          <w:spacing w:val="3"/>
          <w:sz w:val="24"/>
          <w:szCs w:val="24"/>
        </w:rPr>
        <w:t>115</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24</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，北纬</w:t>
      </w:r>
      <w:r>
        <w:rPr>
          <w:rFonts w:hint="eastAsia" w:ascii="Times New Roman" w:hAnsi="Times New Roman" w:eastAsia="宋体" w:cs="Times New Roman"/>
          <w:spacing w:val="3"/>
          <w:sz w:val="24"/>
          <w:szCs w:val="24"/>
        </w:rPr>
        <w:t>26</w:t>
      </w:r>
      <w:r>
        <w:rPr>
          <w:rFonts w:hint="default" w:ascii="Times New Roman" w:hAnsi="Times New Roman" w:eastAsia="宋体" w:cs="Times New Roman"/>
          <w:spacing w:val="3"/>
          <w:sz w:val="24"/>
          <w:szCs w:val="24"/>
        </w:rPr>
        <w:t>°</w:t>
      </w:r>
      <w:r>
        <w:rPr>
          <w:rFonts w:hint="eastAsia" w:ascii="Times New Roman" w:hAnsi="Times New Roman" w:eastAsia="宋体" w:cs="Times New Roman"/>
          <w:spacing w:val="3"/>
          <w:sz w:val="24"/>
          <w:szCs w:val="24"/>
        </w:rPr>
        <w:t>45</w:t>
      </w:r>
      <w:r>
        <w:rPr>
          <w:rFonts w:hint="default" w:ascii="Times New Roman" w:hAnsi="Times New Roman" w:eastAsia="宋体" w:cs="Times New Roman"/>
          <w:spacing w:val="3"/>
          <w:sz w:val="24"/>
          <w:szCs w:val="24"/>
        </w:rPr>
        <w:t>′</w:t>
      </w:r>
      <w:r>
        <w:rPr>
          <w:rFonts w:hint="eastAsia" w:ascii="宋体" w:hAnsi="宋体" w:eastAsia="宋体" w:cs="宋体"/>
          <w:spacing w:val="3"/>
          <w:sz w:val="24"/>
          <w:szCs w:val="24"/>
        </w:rPr>
        <w:t>。主河道长</w:t>
      </w:r>
      <w:r>
        <w:rPr>
          <w:rFonts w:hint="eastAsia" w:ascii="Times New Roman" w:hAnsi="Times New Roman" w:eastAsia="宋体" w:cs="Times New Roman"/>
          <w:spacing w:val="3"/>
          <w:sz w:val="24"/>
          <w:szCs w:val="24"/>
        </w:rPr>
        <w:t>23.3km</w:t>
      </w:r>
      <w:r>
        <w:rPr>
          <w:rFonts w:hint="eastAsia" w:ascii="宋体" w:hAnsi="宋体" w:eastAsia="宋体" w:cs="宋体"/>
          <w:spacing w:val="3"/>
          <w:sz w:val="24"/>
          <w:szCs w:val="24"/>
        </w:rPr>
        <w:t>（其中兴国县河长</w:t>
      </w:r>
      <w:r>
        <w:rPr>
          <w:rFonts w:hint="eastAsia" w:ascii="Times New Roman" w:hAnsi="Times New Roman" w:eastAsia="宋体" w:cs="Times New Roman"/>
          <w:spacing w:val="3"/>
          <w:sz w:val="24"/>
          <w:szCs w:val="24"/>
        </w:rPr>
        <w:t>9km</w:t>
      </w:r>
      <w:r>
        <w:rPr>
          <w:rFonts w:hint="eastAsia" w:ascii="宋体" w:hAnsi="宋体" w:eastAsia="宋体" w:cs="宋体"/>
          <w:spacing w:val="3"/>
          <w:sz w:val="24"/>
          <w:szCs w:val="24"/>
        </w:rPr>
        <w:t>），河道纵比降</w:t>
      </w:r>
      <w:r>
        <w:rPr>
          <w:rFonts w:hint="eastAsia" w:ascii="Times New Roman" w:hAnsi="Times New Roman" w:eastAsia="宋体" w:cs="Times New Roman"/>
          <w:spacing w:val="3"/>
          <w:sz w:val="24"/>
          <w:szCs w:val="24"/>
        </w:rPr>
        <w:t>15.8‰</w:t>
      </w:r>
      <w:r>
        <w:rPr>
          <w:rFonts w:hint="eastAsia" w:ascii="宋体" w:hAnsi="宋体" w:eastAsia="宋体" w:cs="宋体"/>
          <w:spacing w:val="3"/>
          <w:sz w:val="24"/>
          <w:szCs w:val="24"/>
        </w:rPr>
        <w:t>，流域面积</w:t>
      </w:r>
      <w:r>
        <w:rPr>
          <w:rFonts w:hint="eastAsia" w:ascii="Times New Roman" w:hAnsi="Times New Roman" w:eastAsia="宋体" w:cs="Times New Roman"/>
          <w:spacing w:val="3"/>
          <w:sz w:val="24"/>
          <w:szCs w:val="24"/>
        </w:rPr>
        <w:t>118km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（其中兴国县</w:t>
      </w:r>
      <w:r>
        <w:rPr>
          <w:rFonts w:hint="eastAsia" w:ascii="Times New Roman" w:hAnsi="Times New Roman" w:eastAsia="宋体" w:cs="Times New Roman"/>
          <w:spacing w:val="3"/>
          <w:sz w:val="24"/>
          <w:szCs w:val="24"/>
        </w:rPr>
        <w:t>51.4 km</w:t>
      </w:r>
      <w:r>
        <w:rPr>
          <w:rFonts w:hint="eastAsia" w:ascii="Times New Roman" w:hAnsi="Times New Roman" w:eastAsia="宋体" w:cs="Times New Roman"/>
          <w:spacing w:val="3"/>
          <w:sz w:val="24"/>
          <w:szCs w:val="24"/>
          <w:vertAlign w:val="superscript"/>
        </w:rPr>
        <w:t>2</w:t>
      </w:r>
      <w:r>
        <w:rPr>
          <w:rFonts w:hint="eastAsia" w:ascii="宋体" w:hAnsi="宋体" w:eastAsia="宋体" w:cs="宋体"/>
          <w:spacing w:val="3"/>
          <w:sz w:val="24"/>
          <w:szCs w:val="24"/>
        </w:rPr>
        <w:t>）。流域多年平均：年降水量</w:t>
      </w:r>
      <w:r>
        <w:rPr>
          <w:rFonts w:hint="eastAsia" w:ascii="Times New Roman" w:hAnsi="Times New Roman" w:eastAsia="宋体" w:cs="Times New Roman"/>
          <w:spacing w:val="3"/>
          <w:sz w:val="24"/>
          <w:szCs w:val="24"/>
        </w:rPr>
        <w:t>1580mm</w:t>
      </w:r>
      <w:r>
        <w:rPr>
          <w:rFonts w:hint="eastAsia" w:ascii="宋体" w:hAnsi="宋体" w:eastAsia="宋体" w:cs="宋体"/>
          <w:spacing w:val="3"/>
          <w:sz w:val="24"/>
          <w:szCs w:val="24"/>
        </w:rPr>
        <w:t>，年径流量</w:t>
      </w:r>
      <w:r>
        <w:rPr>
          <w:rFonts w:hint="eastAsia" w:ascii="Times New Roman" w:hAnsi="Times New Roman" w:eastAsia="宋体" w:cs="Times New Roman"/>
          <w:spacing w:val="3"/>
          <w:sz w:val="24"/>
          <w:szCs w:val="24"/>
        </w:rPr>
        <w:t>1.07</w:t>
      </w:r>
      <w:r>
        <w:rPr>
          <w:rFonts w:hint="eastAsia" w:ascii="宋体" w:hAnsi="宋体" w:eastAsia="宋体" w:cs="宋体"/>
          <w:spacing w:val="3"/>
          <w:sz w:val="24"/>
          <w:szCs w:val="24"/>
        </w:rPr>
        <w:t>亿</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宋体" w:hAnsi="宋体" w:eastAsia="宋体" w:cs="宋体"/>
          <w:spacing w:val="3"/>
          <w:sz w:val="24"/>
          <w:szCs w:val="24"/>
        </w:rPr>
        <w:t>。现状水质达Ⅱ～Ⅲ类地表水标准。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92" w:firstLineChars="200"/>
        <w:jc w:val="left"/>
        <w:textAlignment w:val="auto"/>
        <w:rPr>
          <w:rFonts w:hint="eastAsia" w:ascii="宋体" w:hAnsi="宋体" w:eastAsia="宋体" w:cs="宋体"/>
          <w:sz w:val="24"/>
          <w:szCs w:val="24"/>
        </w:rPr>
      </w:pPr>
      <w:r>
        <w:rPr>
          <w:rFonts w:hint="eastAsia" w:ascii="宋体" w:hAnsi="宋体" w:eastAsia="宋体" w:cs="宋体"/>
          <w:spacing w:val="3"/>
          <w:sz w:val="24"/>
          <w:szCs w:val="24"/>
        </w:rPr>
        <w:t>东固水属山区性河流，河道较弯曲，弯道处河底多岩石，河床高低不平，水深不一，河床质多是粗砂、岩石，有的地方还有石礁。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5"/>
          <w:sz w:val="24"/>
          <w:szCs w:val="24"/>
        </w:rPr>
        <w:t xml:space="preserve"> </w:t>
      </w:r>
      <w:r>
        <w:rPr>
          <w:rFonts w:hint="eastAsia" w:ascii="宋体" w:hAnsi="宋体" w:eastAsia="宋体" w:cs="宋体"/>
          <w:sz w:val="24"/>
          <w:szCs w:val="24"/>
        </w:rPr>
        <w:t>项目电站的建设有一定的蓄水能力，在枯水期间对下游下泄量调节能力有所提高，对径流均匀分配有一定的好处。考虑到枯水期坝下游脱水河段的用水需要，在堰坝的设</w:t>
      </w:r>
      <w:r>
        <w:rPr>
          <w:rFonts w:hint="eastAsia" w:ascii="宋体" w:hAnsi="宋体" w:eastAsia="宋体" w:cs="宋体"/>
          <w:spacing w:val="-8"/>
          <w:sz w:val="24"/>
          <w:szCs w:val="24"/>
        </w:rPr>
        <w:t>计中，拦河坝设立了直径为</w:t>
      </w:r>
      <w:r>
        <w:rPr>
          <w:rFonts w:hint="eastAsia" w:ascii="宋体" w:hAnsi="宋体" w:eastAsia="宋体" w:cs="宋体"/>
          <w:sz w:val="24"/>
          <w:szCs w:val="24"/>
        </w:rPr>
        <w:t>10cm</w:t>
      </w:r>
      <w:r>
        <w:rPr>
          <w:rFonts w:hint="eastAsia" w:ascii="宋体" w:hAnsi="宋体" w:eastAsia="宋体" w:cs="宋体"/>
          <w:spacing w:val="-4"/>
          <w:sz w:val="24"/>
          <w:szCs w:val="24"/>
        </w:rPr>
        <w:t>的生态泄流口，不间断的向下游供水，保证了</w:t>
      </w:r>
      <w:r>
        <w:rPr>
          <w:rFonts w:hint="eastAsia" w:ascii="宋体" w:hAnsi="宋体" w:eastAsia="宋体" w:cs="宋体"/>
          <w:sz w:val="24"/>
          <w:szCs w:val="24"/>
        </w:rPr>
        <w:t>下泄流量</w:t>
      </w:r>
      <w:r>
        <w:rPr>
          <w:rFonts w:hint="eastAsia" w:ascii="Times New Roman" w:hAnsi="Times New Roman" w:eastAsia="宋体" w:cs="Times New Roman"/>
          <w:spacing w:val="3"/>
          <w:sz w:val="24"/>
          <w:szCs w:val="24"/>
        </w:rPr>
        <w:t>≥0.0</w:t>
      </w:r>
      <w:r>
        <w:rPr>
          <w:rFonts w:hint="eastAsia" w:ascii="Times New Roman" w:hAnsi="Times New Roman" w:eastAsia="宋体" w:cs="Times New Roman"/>
          <w:spacing w:val="3"/>
          <w:sz w:val="24"/>
          <w:szCs w:val="24"/>
          <w:lang w:val="en-US" w:eastAsia="zh-CN"/>
        </w:rPr>
        <w:t>23</w:t>
      </w:r>
      <w:r>
        <w:rPr>
          <w:rFonts w:hint="eastAsia" w:ascii="Times New Roman" w:hAnsi="Times New Roman" w:eastAsia="宋体" w:cs="Times New Roman"/>
          <w:spacing w:val="3"/>
          <w:sz w:val="24"/>
          <w:szCs w:val="24"/>
        </w:rPr>
        <w:t>m</w:t>
      </w:r>
      <w:r>
        <w:rPr>
          <w:rFonts w:hint="eastAsia" w:ascii="Times New Roman" w:hAnsi="Times New Roman" w:eastAsia="宋体" w:cs="Times New Roman"/>
          <w:spacing w:val="3"/>
          <w:sz w:val="24"/>
          <w:szCs w:val="24"/>
          <w:vertAlign w:val="superscript"/>
        </w:rPr>
        <w:t>3</w:t>
      </w:r>
      <w:r>
        <w:rPr>
          <w:rFonts w:hint="eastAsia" w:ascii="Times New Roman" w:hAnsi="Times New Roman" w:eastAsia="宋体" w:cs="Times New Roman"/>
          <w:spacing w:val="3"/>
          <w:sz w:val="24"/>
          <w:szCs w:val="24"/>
        </w:rPr>
        <w:t xml:space="preserve">/s </w:t>
      </w:r>
      <w:r>
        <w:rPr>
          <w:rFonts w:hint="eastAsia" w:ascii="宋体" w:hAnsi="宋体" w:eastAsia="宋体" w:cs="宋体"/>
          <w:sz w:val="24"/>
          <w:szCs w:val="24"/>
        </w:rPr>
        <w:t>的要求。</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电站建成后，由于隧道的分流作用，对坝址至厂址河段有一定的防洪功能，具有较大的防洪效益。</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电站建成后，改变了原来的流向，坝址至厂址河段的流量产生比较大</w:t>
      </w:r>
      <w:r>
        <w:rPr>
          <w:rFonts w:hint="eastAsia" w:ascii="宋体" w:hAnsi="宋体" w:eastAsia="宋体" w:cs="宋体"/>
          <w:spacing w:val="-1"/>
          <w:sz w:val="24"/>
          <w:szCs w:val="24"/>
        </w:rPr>
        <w:t>的影响，从而影响该河段的生产用水，在坝址下游脱水段无农田分</w:t>
      </w:r>
      <w:r>
        <w:rPr>
          <w:rFonts w:hint="eastAsia" w:ascii="宋体" w:hAnsi="宋体" w:eastAsia="宋体" w:cs="宋体"/>
          <w:spacing w:val="-1"/>
          <w:sz w:val="24"/>
          <w:szCs w:val="24"/>
          <w:lang w:eastAsia="zh-CN"/>
        </w:rPr>
        <w:t>部</w:t>
      </w:r>
      <w:r>
        <w:rPr>
          <w:rFonts w:hint="eastAsia" w:ascii="宋体" w:hAnsi="宋体" w:eastAsia="宋体" w:cs="宋体"/>
          <w:spacing w:val="-1"/>
          <w:sz w:val="24"/>
          <w:szCs w:val="24"/>
        </w:rPr>
        <w:t xml:space="preserve">，截流后， </w:t>
      </w:r>
      <w:r>
        <w:rPr>
          <w:rFonts w:hint="eastAsia" w:ascii="宋体" w:hAnsi="宋体" w:eastAsia="宋体" w:cs="宋体"/>
          <w:spacing w:val="-4"/>
          <w:sz w:val="24"/>
          <w:szCs w:val="24"/>
        </w:rPr>
        <w:t>在一般季节山溪水提供植物生长等生态用水，但在极枯季节，须水库放水，以保</w:t>
      </w:r>
      <w:r>
        <w:rPr>
          <w:rFonts w:hint="eastAsia" w:ascii="宋体" w:hAnsi="宋体" w:eastAsia="宋体" w:cs="宋体"/>
          <w:spacing w:val="-10"/>
          <w:sz w:val="24"/>
          <w:szCs w:val="24"/>
        </w:rPr>
        <w:t>证生态需求。厂区下游河段由于发电尾水均匀稳定下泄，厂址下游河段生活和农业用水水量保持建设前原有现状。</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0" w:leftChars="0" w:right="0" w:rightChars="0" w:firstLine="480" w:firstLineChars="200"/>
        <w:jc w:val="left"/>
        <w:textAlignment w:val="auto"/>
        <w:rPr>
          <w:sz w:val="18"/>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w:t>
      </w:r>
      <w:r>
        <w:rPr>
          <w:rFonts w:hint="eastAsia" w:ascii="宋体" w:hAnsi="宋体" w:eastAsia="宋体" w:cs="宋体"/>
          <w:sz w:val="24"/>
          <w:szCs w:val="24"/>
        </w:rPr>
        <w:t>拦河坝的建成，相当于建成了一个沉淀池，有利于泥沙的沉淀，正常</w:t>
      </w:r>
      <w:r>
        <w:rPr>
          <w:rFonts w:hint="eastAsia" w:ascii="宋体" w:hAnsi="宋体" w:eastAsia="宋体" w:cs="宋体"/>
          <w:spacing w:val="-10"/>
          <w:sz w:val="24"/>
          <w:szCs w:val="24"/>
        </w:rPr>
        <w:t>生产时，有利于固沙，使河流水质悬浮物降低，但在冲沙时，泥沙又随河水流入</w:t>
      </w:r>
      <w:r>
        <w:rPr>
          <w:rFonts w:hint="eastAsia" w:ascii="宋体" w:hAnsi="宋体" w:eastAsia="宋体" w:cs="宋体"/>
          <w:sz w:val="24"/>
          <w:szCs w:val="24"/>
        </w:rPr>
        <w:t>下游河道，使河水中的悬浮物升高。</w:t>
      </w:r>
    </w:p>
    <w:p>
      <w:pPr>
        <w:pStyle w:val="4"/>
        <w:keepNext w:val="0"/>
        <w:keepLines w:val="0"/>
        <w:pageBreakBefore w:val="0"/>
        <w:widowControl w:val="0"/>
        <w:numPr>
          <w:ilvl w:val="1"/>
          <w:numId w:val="4"/>
        </w:numPr>
        <w:tabs>
          <w:tab w:val="left" w:pos="740"/>
        </w:tabs>
        <w:kinsoku/>
        <w:wordWrap/>
        <w:overflowPunct/>
        <w:topLinePunct w:val="0"/>
        <w:autoSpaceDE w:val="0"/>
        <w:autoSpaceDN w:val="0"/>
        <w:bidi w:val="0"/>
        <w:adjustRightInd/>
        <w:snapToGrid/>
        <w:spacing w:before="1" w:after="0" w:line="360" w:lineRule="auto"/>
        <w:ind w:left="740" w:right="0" w:hanging="603"/>
        <w:jc w:val="left"/>
        <w:textAlignment w:val="auto"/>
        <w:rPr>
          <w:rFonts w:hint="eastAsia" w:ascii="宋体" w:hAnsi="宋体" w:eastAsia="宋体" w:cs="宋体"/>
        </w:rPr>
      </w:pPr>
      <w:bookmarkStart w:id="136" w:name="_bookmark22"/>
      <w:bookmarkEnd w:id="136"/>
      <w:bookmarkStart w:id="137" w:name="5.3环境污染影响调查"/>
      <w:bookmarkEnd w:id="137"/>
      <w:bookmarkStart w:id="138" w:name="_bookmark22"/>
      <w:bookmarkEnd w:id="138"/>
      <w:r>
        <w:rPr>
          <w:rFonts w:hint="eastAsia" w:ascii="宋体" w:hAnsi="宋体" w:eastAsia="宋体" w:cs="宋体"/>
        </w:rPr>
        <w:t>环境污染影响调查</w:t>
      </w:r>
    </w:p>
    <w:p>
      <w:pPr>
        <w:pStyle w:val="19"/>
        <w:keepNext w:val="0"/>
        <w:keepLines w:val="0"/>
        <w:pageBreakBefore w:val="0"/>
        <w:widowControl w:val="0"/>
        <w:numPr>
          <w:ilvl w:val="0"/>
          <w:numId w:val="0"/>
        </w:numPr>
        <w:tabs>
          <w:tab w:val="left" w:pos="947"/>
        </w:tabs>
        <w:kinsoku/>
        <w:wordWrap/>
        <w:overflowPunct/>
        <w:topLinePunct w:val="0"/>
        <w:autoSpaceDE w:val="0"/>
        <w:autoSpaceDN w:val="0"/>
        <w:bidi w:val="0"/>
        <w:adjustRightInd/>
        <w:snapToGrid/>
        <w:spacing w:before="4" w:after="0" w:line="360" w:lineRule="auto"/>
        <w:ind w:left="585" w:leftChars="0" w:right="0" w:rightChars="0"/>
        <w:jc w:val="left"/>
        <w:textAlignment w:val="auto"/>
        <w:rPr>
          <w:rFonts w:hint="eastAsia" w:ascii="宋体" w:hAnsi="宋体" w:eastAsia="宋体" w:cs="宋体"/>
          <w:b/>
          <w:sz w:val="24"/>
          <w:szCs w:val="24"/>
        </w:rPr>
      </w:pPr>
      <w:r>
        <w:rPr>
          <w:rFonts w:hint="eastAsia" w:ascii="宋体" w:hAnsi="宋体" w:eastAsia="宋体" w:cs="宋体"/>
          <w:b/>
          <w:bCs/>
          <w:sz w:val="24"/>
          <w:szCs w:val="24"/>
          <w:lang w:val="en-US" w:eastAsia="zh-CN"/>
        </w:rPr>
        <w:t>5.3.1</w:t>
      </w:r>
      <w:r>
        <w:rPr>
          <w:rFonts w:hint="eastAsia" w:ascii="宋体" w:hAnsi="宋体" w:eastAsia="宋体" w:cs="宋体"/>
          <w:b/>
          <w:sz w:val="24"/>
          <w:szCs w:val="24"/>
        </w:rPr>
        <w:t>水环境影响调查</w:t>
      </w:r>
    </w:p>
    <w:p>
      <w:pPr>
        <w:pStyle w:val="2"/>
        <w:keepNext w:val="0"/>
        <w:keepLines w:val="0"/>
        <w:pageBreakBefore w:val="0"/>
        <w:widowControl w:val="0"/>
        <w:kinsoku/>
        <w:wordWrap/>
        <w:overflowPunct/>
        <w:topLinePunct w:val="0"/>
        <w:autoSpaceDE w:val="0"/>
        <w:autoSpaceDN w:val="0"/>
        <w:bidi w:val="0"/>
        <w:adjustRightInd/>
        <w:snapToGrid/>
        <w:spacing w:before="4"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地表水</w:t>
      </w:r>
      <w:r>
        <w:rPr>
          <w:rFonts w:hint="eastAsia" w:ascii="宋体" w:hAnsi="宋体" w:eastAsia="宋体" w:cs="宋体"/>
          <w:b/>
          <w:bCs/>
          <w:sz w:val="24"/>
          <w:szCs w:val="24"/>
        </w:rPr>
        <w:t>监测</w:t>
      </w:r>
      <w:r>
        <w:rPr>
          <w:rFonts w:hint="eastAsia" w:ascii="宋体" w:hAnsi="宋体" w:eastAsia="宋体" w:cs="宋体"/>
          <w:b/>
          <w:bCs/>
          <w:sz w:val="24"/>
          <w:szCs w:val="24"/>
          <w:lang w:eastAsia="zh-CN"/>
        </w:rPr>
        <w:t>布点</w:t>
      </w:r>
    </w:p>
    <w:p>
      <w:pPr>
        <w:pStyle w:val="2"/>
        <w:keepNext w:val="0"/>
        <w:keepLines w:val="0"/>
        <w:pageBreakBefore w:val="0"/>
        <w:widowControl w:val="0"/>
        <w:kinsoku/>
        <w:wordWrap/>
        <w:overflowPunct/>
        <w:topLinePunct w:val="0"/>
        <w:autoSpaceDE w:val="0"/>
        <w:autoSpaceDN w:val="0"/>
        <w:bidi w:val="0"/>
        <w:adjustRightInd/>
        <w:snapToGrid/>
        <w:spacing w:before="4"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项目运营期主要为生活污水，员工生活污水，经化粪池处理后清陶用于菜地施肥，不外排。故本次验收</w:t>
      </w:r>
      <w:r>
        <w:rPr>
          <w:rFonts w:hint="eastAsia" w:ascii="宋体" w:hAnsi="宋体" w:eastAsia="宋体" w:cs="宋体"/>
          <w:sz w:val="24"/>
          <w:szCs w:val="24"/>
          <w:lang w:eastAsia="zh-CN"/>
        </w:rPr>
        <w:t>生活污水</w:t>
      </w:r>
      <w:r>
        <w:rPr>
          <w:rFonts w:hint="eastAsia" w:ascii="宋体" w:hAnsi="宋体" w:eastAsia="宋体" w:cs="宋体"/>
          <w:sz w:val="24"/>
          <w:szCs w:val="24"/>
        </w:rPr>
        <w:t>不做监测。本次监测在项目</w:t>
      </w:r>
      <w:r>
        <w:rPr>
          <w:rFonts w:hint="eastAsia" w:ascii="宋体" w:hAnsi="宋体" w:eastAsia="宋体" w:cs="宋体"/>
          <w:sz w:val="24"/>
          <w:szCs w:val="24"/>
          <w:lang w:eastAsia="zh-CN"/>
        </w:rPr>
        <w:t>河流取地表水的样</w:t>
      </w:r>
      <w:r>
        <w:rPr>
          <w:rFonts w:hint="eastAsia" w:ascii="宋体" w:hAnsi="宋体" w:eastAsia="宋体" w:cs="宋体"/>
          <w:sz w:val="24"/>
          <w:szCs w:val="24"/>
        </w:rPr>
        <w:t>，共计</w:t>
      </w:r>
      <w:r>
        <w:rPr>
          <w:rFonts w:hint="eastAsia" w:ascii="宋体" w:hAnsi="宋体" w:eastAsia="宋体" w:cs="宋体"/>
          <w:sz w:val="24"/>
          <w:szCs w:val="24"/>
          <w:lang w:val="en-US" w:eastAsia="zh-CN"/>
        </w:rPr>
        <w:t>3</w:t>
      </w:r>
      <w:r>
        <w:rPr>
          <w:rFonts w:hint="eastAsia" w:ascii="宋体" w:hAnsi="宋体" w:eastAsia="宋体" w:cs="宋体"/>
          <w:sz w:val="24"/>
          <w:szCs w:val="24"/>
        </w:rPr>
        <w:t>监测点。具体监测内容和频率见表</w:t>
      </w:r>
      <w:r>
        <w:rPr>
          <w:rFonts w:hint="eastAsia" w:ascii="宋体" w:hAnsi="宋体" w:eastAsia="宋体" w:cs="宋体"/>
          <w:sz w:val="24"/>
          <w:szCs w:val="24"/>
          <w:lang w:val="en-US" w:eastAsia="zh-CN"/>
        </w:rPr>
        <w:t>5</w:t>
      </w:r>
      <w:r>
        <w:rPr>
          <w:rFonts w:hint="eastAsia" w:ascii="宋体" w:hAnsi="宋体" w:eastAsia="宋体" w:cs="宋体"/>
          <w:sz w:val="24"/>
          <w:szCs w:val="24"/>
        </w:rPr>
        <w:t>-1</w:t>
      </w:r>
      <w:r>
        <w:rPr>
          <w:rFonts w:hint="eastAsia" w:ascii="宋体" w:hAnsi="宋体" w:eastAsia="宋体" w:cs="宋体"/>
          <w:sz w:val="24"/>
          <w:szCs w:val="24"/>
          <w:lang w:eastAsia="zh-CN"/>
        </w:rPr>
        <w:t>，</w:t>
      </w:r>
    </w:p>
    <w:p>
      <w:pPr>
        <w:pStyle w:val="2"/>
        <w:spacing w:before="4"/>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CN"/>
        </w:rPr>
        <w:t>地表水</w:t>
      </w:r>
      <w:r>
        <w:rPr>
          <w:rFonts w:hint="eastAsia" w:ascii="宋体" w:hAnsi="宋体" w:eastAsia="宋体" w:cs="宋体"/>
          <w:b/>
          <w:bCs/>
          <w:sz w:val="24"/>
          <w:szCs w:val="24"/>
        </w:rPr>
        <w:t>监测结果</w:t>
      </w:r>
    </w:p>
    <w:p>
      <w:pPr>
        <w:pStyle w:val="19"/>
        <w:spacing w:before="158" w:line="364" w:lineRule="auto"/>
        <w:ind w:left="106" w:right="107" w:firstLine="480"/>
        <w:rPr>
          <w:rFonts w:hint="eastAsia" w:ascii="宋体" w:hAnsi="宋体" w:eastAsia="宋体" w:cs="宋体"/>
          <w:sz w:val="24"/>
          <w:szCs w:val="24"/>
          <w:lang w:eastAsia="zh-CN"/>
        </w:rPr>
      </w:pPr>
      <w:r>
        <w:rPr>
          <w:rFonts w:hint="eastAsia" w:ascii="宋体" w:hAnsi="宋体" w:eastAsia="宋体" w:cs="宋体"/>
          <w:sz w:val="24"/>
          <w:szCs w:val="24"/>
          <w:lang w:eastAsia="zh-CN"/>
        </w:rPr>
        <w:t>地表水</w:t>
      </w:r>
      <w:r>
        <w:rPr>
          <w:rFonts w:hint="eastAsia" w:ascii="宋体" w:hAnsi="宋体" w:eastAsia="宋体" w:cs="宋体"/>
          <w:sz w:val="24"/>
          <w:szCs w:val="24"/>
        </w:rPr>
        <w:t>监测结果见</w:t>
      </w:r>
      <w:r>
        <w:rPr>
          <w:rFonts w:hint="eastAsia" w:ascii="宋体" w:hAnsi="宋体" w:eastAsia="宋体" w:cs="宋体"/>
          <w:sz w:val="24"/>
          <w:szCs w:val="24"/>
          <w:lang w:eastAsia="zh-CN"/>
        </w:rPr>
        <w:t>附件验收检测报告</w:t>
      </w:r>
      <w:r>
        <w:rPr>
          <w:rFonts w:hint="eastAsia" w:ascii="宋体" w:hAnsi="宋体" w:eastAsia="宋体" w:cs="宋体"/>
          <w:sz w:val="24"/>
          <w:szCs w:val="24"/>
        </w:rPr>
        <w:t>。由</w:t>
      </w:r>
      <w:r>
        <w:rPr>
          <w:rFonts w:hint="eastAsia" w:ascii="宋体" w:hAnsi="宋体" w:eastAsia="宋体" w:cs="宋体"/>
          <w:sz w:val="24"/>
          <w:szCs w:val="24"/>
          <w:lang w:eastAsia="zh-CN"/>
        </w:rPr>
        <w:t>验收检测报告</w:t>
      </w:r>
      <w:r>
        <w:rPr>
          <w:rFonts w:hint="eastAsia" w:ascii="宋体" w:hAnsi="宋体" w:eastAsia="宋体" w:cs="宋体"/>
          <w:sz w:val="24"/>
          <w:szCs w:val="24"/>
        </w:rPr>
        <w:t>可知，监测期间，本项目</w:t>
      </w:r>
      <w:r>
        <w:rPr>
          <w:rFonts w:hint="eastAsia" w:ascii="宋体" w:hAnsi="宋体" w:eastAsia="宋体" w:cs="宋体"/>
          <w:sz w:val="24"/>
          <w:szCs w:val="24"/>
          <w:lang w:eastAsia="zh-CN"/>
        </w:rPr>
        <w:t>检测值符合要求</w:t>
      </w:r>
      <w:r>
        <w:rPr>
          <w:rFonts w:hint="eastAsia" w:ascii="宋体" w:hAnsi="宋体" w:eastAsia="宋体" w:cs="宋体"/>
          <w:sz w:val="24"/>
          <w:szCs w:val="24"/>
        </w:rPr>
        <w:t>，均能达</w:t>
      </w:r>
      <w:r>
        <w:rPr>
          <w:rFonts w:hint="eastAsia" w:ascii="宋体" w:hAnsi="宋体" w:eastAsia="宋体" w:cs="宋体"/>
          <w:sz w:val="24"/>
          <w:szCs w:val="24"/>
          <w:lang w:eastAsia="zh-CN"/>
        </w:rPr>
        <w:t>到标准</w:t>
      </w:r>
      <w:r>
        <w:rPr>
          <w:rFonts w:hint="eastAsia" w:ascii="宋体" w:hAnsi="宋体" w:eastAsia="宋体" w:cs="宋体"/>
          <w:sz w:val="24"/>
          <w:szCs w:val="24"/>
        </w:rPr>
        <w:t>，对环境影响较小</w:t>
      </w:r>
      <w:r>
        <w:rPr>
          <w:rFonts w:hint="eastAsia" w:ascii="宋体" w:hAnsi="宋体" w:eastAsia="宋体" w:cs="宋体"/>
          <w:sz w:val="24"/>
          <w:szCs w:val="24"/>
          <w:lang w:eastAsia="zh-CN"/>
        </w:rPr>
        <w:t>。</w:t>
      </w:r>
    </w:p>
    <w:p>
      <w:pPr>
        <w:pStyle w:val="19"/>
        <w:numPr>
          <w:ilvl w:val="0"/>
          <w:numId w:val="0"/>
        </w:numPr>
        <w:tabs>
          <w:tab w:val="left" w:pos="947"/>
        </w:tabs>
        <w:spacing w:before="1" w:after="0" w:line="240" w:lineRule="auto"/>
        <w:ind w:left="585" w:leftChars="0" w:right="0" w:rightChars="0"/>
        <w:jc w:val="left"/>
        <w:rPr>
          <w:rFonts w:hint="eastAsia" w:ascii="宋体" w:hAnsi="宋体" w:eastAsia="宋体" w:cs="宋体"/>
          <w:b/>
          <w:sz w:val="24"/>
          <w:szCs w:val="24"/>
        </w:rPr>
      </w:pPr>
      <w:bookmarkStart w:id="139" w:name="8.2 大气环境影响调查"/>
      <w:bookmarkEnd w:id="139"/>
      <w:bookmarkStart w:id="140" w:name="8.2 大气环境影响调查"/>
      <w:bookmarkEnd w:id="140"/>
      <w:r>
        <w:rPr>
          <w:rFonts w:hint="eastAsia" w:ascii="宋体" w:hAnsi="宋体" w:eastAsia="宋体" w:cs="宋体"/>
          <w:b/>
          <w:sz w:val="24"/>
          <w:szCs w:val="24"/>
          <w:lang w:val="en-US" w:eastAsia="zh-CN"/>
        </w:rPr>
        <w:t>5.3.2</w:t>
      </w:r>
      <w:r>
        <w:rPr>
          <w:rFonts w:hint="eastAsia" w:ascii="宋体" w:hAnsi="宋体" w:eastAsia="宋体" w:cs="宋体"/>
          <w:b/>
          <w:sz w:val="24"/>
          <w:szCs w:val="24"/>
        </w:rPr>
        <w:t>大气环境影响调查</w:t>
      </w:r>
    </w:p>
    <w:p>
      <w:pPr>
        <w:pStyle w:val="19"/>
        <w:spacing w:before="161"/>
        <w:ind w:left="586"/>
        <w:rPr>
          <w:rFonts w:hint="eastAsia" w:ascii="宋体" w:hAnsi="宋体" w:eastAsia="宋体" w:cs="宋体"/>
          <w:sz w:val="24"/>
          <w:szCs w:val="24"/>
        </w:rPr>
      </w:pPr>
      <w:r>
        <w:rPr>
          <w:rFonts w:hint="eastAsia" w:ascii="宋体" w:hAnsi="宋体" w:eastAsia="宋体" w:cs="宋体"/>
          <w:sz w:val="24"/>
          <w:szCs w:val="24"/>
        </w:rPr>
        <w:t>项目为水电站项目，建成后无废气产生，不会对环境产生影响。</w:t>
      </w:r>
    </w:p>
    <w:p>
      <w:pPr>
        <w:pStyle w:val="19"/>
        <w:numPr>
          <w:ilvl w:val="0"/>
          <w:numId w:val="0"/>
        </w:numPr>
        <w:tabs>
          <w:tab w:val="left" w:pos="947"/>
        </w:tabs>
        <w:spacing w:before="158" w:after="0" w:line="240" w:lineRule="auto"/>
        <w:ind w:left="585" w:leftChars="0" w:right="0" w:rightChars="0"/>
        <w:jc w:val="left"/>
        <w:rPr>
          <w:rFonts w:hint="eastAsia" w:ascii="宋体" w:hAnsi="宋体" w:eastAsia="宋体" w:cs="宋体"/>
          <w:b/>
          <w:sz w:val="24"/>
          <w:szCs w:val="24"/>
        </w:rPr>
      </w:pPr>
      <w:r>
        <w:rPr>
          <w:rFonts w:hint="eastAsia" w:ascii="宋体" w:hAnsi="宋体" w:eastAsia="宋体" w:cs="宋体"/>
          <w:b/>
          <w:sz w:val="24"/>
          <w:szCs w:val="24"/>
          <w:lang w:val="en-US" w:eastAsia="zh-CN"/>
        </w:rPr>
        <w:t>5.3.3</w:t>
      </w:r>
      <w:r>
        <w:rPr>
          <w:rFonts w:hint="eastAsia" w:ascii="宋体" w:hAnsi="宋体" w:eastAsia="宋体" w:cs="宋体"/>
          <w:b/>
          <w:sz w:val="24"/>
          <w:szCs w:val="24"/>
        </w:rPr>
        <w:t>声环境影响调查</w:t>
      </w:r>
    </w:p>
    <w:p>
      <w:pPr>
        <w:pStyle w:val="19"/>
        <w:numPr>
          <w:ilvl w:val="0"/>
          <w:numId w:val="0"/>
        </w:numPr>
        <w:tabs>
          <w:tab w:val="left" w:pos="1068"/>
        </w:tabs>
        <w:spacing w:before="160" w:after="0" w:line="240" w:lineRule="auto"/>
        <w:ind w:left="585" w:leftChars="0" w:right="0" w:rightChars="0"/>
        <w:jc w:val="left"/>
        <w:rPr>
          <w:rFonts w:hint="eastAsia" w:ascii="宋体" w:hAnsi="宋体" w:eastAsia="宋体" w:cs="宋体"/>
          <w:b/>
          <w:sz w:val="24"/>
          <w:szCs w:val="24"/>
        </w:rPr>
      </w:pPr>
      <w:r>
        <w:rPr>
          <w:rFonts w:hint="eastAsia" w:ascii="宋体" w:hAnsi="宋体" w:eastAsia="宋体" w:cs="宋体"/>
          <w:b/>
          <w:sz w:val="24"/>
          <w:szCs w:val="24"/>
        </w:rPr>
        <w:t>厂界噪声监测布点</w:t>
      </w:r>
    </w:p>
    <w:p>
      <w:pPr>
        <w:pStyle w:val="19"/>
        <w:spacing w:before="158" w:line="364" w:lineRule="auto"/>
        <w:ind w:left="106" w:right="279" w:firstLine="480"/>
        <w:rPr>
          <w:rFonts w:hint="eastAsia" w:ascii="宋体" w:hAnsi="宋体" w:eastAsia="宋体" w:cs="宋体"/>
          <w:sz w:val="24"/>
          <w:szCs w:val="24"/>
        </w:rPr>
      </w:pPr>
      <w:r>
        <w:rPr>
          <w:rFonts w:hint="eastAsia" w:ascii="宋体" w:hAnsi="宋体" w:eastAsia="宋体" w:cs="宋体"/>
          <w:sz w:val="24"/>
          <w:szCs w:val="24"/>
        </w:rPr>
        <w:t>本次监测在项目东、南、西、北侧厂界外1m各设1个噪声监测点，共计4个噪声监测点。具体监测内容和频率见表8-1。</w:t>
      </w:r>
    </w:p>
    <w:p>
      <w:pPr>
        <w:pStyle w:val="2"/>
        <w:spacing w:before="4"/>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厂界噪声监测结果</w:t>
      </w:r>
    </w:p>
    <w:p>
      <w:pPr>
        <w:pStyle w:val="2"/>
        <w:spacing w:before="160"/>
        <w:ind w:firstLine="480" w:firstLineChars="200"/>
        <w:rPr>
          <w:rFonts w:hint="eastAsia" w:ascii="宋体" w:hAnsi="宋体" w:eastAsia="宋体" w:cs="宋体"/>
          <w:sz w:val="24"/>
          <w:szCs w:val="24"/>
        </w:rPr>
      </w:pPr>
      <w:r>
        <w:rPr>
          <w:rFonts w:hint="eastAsia" w:ascii="宋体" w:hAnsi="宋体" w:eastAsia="宋体" w:cs="宋体"/>
          <w:sz w:val="24"/>
          <w:szCs w:val="24"/>
        </w:rPr>
        <w:t>厂界噪声监测结果见</w:t>
      </w:r>
      <w:r>
        <w:rPr>
          <w:rFonts w:hint="eastAsia" w:ascii="宋体" w:hAnsi="宋体" w:eastAsia="宋体" w:cs="宋体"/>
          <w:sz w:val="24"/>
          <w:szCs w:val="24"/>
          <w:lang w:eastAsia="zh-CN"/>
        </w:rPr>
        <w:t>附件验收检测报告</w:t>
      </w:r>
      <w:r>
        <w:rPr>
          <w:rFonts w:hint="eastAsia" w:ascii="宋体" w:hAnsi="宋体" w:eastAsia="宋体" w:cs="宋体"/>
          <w:sz w:val="24"/>
          <w:szCs w:val="24"/>
        </w:rPr>
        <w:t>。由</w:t>
      </w:r>
      <w:r>
        <w:rPr>
          <w:rFonts w:hint="eastAsia" w:ascii="宋体" w:hAnsi="宋体" w:eastAsia="宋体" w:cs="宋体"/>
          <w:sz w:val="24"/>
          <w:szCs w:val="24"/>
          <w:lang w:eastAsia="zh-CN"/>
        </w:rPr>
        <w:t>验收检测报告</w:t>
      </w:r>
      <w:r>
        <w:rPr>
          <w:rFonts w:hint="eastAsia" w:ascii="宋体" w:hAnsi="宋体" w:eastAsia="宋体" w:cs="宋体"/>
          <w:sz w:val="24"/>
          <w:szCs w:val="24"/>
        </w:rPr>
        <w:t>可知，监测期间，本项目厂界东、南、西、北面昼间噪声最大值</w:t>
      </w:r>
      <w:r>
        <w:rPr>
          <w:rFonts w:hint="eastAsia" w:ascii="宋体" w:hAnsi="宋体" w:eastAsia="宋体" w:cs="宋体"/>
          <w:sz w:val="24"/>
          <w:szCs w:val="24"/>
          <w:lang w:eastAsia="zh-CN"/>
        </w:rPr>
        <w:t>、</w:t>
      </w:r>
      <w:r>
        <w:rPr>
          <w:rFonts w:hint="eastAsia" w:ascii="宋体" w:hAnsi="宋体" w:eastAsia="宋体" w:cs="宋体"/>
          <w:sz w:val="24"/>
          <w:szCs w:val="24"/>
        </w:rPr>
        <w:t>夜间噪声最大值排放达到《工业企业厂界环境噪声排放标准》（GB12348-2008）中2类标准限值要求，均能达标排放，对环境影响较小。</w:t>
      </w:r>
    </w:p>
    <w:p>
      <w:pPr>
        <w:pStyle w:val="2"/>
        <w:spacing w:before="160"/>
        <w:ind w:firstLine="420" w:firstLineChars="200"/>
        <w:rPr>
          <w:rFonts w:hint="eastAsia" w:ascii="宋体" w:hAnsi="宋体" w:eastAsia="宋体" w:cs="宋体"/>
          <w:sz w:val="21"/>
          <w:highlight w:val="yellow"/>
        </w:rPr>
        <w:sectPr>
          <w:footerReference r:id="rId9" w:type="default"/>
          <w:pgSz w:w="11910" w:h="16840"/>
          <w:pgMar w:top="1380" w:right="1560" w:bottom="1180" w:left="1660" w:header="0" w:footer="991" w:gutter="0"/>
          <w:pgNumType w:start="40"/>
        </w:sectPr>
      </w:pPr>
      <w:bookmarkStart w:id="141" w:name="5.3.1水环境影响调查"/>
      <w:bookmarkEnd w:id="141"/>
      <w:bookmarkStart w:id="142" w:name="5.3.1水环境影响调查"/>
      <w:bookmarkEnd w:id="142"/>
    </w:p>
    <w:p>
      <w:pPr>
        <w:pStyle w:val="2"/>
        <w:ind w:left="137"/>
        <w:rPr>
          <w:sz w:val="20"/>
        </w:rPr>
      </w:pPr>
    </w:p>
    <w:p>
      <w:pPr>
        <w:pStyle w:val="18"/>
        <w:numPr>
          <w:ilvl w:val="0"/>
          <w:numId w:val="0"/>
        </w:numPr>
        <w:tabs>
          <w:tab w:val="left" w:pos="836"/>
        </w:tabs>
        <w:spacing w:before="0" w:after="0" w:line="240" w:lineRule="auto"/>
        <w:ind w:left="137" w:leftChars="0" w:right="0" w:rightChars="0"/>
        <w:jc w:val="left"/>
        <w:rPr>
          <w:rFonts w:hint="eastAsia" w:ascii="宋体" w:hAnsi="宋体" w:eastAsia="宋体" w:cs="宋体"/>
          <w:b/>
          <w:sz w:val="28"/>
        </w:rPr>
      </w:pPr>
      <w:bookmarkStart w:id="143" w:name="5.3.4固体废弃物影响调查"/>
      <w:bookmarkEnd w:id="143"/>
      <w:bookmarkStart w:id="144" w:name="5.3.4固体废弃物影响调查"/>
      <w:bookmarkEnd w:id="144"/>
      <w:r>
        <w:rPr>
          <w:rFonts w:hint="eastAsia" w:ascii="宋体" w:hAnsi="宋体" w:eastAsia="宋体" w:cs="宋体"/>
          <w:b/>
          <w:sz w:val="28"/>
          <w:lang w:val="en-US" w:eastAsia="zh-CN"/>
        </w:rPr>
        <w:t>5.3.4</w:t>
      </w:r>
      <w:r>
        <w:rPr>
          <w:rFonts w:hint="eastAsia" w:ascii="宋体" w:hAnsi="宋体" w:eastAsia="宋体" w:cs="宋体"/>
          <w:b/>
          <w:sz w:val="28"/>
        </w:rPr>
        <w:t>固体废弃物影响调查</w:t>
      </w:r>
    </w:p>
    <w:p>
      <w:pPr>
        <w:pStyle w:val="18"/>
        <w:keepNext w:val="0"/>
        <w:keepLines w:val="0"/>
        <w:pageBreakBefore w:val="0"/>
        <w:widowControl w:val="0"/>
        <w:numPr>
          <w:ilvl w:val="0"/>
          <w:numId w:val="8"/>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工程弃渣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施工期产生土石方主要来源于场地平整、引水隧洞开挖、大坝等建筑开挖、</w:t>
      </w:r>
      <w:r>
        <w:rPr>
          <w:rFonts w:hint="eastAsia" w:ascii="宋体" w:hAnsi="宋体" w:eastAsia="宋体" w:cs="宋体"/>
          <w:spacing w:val="-2"/>
        </w:rPr>
        <w:t>围堰拆除、场内永久道路开挖及施工临时道路开挖等。企业设置了</w:t>
      </w:r>
      <w:r>
        <w:rPr>
          <w:rFonts w:hint="default" w:ascii="Times New Roman" w:hAnsi="Times New Roman" w:eastAsia="宋体" w:cs="Times New Roman"/>
          <w:spacing w:val="-2"/>
          <w:lang w:val="en-US" w:eastAsia="zh-CN"/>
        </w:rPr>
        <w:t>1</w:t>
      </w:r>
      <w:r>
        <w:rPr>
          <w:rFonts w:hint="eastAsia" w:ascii="宋体" w:hAnsi="宋体" w:eastAsia="宋体" w:cs="宋体"/>
          <w:spacing w:val="-4"/>
        </w:rPr>
        <w:t xml:space="preserve">个弃渣场， </w:t>
      </w:r>
      <w:r>
        <w:rPr>
          <w:rFonts w:hint="eastAsia" w:ascii="宋体" w:hAnsi="宋体" w:eastAsia="宋体" w:cs="宋体"/>
          <w:spacing w:val="-7"/>
        </w:rPr>
        <w:t>工程弃渣结束后，弃渣场土地平整、覆盖，边坡撒播草籽等植被恢复措施，由于建站时间久远，目前弃渣场周边植被已恢复。</w:t>
      </w:r>
    </w:p>
    <w:p>
      <w:pPr>
        <w:pStyle w:val="18"/>
        <w:keepNext w:val="0"/>
        <w:keepLines w:val="0"/>
        <w:pageBreakBefore w:val="0"/>
        <w:widowControl w:val="0"/>
        <w:numPr>
          <w:ilvl w:val="0"/>
          <w:numId w:val="8"/>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生活垃圾</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2" w:firstLineChars="200"/>
        <w:jc w:val="left"/>
        <w:textAlignment w:val="auto"/>
        <w:rPr>
          <w:rFonts w:hint="eastAsia" w:ascii="宋体" w:hAnsi="宋体" w:eastAsia="宋体" w:cs="宋体"/>
        </w:rPr>
      </w:pPr>
      <w:r>
        <w:rPr>
          <w:rFonts w:hint="eastAsia" w:ascii="宋体" w:hAnsi="宋体" w:eastAsia="宋体" w:cs="宋体"/>
          <w:spacing w:val="-7"/>
        </w:rPr>
        <w:t>根据现场调查，弃渣场没有施工期的生活垃圾裸露和引起二次环境污染；运</w:t>
      </w:r>
      <w:r>
        <w:rPr>
          <w:rFonts w:hint="eastAsia" w:ascii="宋体" w:hAnsi="宋体" w:eastAsia="宋体" w:cs="宋体"/>
          <w:spacing w:val="-6"/>
        </w:rPr>
        <w:t>行期电站厂房及生活办公区设置有垃圾收集桶，经垃圾桶收集后暂存于业主营地</w:t>
      </w:r>
      <w:r>
        <w:rPr>
          <w:rFonts w:hint="eastAsia" w:ascii="宋体" w:hAnsi="宋体" w:eastAsia="宋体" w:cs="宋体"/>
        </w:rPr>
        <w:t>外的生活垃圾收集池，垃圾由建设单位自行定期清运处置。</w:t>
      </w:r>
    </w:p>
    <w:p>
      <w:pPr>
        <w:pStyle w:val="18"/>
        <w:keepNext w:val="0"/>
        <w:keepLines w:val="0"/>
        <w:pageBreakBefore w:val="0"/>
        <w:widowControl w:val="0"/>
        <w:numPr>
          <w:ilvl w:val="0"/>
          <w:numId w:val="8"/>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变压器废油、机修废机油及含油抹布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spacing w:val="-3"/>
        </w:rPr>
        <w:t>根据现场调查，水电站已建成运行</w:t>
      </w:r>
      <w:r>
        <w:rPr>
          <w:rFonts w:hint="eastAsia" w:ascii="宋体" w:hAnsi="宋体" w:eastAsia="宋体" w:cs="宋体"/>
          <w:spacing w:val="-3"/>
          <w:lang w:eastAsia="zh-CN"/>
        </w:rPr>
        <w:t>十余</w:t>
      </w:r>
      <w:r>
        <w:rPr>
          <w:rFonts w:hint="eastAsia" w:ascii="宋体" w:hAnsi="宋体" w:eastAsia="宋体" w:cs="宋体"/>
          <w:spacing w:val="-7"/>
        </w:rPr>
        <w:t>年，电站水轮机采用立式布置，且配</w:t>
      </w:r>
      <w:r>
        <w:rPr>
          <w:rFonts w:hint="eastAsia" w:ascii="宋体" w:hAnsi="宋体" w:eastAsia="宋体" w:cs="宋体"/>
          <w:spacing w:val="-14"/>
        </w:rPr>
        <w:t>有一台变压器，目前机组运行良好，机修及设备检修产生的废机油及后期变压器</w:t>
      </w:r>
      <w:r>
        <w:rPr>
          <w:rFonts w:hint="eastAsia" w:ascii="宋体" w:hAnsi="宋体" w:eastAsia="宋体" w:cs="宋体"/>
        </w:rPr>
        <w:t>产生的废油均交给设备检修单位带走，不在厂区暂存。</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sz w:val="18"/>
        </w:rPr>
      </w:pPr>
      <w:r>
        <w:rPr>
          <w:rFonts w:hint="eastAsia" w:ascii="宋体" w:hAnsi="宋体" w:eastAsia="宋体" w:cs="宋体"/>
        </w:rPr>
        <w:t>机械设备检修过程中会产生一定量含油抹布，根据《国家危险废物名录》</w:t>
      </w:r>
      <w:r>
        <w:rPr>
          <w:rFonts w:hint="eastAsia" w:ascii="Times New Roman" w:hAnsi="Times New Roman" w:eastAsia="宋体" w:cs="Times New Roman"/>
          <w:spacing w:val="-2"/>
          <w:lang w:val="en-US" w:eastAsia="zh-CN"/>
        </w:rPr>
        <w:t>（2016）</w:t>
      </w:r>
      <w:r>
        <w:rPr>
          <w:rFonts w:hint="eastAsia" w:ascii="宋体" w:hAnsi="宋体" w:eastAsia="宋体" w:cs="宋体"/>
        </w:rPr>
        <w:t>含油抹布属于危险废物，危废类别：</w:t>
      </w:r>
      <w:r>
        <w:rPr>
          <w:rFonts w:hint="eastAsia" w:ascii="Times New Roman" w:hAnsi="Times New Roman" w:eastAsia="宋体" w:cs="Times New Roman"/>
          <w:spacing w:val="-2"/>
          <w:lang w:val="en-US" w:eastAsia="zh-CN"/>
        </w:rPr>
        <w:t>HW49</w:t>
      </w:r>
      <w:r>
        <w:rPr>
          <w:rFonts w:hint="eastAsia" w:ascii="宋体" w:hAnsi="宋体" w:eastAsia="宋体" w:cs="宋体"/>
        </w:rPr>
        <w:t>，危废代码：</w:t>
      </w:r>
      <w:r>
        <w:rPr>
          <w:rFonts w:hint="eastAsia" w:ascii="Times New Roman" w:hAnsi="Times New Roman" w:eastAsia="宋体" w:cs="Times New Roman"/>
          <w:spacing w:val="-2"/>
          <w:lang w:val="en-US" w:eastAsia="zh-CN"/>
        </w:rPr>
        <w:t>900-041-49</w:t>
      </w:r>
      <w:r>
        <w:rPr>
          <w:rFonts w:hint="eastAsia" w:ascii="宋体" w:hAnsi="宋体" w:eastAsia="宋体" w:cs="宋体"/>
        </w:rPr>
        <w:t>。依据其豁免管理清单：“废弃的含油抹布可混入生活垃圾处理，全过程不按危险废物管理”。</w:t>
      </w:r>
    </w:p>
    <w:p>
      <w:pPr>
        <w:pStyle w:val="4"/>
        <w:numPr>
          <w:ilvl w:val="1"/>
          <w:numId w:val="4"/>
        </w:numPr>
        <w:tabs>
          <w:tab w:val="left" w:pos="740"/>
        </w:tabs>
        <w:spacing w:before="0" w:after="0" w:line="240" w:lineRule="auto"/>
        <w:ind w:left="740" w:right="0" w:hanging="603"/>
        <w:jc w:val="left"/>
        <w:rPr>
          <w:rFonts w:hint="eastAsia" w:ascii="宋体" w:hAnsi="宋体" w:eastAsia="宋体" w:cs="宋体"/>
        </w:rPr>
      </w:pPr>
      <w:bookmarkStart w:id="145" w:name="_bookmark23"/>
      <w:bookmarkEnd w:id="145"/>
      <w:bookmarkStart w:id="146" w:name="5.4社会环境影响调查"/>
      <w:bookmarkEnd w:id="146"/>
      <w:bookmarkStart w:id="147" w:name="_bookmark23"/>
      <w:bookmarkEnd w:id="147"/>
      <w:r>
        <w:rPr>
          <w:rFonts w:hint="eastAsia" w:ascii="宋体" w:hAnsi="宋体" w:eastAsia="宋体" w:cs="宋体"/>
        </w:rPr>
        <w:t>社会环境影响调查</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rPr>
        <w:t>本工程淹没区范围内不涉及淹没道路等基础设施</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rPr>
        <w:t>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本项目工程的建设对当地的社会经济具有重要作用</w:t>
      </w:r>
      <w:r>
        <w:rPr>
          <w:rFonts w:hint="eastAsia" w:ascii="宋体" w:hAnsi="宋体" w:eastAsia="宋体" w:cs="宋体"/>
          <w:color w:val="auto"/>
          <w:spacing w:val="0"/>
          <w:w w:val="100"/>
          <w:kern w:val="0"/>
          <w:position w:val="0"/>
          <w:sz w:val="24"/>
          <w:lang w:eastAsia="zh-CN"/>
        </w:rPr>
        <w:t>。</w:t>
      </w:r>
    </w:p>
    <w:p>
      <w:pPr>
        <w:pStyle w:val="7"/>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sectPr>
          <w:pgSz w:w="11910" w:h="16840"/>
          <w:pgMar w:top="1360" w:right="1560" w:bottom="1180" w:left="1660" w:header="0" w:footer="991" w:gutter="0"/>
        </w:sectPr>
      </w:pPr>
      <w:r>
        <w:rPr>
          <w:rFonts w:hint="eastAsia" w:ascii="宋体" w:hAnsi="宋体" w:eastAsia="宋体" w:cs="宋体"/>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lang w:eastAsia="zh-CN"/>
        </w:rPr>
        <w:t>。</w:t>
      </w:r>
    </w:p>
    <w:p>
      <w:pPr>
        <w:pStyle w:val="3"/>
        <w:numPr>
          <w:ilvl w:val="0"/>
          <w:numId w:val="9"/>
        </w:numPr>
        <w:tabs>
          <w:tab w:val="left" w:pos="498"/>
        </w:tabs>
        <w:spacing w:before="83" w:after="0" w:line="240" w:lineRule="auto"/>
        <w:ind w:left="497" w:right="0" w:hanging="361"/>
        <w:jc w:val="left"/>
        <w:rPr>
          <w:rFonts w:hint="eastAsia" w:ascii="宋体" w:hAnsi="宋体" w:eastAsia="宋体" w:cs="宋体"/>
        </w:rPr>
      </w:pPr>
      <w:bookmarkStart w:id="148" w:name="_bookmark24"/>
      <w:bookmarkEnd w:id="148"/>
      <w:bookmarkStart w:id="149" w:name="_bookmark24"/>
      <w:bookmarkEnd w:id="149"/>
      <w:bookmarkStart w:id="150" w:name="6环境风险事故防范及应急措施调查"/>
      <w:bookmarkEnd w:id="150"/>
      <w:r>
        <w:rPr>
          <w:rFonts w:hint="eastAsia" w:ascii="宋体" w:hAnsi="宋体" w:eastAsia="宋体" w:cs="宋体"/>
        </w:rPr>
        <w:t>环境风险事故防范及应急措施调查</w:t>
      </w:r>
    </w:p>
    <w:p>
      <w:pPr>
        <w:pStyle w:val="4"/>
        <w:numPr>
          <w:ilvl w:val="1"/>
          <w:numId w:val="9"/>
        </w:numPr>
        <w:tabs>
          <w:tab w:val="left" w:pos="740"/>
        </w:tabs>
        <w:spacing w:before="0" w:after="0" w:line="240" w:lineRule="auto"/>
        <w:ind w:left="740" w:right="0" w:hanging="603"/>
        <w:jc w:val="left"/>
        <w:rPr>
          <w:rFonts w:hint="eastAsia" w:ascii="宋体" w:hAnsi="宋体" w:eastAsia="宋体" w:cs="宋体"/>
        </w:rPr>
      </w:pPr>
      <w:bookmarkStart w:id="151" w:name="_bookmark25"/>
      <w:bookmarkEnd w:id="151"/>
      <w:bookmarkStart w:id="152" w:name="_bookmark25"/>
      <w:bookmarkEnd w:id="152"/>
      <w:bookmarkStart w:id="153" w:name="6.1电站存在的环境风险"/>
      <w:bookmarkEnd w:id="153"/>
      <w:r>
        <w:rPr>
          <w:rFonts w:hint="eastAsia" w:ascii="宋体" w:hAnsi="宋体" w:eastAsia="宋体" w:cs="宋体"/>
        </w:rPr>
        <w:t>电站存在的环境风险</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电站建设主要任务是发电，根据工程特性及工程对环境的影响特点分析，存</w:t>
      </w:r>
      <w:r>
        <w:rPr>
          <w:rFonts w:hint="eastAsia" w:ascii="宋体" w:hAnsi="宋体" w:eastAsia="宋体" w:cs="宋体"/>
          <w:spacing w:val="-6"/>
        </w:rPr>
        <w:t>在的危险主要为施工期河流水质污染，运行期溃坝风险、拦河坝水质污染、拦河</w:t>
      </w:r>
      <w:r>
        <w:rPr>
          <w:rFonts w:hint="eastAsia" w:ascii="宋体" w:hAnsi="宋体" w:eastAsia="宋体" w:cs="宋体"/>
        </w:rPr>
        <w:t>坝下生态用水被挤占风险、漏油污染河道水质危险的隐患。</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56" w:firstLineChars="200"/>
        <w:jc w:val="left"/>
        <w:textAlignment w:val="auto"/>
        <w:rPr>
          <w:rFonts w:hint="eastAsia" w:ascii="宋体" w:hAnsi="宋体" w:eastAsia="宋体" w:cs="宋体"/>
        </w:rPr>
      </w:pPr>
      <w:r>
        <w:rPr>
          <w:rFonts w:hint="eastAsia" w:ascii="宋体" w:hAnsi="宋体" w:eastAsia="宋体" w:cs="宋体"/>
          <w:spacing w:val="-6"/>
        </w:rPr>
        <w:t>针对上述风险源，企业编制了相应的重点风险源排查制度、环境风险预防措</w:t>
      </w:r>
      <w:r>
        <w:rPr>
          <w:rFonts w:hint="eastAsia" w:ascii="宋体" w:hAnsi="宋体" w:eastAsia="宋体" w:cs="宋体"/>
          <w:spacing w:val="-10"/>
        </w:rPr>
        <w:t>施、事故应急处理措施等，并成立了应急领导小组，负责电站突发环境事件的应</w:t>
      </w:r>
      <w:r>
        <w:rPr>
          <w:rFonts w:hint="eastAsia" w:ascii="宋体" w:hAnsi="宋体" w:eastAsia="宋体" w:cs="宋体"/>
          <w:spacing w:val="-11"/>
        </w:rPr>
        <w:t>急处置。应急领导小组下设办公室，具体负责环境应急日常工作，专门购买应急</w:t>
      </w:r>
      <w:r>
        <w:rPr>
          <w:rFonts w:hint="eastAsia" w:ascii="宋体" w:hAnsi="宋体" w:eastAsia="宋体" w:cs="宋体"/>
          <w:spacing w:val="-12"/>
        </w:rPr>
        <w:t>物资，建立急物资装备间。同时组建了现场指挥组、应急救援组、综合协调组、</w:t>
      </w:r>
      <w:r>
        <w:rPr>
          <w:rFonts w:hint="eastAsia" w:ascii="宋体" w:hAnsi="宋体" w:eastAsia="宋体" w:cs="宋体"/>
        </w:rPr>
        <w:t>后勤保障组等应急功能分支机构。</w:t>
      </w:r>
    </w:p>
    <w:p>
      <w:pPr>
        <w:pStyle w:val="4"/>
        <w:numPr>
          <w:ilvl w:val="1"/>
          <w:numId w:val="9"/>
        </w:numPr>
        <w:tabs>
          <w:tab w:val="left" w:pos="740"/>
        </w:tabs>
        <w:spacing w:before="1" w:after="0" w:line="240" w:lineRule="auto"/>
        <w:ind w:left="740" w:right="0" w:hanging="603"/>
        <w:jc w:val="left"/>
        <w:rPr>
          <w:rFonts w:hint="eastAsia" w:ascii="宋体" w:hAnsi="宋体" w:eastAsia="宋体" w:cs="宋体"/>
        </w:rPr>
      </w:pPr>
      <w:bookmarkStart w:id="154" w:name="6.2电站开工建设以来发生的环境风险事故调查"/>
      <w:bookmarkEnd w:id="154"/>
      <w:bookmarkStart w:id="155" w:name="_bookmark26"/>
      <w:bookmarkEnd w:id="155"/>
      <w:bookmarkStart w:id="156" w:name="_bookmark26"/>
      <w:bookmarkEnd w:id="156"/>
      <w:r>
        <w:rPr>
          <w:rFonts w:hint="eastAsia" w:ascii="宋体" w:hAnsi="宋体" w:eastAsia="宋体" w:cs="宋体"/>
        </w:rPr>
        <w:t>电站开工建设以来发生的环境风险事故调查</w:t>
      </w:r>
    </w:p>
    <w:p>
      <w:pPr>
        <w:pStyle w:val="18"/>
        <w:keepNext w:val="0"/>
        <w:keepLines w:val="0"/>
        <w:pageBreakBefore w:val="0"/>
        <w:widowControl w:val="0"/>
        <w:numPr>
          <w:ilvl w:val="2"/>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业主切实落实施工期生产废水、生活污水处理的各项环境保护措施；加强对</w:t>
      </w:r>
      <w:r>
        <w:rPr>
          <w:rFonts w:hint="eastAsia" w:ascii="宋体" w:hAnsi="宋体" w:eastAsia="宋体" w:cs="宋体"/>
          <w:spacing w:val="-6"/>
        </w:rPr>
        <w:t>施工人员的环境保护宣传教育工作，增强环境保护意识；不定期检查施工现场等</w:t>
      </w:r>
      <w:r>
        <w:rPr>
          <w:rFonts w:hint="eastAsia" w:ascii="宋体" w:hAnsi="宋体" w:eastAsia="宋体" w:cs="宋体"/>
        </w:rPr>
        <w:t>措施进行环境风险预防，项目建设过程中没有发生过环境风险事故。</w:t>
      </w:r>
    </w:p>
    <w:p>
      <w:pPr>
        <w:pStyle w:val="18"/>
        <w:keepNext w:val="0"/>
        <w:keepLines w:val="0"/>
        <w:pageBreakBefore w:val="0"/>
        <w:widowControl w:val="0"/>
        <w:numPr>
          <w:ilvl w:val="2"/>
          <w:numId w:val="9"/>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营运期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76" w:firstLineChars="200"/>
        <w:jc w:val="left"/>
        <w:textAlignment w:val="auto"/>
        <w:rPr>
          <w:rFonts w:hint="eastAsia" w:ascii="宋体" w:hAnsi="宋体" w:eastAsia="宋体" w:cs="宋体"/>
        </w:rPr>
      </w:pPr>
      <w:r>
        <w:rPr>
          <w:rFonts w:hint="eastAsia" w:ascii="宋体" w:hAnsi="宋体" w:eastAsia="宋体" w:cs="宋体"/>
          <w:spacing w:val="-1"/>
        </w:rPr>
        <w:t>电站投入营运后，业主在平时加强对运行安全、消防管理、拦水坝巡检外</w:t>
      </w:r>
      <w:r>
        <w:rPr>
          <w:rFonts w:hint="eastAsia" w:ascii="宋体" w:hAnsi="宋体" w:eastAsia="宋体" w:cs="宋体"/>
          <w:spacing w:val="-1"/>
          <w:lang w:eastAsia="zh-CN"/>
        </w:rPr>
        <w:t>，</w:t>
      </w:r>
      <w:r>
        <w:rPr>
          <w:rFonts w:hint="eastAsia" w:ascii="宋体" w:hAnsi="宋体" w:eastAsia="宋体" w:cs="宋体"/>
          <w:spacing w:val="-4"/>
        </w:rPr>
        <w:t>建立了事故应急措施以及加强对电站管理人员环境保护宣传教育，增强环境保护</w:t>
      </w:r>
      <w:r>
        <w:rPr>
          <w:rFonts w:hint="eastAsia" w:ascii="宋体" w:hAnsi="宋体" w:eastAsia="宋体" w:cs="宋体"/>
          <w:spacing w:val="-10"/>
        </w:rPr>
        <w:t>意识；加强监管，严禁电站引水挤占下泄的生态用水量等措施，电站试运行期没有发生过环境风险事故。</w:t>
      </w:r>
    </w:p>
    <w:p>
      <w:pPr>
        <w:pStyle w:val="4"/>
        <w:numPr>
          <w:ilvl w:val="1"/>
          <w:numId w:val="9"/>
        </w:numPr>
        <w:tabs>
          <w:tab w:val="left" w:pos="740"/>
        </w:tabs>
        <w:spacing w:before="0" w:after="0" w:line="240" w:lineRule="auto"/>
        <w:ind w:left="740" w:right="0" w:hanging="603"/>
        <w:jc w:val="left"/>
        <w:rPr>
          <w:rFonts w:hint="eastAsia" w:ascii="宋体" w:hAnsi="宋体" w:eastAsia="宋体" w:cs="宋体"/>
        </w:rPr>
      </w:pPr>
      <w:bookmarkStart w:id="157" w:name="_bookmark27"/>
      <w:bookmarkEnd w:id="157"/>
      <w:bookmarkStart w:id="158" w:name="6.3电站环境风险事故应急预案的机构设置"/>
      <w:bookmarkEnd w:id="158"/>
      <w:bookmarkStart w:id="159" w:name="_bookmark27"/>
      <w:bookmarkEnd w:id="159"/>
      <w:r>
        <w:rPr>
          <w:rFonts w:hint="eastAsia" w:ascii="宋体" w:hAnsi="宋体" w:eastAsia="宋体" w:cs="宋体"/>
        </w:rPr>
        <w:t>电站环境风险事故应急预案的机构设置</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spacing w:val="-5"/>
        </w:rPr>
        <w:t>电站需要成立突发环境事件应急领导小组，负责电站突发环境事件的应急处</w:t>
      </w:r>
      <w:r>
        <w:rPr>
          <w:rFonts w:hint="eastAsia" w:ascii="宋体" w:hAnsi="宋体" w:eastAsia="宋体" w:cs="宋体"/>
          <w:spacing w:val="-10"/>
        </w:rPr>
        <w:t>置。其中：总指挥长由公司总经理担任，副组长由公司副总经理担任：成员由公</w:t>
      </w:r>
      <w:r>
        <w:rPr>
          <w:rFonts w:hint="eastAsia" w:ascii="宋体" w:hAnsi="宋体" w:eastAsia="宋体" w:cs="宋体"/>
          <w:spacing w:val="-9"/>
        </w:rPr>
        <w:t>司办公室主任、电站站站长、副站长、运营班长等人员组成。应急领导小组下设</w:t>
      </w:r>
      <w:r>
        <w:rPr>
          <w:rFonts w:hint="eastAsia" w:ascii="宋体" w:hAnsi="宋体" w:eastAsia="宋体" w:cs="宋体"/>
          <w:spacing w:val="-10"/>
        </w:rPr>
        <w:t>办公室，具体负责环境应急日常工作。同时组建现场指挥组、应急救援组、综合</w:t>
      </w:r>
      <w:r>
        <w:rPr>
          <w:rFonts w:hint="eastAsia" w:ascii="宋体" w:hAnsi="宋体" w:eastAsia="宋体" w:cs="宋体"/>
        </w:rPr>
        <w:t>协调组、后勤保障组等应急功能分支机构。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8" w:firstLineChars="200"/>
        <w:jc w:val="left"/>
        <w:textAlignment w:val="auto"/>
        <w:rPr>
          <w:rFonts w:hint="eastAsia" w:ascii="宋体" w:hAnsi="宋体" w:eastAsia="宋体" w:cs="宋体"/>
        </w:rPr>
      </w:pPr>
      <w:r>
        <w:rPr>
          <w:rFonts w:hint="eastAsia" w:ascii="宋体" w:hAnsi="宋体" w:eastAsia="宋体" w:cs="宋体"/>
          <w:color w:val="000000" w:themeColor="text1"/>
          <w:spacing w:val="-3"/>
          <w14:textFill>
            <w14:solidFill>
              <w14:schemeClr w14:val="tx1"/>
            </w14:solidFill>
          </w14:textFill>
        </w:rPr>
        <w:t>针对水电站在营运过程中存在的环境风险隐患，企业切实按照项</w:t>
      </w:r>
      <w:r>
        <w:rPr>
          <w:rFonts w:hint="eastAsia" w:ascii="宋体" w:hAnsi="宋体" w:eastAsia="宋体" w:cs="宋体"/>
          <w:color w:val="000000" w:themeColor="text1"/>
          <w:spacing w:val="-9"/>
          <w14:textFill>
            <w14:solidFill>
              <w14:schemeClr w14:val="tx1"/>
            </w14:solidFill>
          </w14:textFill>
        </w:rPr>
        <w:t>目《</w:t>
      </w: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color w:val="000000" w:themeColor="text1"/>
          <w:spacing w:val="-9"/>
          <w14:textFill>
            <w14:solidFill>
              <w14:schemeClr w14:val="tx1"/>
            </w14:solidFill>
          </w14:textFill>
        </w:rPr>
        <w:t>环境影响报告书》提出的环保措施的相关内容进行防</w:t>
      </w:r>
      <w:r>
        <w:rPr>
          <w:rFonts w:hint="eastAsia" w:ascii="宋体" w:hAnsi="宋体" w:eastAsia="宋体" w:cs="宋体"/>
          <w:color w:val="000000" w:themeColor="text1"/>
          <w:spacing w:val="-10"/>
          <w14:textFill>
            <w14:solidFill>
              <w14:schemeClr w14:val="tx1"/>
            </w14:solidFill>
          </w14:textFill>
        </w:rPr>
        <w:t>护</w:t>
      </w:r>
      <w:r>
        <w:rPr>
          <w:rFonts w:hint="eastAsia" w:ascii="宋体" w:hAnsi="宋体" w:eastAsia="宋体" w:cs="宋体"/>
          <w:spacing w:val="-10"/>
        </w:rPr>
        <w:t>。另外，企业成立了突发环境事件应急组织机构，保障突发事故应急救援物资</w:t>
      </w:r>
      <w:r>
        <w:rPr>
          <w:rFonts w:hint="eastAsia" w:ascii="宋体" w:hAnsi="宋体" w:eastAsia="宋体" w:cs="宋体"/>
          <w:spacing w:val="-11"/>
        </w:rPr>
        <w:t>的供应。企业落实完成了相关的环保措施，建立了相关的突发环境事件应急预案</w:t>
      </w:r>
      <w:r>
        <w:rPr>
          <w:rFonts w:hint="eastAsia" w:ascii="宋体" w:hAnsi="宋体" w:eastAsia="宋体" w:cs="宋体"/>
          <w:spacing w:val="-12"/>
        </w:rPr>
        <w:t>机构、保障设施的基础，</w:t>
      </w:r>
      <w:r>
        <w:rPr>
          <w:rFonts w:hint="eastAsia" w:ascii="宋体" w:hAnsi="宋体" w:eastAsia="宋体" w:cs="宋体"/>
          <w:spacing w:val="-3"/>
        </w:rPr>
        <w:t>水电站</w:t>
      </w:r>
      <w:r>
        <w:rPr>
          <w:rFonts w:hint="eastAsia" w:ascii="宋体" w:hAnsi="宋体" w:eastAsia="宋体" w:cs="宋体"/>
          <w:spacing w:val="-12"/>
        </w:rPr>
        <w:t>存在的环境风险得到了有效的控制。</w:t>
      </w:r>
    </w:p>
    <w:p>
      <w:pPr>
        <w:spacing w:after="0" w:line="364" w:lineRule="auto"/>
        <w:jc w:val="both"/>
        <w:sectPr>
          <w:pgSz w:w="11910" w:h="16840"/>
          <w:pgMar w:top="1380" w:right="1560" w:bottom="1180" w:left="1660" w:header="0" w:footer="991" w:gutter="0"/>
        </w:sectPr>
      </w:pPr>
    </w:p>
    <w:p>
      <w:pPr>
        <w:pStyle w:val="3"/>
        <w:numPr>
          <w:ilvl w:val="0"/>
          <w:numId w:val="9"/>
        </w:numPr>
        <w:tabs>
          <w:tab w:val="left" w:pos="498"/>
        </w:tabs>
        <w:spacing w:before="83" w:after="0" w:line="240" w:lineRule="auto"/>
        <w:ind w:left="497" w:right="0" w:hanging="361"/>
        <w:jc w:val="left"/>
        <w:rPr>
          <w:rFonts w:hint="eastAsia" w:ascii="宋体" w:hAnsi="宋体" w:eastAsia="宋体" w:cs="宋体"/>
          <w:b/>
          <w:sz w:val="37"/>
        </w:rPr>
      </w:pPr>
      <w:bookmarkStart w:id="160" w:name="7环境管理检查调查"/>
      <w:bookmarkEnd w:id="160"/>
      <w:bookmarkStart w:id="161" w:name="_bookmark28"/>
      <w:bookmarkEnd w:id="161"/>
      <w:bookmarkStart w:id="162" w:name="_bookmark28"/>
      <w:bookmarkEnd w:id="162"/>
      <w:r>
        <w:rPr>
          <w:rFonts w:hint="eastAsia" w:ascii="宋体" w:hAnsi="宋体" w:eastAsia="宋体" w:cs="宋体"/>
        </w:rPr>
        <w:t>环境管理检查调查</w:t>
      </w:r>
    </w:p>
    <w:p>
      <w:pPr>
        <w:pStyle w:val="4"/>
        <w:numPr>
          <w:ilvl w:val="1"/>
          <w:numId w:val="9"/>
        </w:numPr>
        <w:tabs>
          <w:tab w:val="left" w:pos="740"/>
        </w:tabs>
        <w:spacing w:before="0" w:after="0" w:line="240" w:lineRule="auto"/>
        <w:ind w:left="740" w:right="0" w:hanging="603"/>
        <w:jc w:val="left"/>
        <w:rPr>
          <w:rFonts w:hint="eastAsia" w:ascii="宋体" w:hAnsi="宋体" w:eastAsia="宋体" w:cs="宋体"/>
        </w:rPr>
      </w:pPr>
      <w:bookmarkStart w:id="163" w:name="_bookmark29"/>
      <w:bookmarkEnd w:id="163"/>
      <w:bookmarkStart w:id="164" w:name="7.1环境管理"/>
      <w:bookmarkEnd w:id="164"/>
      <w:bookmarkStart w:id="165" w:name="_bookmark29"/>
      <w:bookmarkEnd w:id="165"/>
      <w:r>
        <w:rPr>
          <w:rFonts w:hint="eastAsia" w:ascii="宋体" w:hAnsi="宋体" w:eastAsia="宋体" w:cs="宋体"/>
        </w:rPr>
        <w:t>环境管理</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（1）工程执行国家环保法律政策情况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color w:val="000000" w:themeColor="text1"/>
          <w:spacing w:val="3"/>
          <w14:textFill>
            <w14:solidFill>
              <w14:schemeClr w14:val="tx1"/>
            </w14:solidFill>
          </w14:textFill>
        </w:rPr>
        <w:t>建设项目在前期能够根据国家环境保护相关政策法</w:t>
      </w:r>
      <w:r>
        <w:rPr>
          <w:rFonts w:hint="eastAsia" w:ascii="宋体" w:hAnsi="宋体" w:eastAsia="宋体" w:cs="宋体"/>
          <w:color w:val="000000" w:themeColor="text1"/>
          <w:spacing w:val="-10"/>
          <w14:textFill>
            <w14:solidFill>
              <w14:schemeClr w14:val="tx1"/>
            </w14:solidFill>
          </w14:textFill>
        </w:rPr>
        <w:t>规，编制《</w:t>
      </w: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color w:val="000000" w:themeColor="text1"/>
          <w:spacing w:val="-10"/>
          <w14:textFill>
            <w14:solidFill>
              <w14:schemeClr w14:val="tx1"/>
            </w14:solidFill>
          </w14:textFill>
        </w:rPr>
        <w:t>环境影响报告书》，在建设过程中基本落实了</w:t>
      </w:r>
      <w:r>
        <w:rPr>
          <w:rFonts w:hint="eastAsia" w:ascii="宋体" w:hAnsi="宋体" w:eastAsia="宋体" w:cs="宋体"/>
          <w:color w:val="000000" w:themeColor="text1"/>
          <w:spacing w:val="-1"/>
          <w14:textFill>
            <w14:solidFill>
              <w14:schemeClr w14:val="tx1"/>
            </w14:solidFill>
          </w14:textFill>
        </w:rPr>
        <w:t>《</w:t>
      </w: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color w:val="000000" w:themeColor="text1"/>
          <w:spacing w:val="-1"/>
          <w14:textFill>
            <w14:solidFill>
              <w14:schemeClr w14:val="tx1"/>
            </w14:solidFill>
          </w14:textFill>
        </w:rPr>
        <w:t>环境影响报告书》及其批复意见提出的“三废一噪”、</w:t>
      </w:r>
      <w:r>
        <w:rPr>
          <w:rFonts w:hint="eastAsia" w:ascii="宋体" w:hAnsi="宋体" w:eastAsia="宋体" w:cs="宋体"/>
          <w:color w:val="000000" w:themeColor="text1"/>
          <w:spacing w:val="-9"/>
          <w14:textFill>
            <w14:solidFill>
              <w14:schemeClr w14:val="tx1"/>
            </w14:solidFill>
          </w14:textFill>
        </w:rPr>
        <w:t>生态保护、水土保持等措施，做到了与工程同步设计、同时建设、同时投产，目</w:t>
      </w:r>
      <w:r>
        <w:rPr>
          <w:rFonts w:hint="eastAsia" w:ascii="宋体" w:hAnsi="宋体" w:eastAsia="宋体" w:cs="宋体"/>
          <w:color w:val="000000" w:themeColor="text1"/>
          <w:spacing w:val="-14"/>
          <w14:textFill>
            <w14:solidFill>
              <w14:schemeClr w14:val="tx1"/>
            </w14:solidFill>
          </w14:textFill>
        </w:rPr>
        <w:t>前各项环保措施和投资己基本得到落实，环保设施运行状况良好，执行了建设项</w:t>
      </w:r>
      <w:r>
        <w:rPr>
          <w:rFonts w:hint="eastAsia" w:ascii="宋体" w:hAnsi="宋体" w:eastAsia="宋体" w:cs="宋体"/>
          <w:color w:val="000000" w:themeColor="text1"/>
          <w:spacing w:val="-13"/>
          <w14:textFill>
            <w14:solidFill>
              <w14:schemeClr w14:val="tx1"/>
            </w14:solidFill>
          </w14:textFill>
        </w:rPr>
        <w:t>目环保措施“三同时”制度。从上述情况看，该项目建设过程中较好地执行了国家环境保护的法律法规。</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(2）环保机构、制度及人员情况</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w:t>
      </w:r>
      <w:r>
        <w:rPr>
          <w:rFonts w:hint="eastAsia" w:ascii="宋体" w:hAnsi="宋体" w:eastAsia="宋体" w:cs="宋体"/>
          <w:color w:val="000000" w:themeColor="text1"/>
          <w:spacing w:val="3"/>
          <w14:textFill>
            <w14:solidFill>
              <w14:schemeClr w14:val="tx1"/>
            </w14:solidFill>
          </w14:textFill>
        </w:rPr>
        <w:t>机构置情况：没有单独的环保</w:t>
      </w:r>
      <w:r>
        <w:rPr>
          <w:rFonts w:hint="eastAsia" w:ascii="宋体" w:hAnsi="宋体" w:eastAsia="宋体" w:cs="宋体"/>
          <w:spacing w:val="3"/>
        </w:rPr>
        <w:t>机构和专职人</w:t>
      </w:r>
      <w:r>
        <w:rPr>
          <w:rFonts w:hint="eastAsia" w:ascii="宋体" w:hAnsi="宋体" w:eastAsia="宋体" w:cs="宋体"/>
          <w:spacing w:val="-10"/>
        </w:rPr>
        <w:t>员。环保机构由公司员工兼职，环保工作由电站站长兼管，看守员的工作主要是</w:t>
      </w:r>
      <w:r>
        <w:rPr>
          <w:rFonts w:hint="eastAsia" w:ascii="宋体" w:hAnsi="宋体" w:eastAsia="宋体" w:cs="宋体"/>
        </w:rPr>
        <w:t>负责安全方面，电站安全工作与环保有一定的关系。</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4"/>
        </w:rPr>
      </w:pPr>
      <w:r>
        <w:rPr>
          <w:rFonts w:hint="eastAsia" w:ascii="宋体" w:hAnsi="宋体" w:eastAsia="宋体" w:cs="宋体"/>
          <w:sz w:val="24"/>
        </w:rPr>
        <w:t>施工期环境管理机构及规章制度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0" w:firstLineChars="200"/>
        <w:jc w:val="left"/>
        <w:textAlignment w:val="auto"/>
        <w:rPr>
          <w:rFonts w:hint="eastAsia" w:ascii="宋体" w:hAnsi="宋体" w:eastAsia="宋体" w:cs="宋体"/>
        </w:rPr>
      </w:pPr>
      <w:r>
        <w:rPr>
          <w:rFonts w:hint="eastAsia" w:ascii="宋体" w:hAnsi="宋体" w:eastAsia="宋体" w:cs="宋体"/>
          <w:spacing w:val="-5"/>
        </w:rPr>
        <w:t>为保证建设期工程环保管理工作的落实，建设部门成立了专门的环保管理领</w:t>
      </w:r>
      <w:r>
        <w:rPr>
          <w:rFonts w:hint="eastAsia" w:ascii="宋体" w:hAnsi="宋体" w:eastAsia="宋体" w:cs="宋体"/>
          <w:spacing w:val="-9"/>
        </w:rPr>
        <w:t>导小组，直接负责日常的工程环保管理工作，下设库区水质保护、工程环保、工</w:t>
      </w:r>
      <w:r>
        <w:rPr>
          <w:rFonts w:hint="eastAsia" w:ascii="宋体" w:hAnsi="宋体" w:eastAsia="宋体" w:cs="宋体"/>
          <w:spacing w:val="-10"/>
        </w:rPr>
        <w:t>程绿化等小组。环保管理组织机构的建立及各岗位职责的明确，为工程指挥部环</w:t>
      </w:r>
      <w:r>
        <w:rPr>
          <w:rFonts w:hint="eastAsia" w:ascii="宋体" w:hAnsi="宋体" w:eastAsia="宋体" w:cs="宋体"/>
        </w:rPr>
        <w:t>保工作的落实提供了机构上的有力保证。</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为确保环评批复意见的落实，建设部门制订了相关环保管理制度，具体的制度如下：</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全面实施环保（及水土保持工程）工程招投标制度。在公开、公平、公正、合理的原则下，选择资质高、信誉好、实力强的施工队伍进行环保工程的建设。将主体工程施工要求的环保措施作为合同的重要内容，承包商在施工计划、施工作业和施工管理上都要求采取了相应的措施，有效地防止了施工中的水土流失、水质污染事故。</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建立完整的工程施工环保管理制度，为施工环保措施的落实提供有力的保证。工程施工环保管理制度规定了各施工单位施工废水的处置措施、生活污水、</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40" w:firstLineChars="200"/>
        <w:jc w:val="left"/>
        <w:textAlignment w:val="auto"/>
        <w:sectPr>
          <w:pgSz w:w="11910" w:h="16840"/>
          <w:pgMar w:top="1580" w:right="1560" w:bottom="1180" w:left="1660" w:header="0" w:footer="991" w:gutter="0"/>
        </w:sect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rPr>
      </w:pPr>
      <w:r>
        <w:rPr>
          <w:rFonts w:hint="eastAsia" w:ascii="宋体" w:hAnsi="宋体" w:eastAsia="宋体" w:cs="宋体"/>
        </w:rPr>
        <w:t>垃圾的处置要求、施工现场环保要求、施工噪声控制要求等内容。</w:t>
      </w:r>
    </w:p>
    <w:p>
      <w:pPr>
        <w:pStyle w:val="18"/>
        <w:keepNext w:val="0"/>
        <w:keepLines w:val="0"/>
        <w:pageBreakBefore w:val="0"/>
        <w:widowControl w:val="0"/>
        <w:numPr>
          <w:ilvl w:val="0"/>
          <w:numId w:val="10"/>
        </w:numPr>
        <w:tabs>
          <w:tab w:val="left" w:pos="1193"/>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营运期环境规章制度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w:t>
      </w:r>
      <w:r>
        <w:rPr>
          <w:rFonts w:hint="eastAsia" w:ascii="宋体" w:hAnsi="宋体" w:eastAsia="宋体" w:cs="宋体"/>
          <w:color w:val="000000" w:themeColor="text1"/>
          <w:spacing w:val="-5"/>
          <w14:textFill>
            <w14:solidFill>
              <w14:schemeClr w14:val="tx1"/>
            </w14:solidFill>
          </w14:textFill>
        </w:rPr>
        <w:t>投入运行后，企业针对水电站运营的环保管理特点，结合</w:t>
      </w:r>
      <w:r>
        <w:rPr>
          <w:rFonts w:hint="eastAsia" w:ascii="宋体" w:hAnsi="宋体" w:eastAsia="宋体" w:cs="宋体"/>
          <w:color w:val="000000" w:themeColor="text1"/>
          <w:spacing w:val="-11"/>
          <w14:textFill>
            <w14:solidFill>
              <w14:schemeClr w14:val="tx1"/>
            </w14:solidFill>
          </w14:textFill>
        </w:rPr>
        <w:t>水电站管理经验，制定了水利枢纽工程管理制度岗位等一系列的水电站运营环保</w:t>
      </w:r>
      <w:r>
        <w:rPr>
          <w:rFonts w:hint="eastAsia" w:ascii="宋体" w:hAnsi="宋体" w:eastAsia="宋体" w:cs="宋体"/>
          <w:color w:val="000000" w:themeColor="text1"/>
          <w14:textFill>
            <w14:solidFill>
              <w14:schemeClr w14:val="tx1"/>
            </w14:solidFill>
          </w14:textFill>
        </w:rPr>
        <w:t>管理制度。</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w:t>
      </w:r>
      <w:r>
        <w:rPr>
          <w:rFonts w:hint="eastAsia" w:ascii="宋体" w:hAnsi="宋体" w:eastAsia="宋体" w:cs="宋体"/>
          <w:color w:val="000000" w:themeColor="text1"/>
          <w:spacing w:val="3"/>
          <w14:textFill>
            <w14:solidFill>
              <w14:schemeClr w14:val="tx1"/>
            </w14:solidFill>
          </w14:textFill>
        </w:rPr>
        <w:t>运行期间主要产生的污染物仅为管理人员产生的生活污</w:t>
      </w:r>
      <w:r>
        <w:rPr>
          <w:rFonts w:hint="eastAsia" w:ascii="宋体" w:hAnsi="宋体" w:eastAsia="宋体" w:cs="宋体"/>
          <w:color w:val="000000" w:themeColor="text1"/>
          <w:spacing w:val="-3"/>
          <w14:textFill>
            <w14:solidFill>
              <w14:schemeClr w14:val="tx1"/>
            </w14:solidFill>
          </w14:textFill>
        </w:rPr>
        <w:t>水和生活垃圾以及设备运行产生的噪声，废机油产生量极少，且无大气污染源排</w:t>
      </w:r>
      <w:r>
        <w:rPr>
          <w:rFonts w:hint="eastAsia" w:ascii="宋体" w:hAnsi="宋体" w:eastAsia="宋体" w:cs="宋体"/>
          <w:color w:val="000000" w:themeColor="text1"/>
          <w:spacing w:val="-11"/>
          <w14:textFill>
            <w14:solidFill>
              <w14:schemeClr w14:val="tx1"/>
            </w14:solidFill>
          </w14:textFill>
        </w:rPr>
        <w:t>放。基于企业的性质，</w:t>
      </w: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w:t>
      </w:r>
      <w:r>
        <w:rPr>
          <w:rFonts w:hint="eastAsia" w:ascii="宋体" w:hAnsi="宋体" w:eastAsia="宋体" w:cs="宋体"/>
          <w:color w:val="000000" w:themeColor="text1"/>
          <w:spacing w:val="-11"/>
          <w14:textFill>
            <w14:solidFill>
              <w14:schemeClr w14:val="tx1"/>
            </w14:solidFill>
          </w14:textFill>
        </w:rPr>
        <w:t>没有</w:t>
      </w:r>
      <w:r>
        <w:rPr>
          <w:rFonts w:hint="eastAsia" w:ascii="宋体" w:hAnsi="宋体" w:eastAsia="宋体" w:cs="宋体"/>
          <w:spacing w:val="-11"/>
        </w:rPr>
        <w:t>专门的环境保护管理制</w:t>
      </w:r>
      <w:r>
        <w:rPr>
          <w:rFonts w:hint="eastAsia" w:ascii="宋体" w:hAnsi="宋体" w:eastAsia="宋体" w:cs="宋体"/>
          <w:spacing w:val="-10"/>
        </w:rPr>
        <w:t>度，只是在电站规章制度中，专门制定了“运行人员岗位职责、首要人员岗位职责、设备巡检人员规章制度、中控室工作人员规章制度对相关工作做了要求，使</w:t>
      </w:r>
      <w:r>
        <w:rPr>
          <w:rFonts w:hint="eastAsia" w:ascii="宋体" w:hAnsi="宋体" w:eastAsia="宋体" w:cs="宋体"/>
        </w:rPr>
        <w:t>电站人员的工作纳入管理。</w:t>
      </w:r>
    </w:p>
    <w:p>
      <w:pPr>
        <w:pStyle w:val="2"/>
        <w:spacing w:before="7"/>
        <w:rPr>
          <w:sz w:val="18"/>
        </w:rPr>
      </w:pPr>
    </w:p>
    <w:p>
      <w:pPr>
        <w:pStyle w:val="4"/>
        <w:numPr>
          <w:ilvl w:val="1"/>
          <w:numId w:val="9"/>
        </w:numPr>
        <w:tabs>
          <w:tab w:val="left" w:pos="740"/>
        </w:tabs>
        <w:spacing w:before="0" w:after="0" w:line="240" w:lineRule="auto"/>
        <w:ind w:left="740" w:right="0" w:hanging="603"/>
        <w:jc w:val="left"/>
        <w:rPr>
          <w:rFonts w:hint="eastAsia" w:ascii="宋体" w:hAnsi="宋体" w:eastAsia="宋体" w:cs="宋体"/>
        </w:rPr>
      </w:pPr>
      <w:bookmarkStart w:id="166" w:name="7.2环境监理、监察"/>
      <w:bookmarkEnd w:id="166"/>
      <w:bookmarkStart w:id="167" w:name="_bookmark30"/>
      <w:bookmarkEnd w:id="167"/>
      <w:bookmarkStart w:id="168" w:name="_bookmark30"/>
      <w:bookmarkEnd w:id="168"/>
      <w:r>
        <w:rPr>
          <w:rFonts w:hint="eastAsia" w:ascii="宋体" w:hAnsi="宋体" w:eastAsia="宋体" w:cs="宋体"/>
        </w:rPr>
        <w:t>环境监理、监察</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textAlignment w:val="auto"/>
        <w:rPr>
          <w:rFonts w:hint="eastAsia" w:ascii="宋体" w:hAnsi="宋体" w:eastAsia="宋体" w:cs="宋体"/>
        </w:rPr>
      </w:pPr>
      <w:r>
        <w:rPr>
          <w:rFonts w:hint="eastAsia" w:ascii="宋体" w:hAnsi="宋体" w:eastAsia="宋体" w:cs="宋体"/>
        </w:rPr>
        <w:t>因该电站工程没有专门的环保工程监理，施工过程中对水保工程的监理，电站委托专业机构与主体工程监理一并进行。施工期没有进施工期环境监测。</w:t>
      </w:r>
    </w:p>
    <w:p>
      <w:pPr>
        <w:spacing w:after="0" w:line="362" w:lineRule="auto"/>
        <w:sectPr>
          <w:pgSz w:w="11910" w:h="16840"/>
          <w:pgMar w:top="1380" w:right="1560" w:bottom="1180" w:left="1660" w:header="0" w:footer="991" w:gutter="0"/>
        </w:sectPr>
      </w:pPr>
    </w:p>
    <w:p>
      <w:pPr>
        <w:pStyle w:val="3"/>
        <w:numPr>
          <w:ilvl w:val="0"/>
          <w:numId w:val="9"/>
        </w:numPr>
        <w:tabs>
          <w:tab w:val="left" w:pos="498"/>
        </w:tabs>
        <w:spacing w:before="83" w:after="0" w:line="240" w:lineRule="auto"/>
        <w:ind w:left="497" w:right="0" w:hanging="361"/>
        <w:jc w:val="both"/>
        <w:rPr>
          <w:rFonts w:hint="eastAsia" w:ascii="宋体" w:hAnsi="宋体" w:eastAsia="宋体" w:cs="宋体"/>
        </w:rPr>
      </w:pPr>
      <w:bookmarkStart w:id="169" w:name="8公众意见调查"/>
      <w:bookmarkEnd w:id="169"/>
      <w:bookmarkStart w:id="170" w:name="_bookmark31"/>
      <w:bookmarkEnd w:id="170"/>
      <w:bookmarkStart w:id="171" w:name="_bookmark31"/>
      <w:bookmarkEnd w:id="171"/>
      <w:r>
        <w:rPr>
          <w:rFonts w:hint="eastAsia" w:ascii="宋体" w:hAnsi="宋体" w:eastAsia="宋体" w:cs="宋体"/>
        </w:rPr>
        <w:t>公众意见调查</w:t>
      </w:r>
    </w:p>
    <w:p>
      <w:pPr>
        <w:pStyle w:val="2"/>
        <w:spacing w:before="359" w:line="364" w:lineRule="auto"/>
        <w:ind w:left="137" w:right="235" w:firstLine="360"/>
        <w:jc w:val="both"/>
        <w:rPr>
          <w:rFonts w:hint="eastAsia" w:ascii="宋体" w:hAnsi="宋体" w:eastAsia="宋体" w:cs="宋体"/>
        </w:rPr>
      </w:pPr>
      <w:r>
        <w:rPr>
          <w:rFonts w:hint="eastAsia" w:ascii="宋体" w:hAnsi="宋体" w:eastAsia="宋体" w:cs="宋体"/>
        </w:rPr>
        <w:t>本电站周边自然环境优越，电站坝址位于东固水一级支流龙家塘上游。</w:t>
      </w:r>
      <w:r>
        <w:rPr>
          <w:rFonts w:hint="eastAsia" w:ascii="宋体" w:hAnsi="宋体" w:eastAsia="宋体" w:cs="宋体"/>
          <w:lang w:val="en-US" w:eastAsia="zh-CN"/>
        </w:rPr>
        <w:t>东固水：</w:t>
      </w:r>
      <w:r>
        <w:rPr>
          <w:rFonts w:hint="eastAsia" w:ascii="宋体" w:hAnsi="宋体" w:eastAsia="宋体" w:cs="宋体"/>
          <w:lang w:val="en-US"/>
        </w:rPr>
        <w:t>富田水一级支流，孤江二级支流。发源于兴国县崇贤乡西北部的观音坳</w:t>
      </w:r>
      <w:r>
        <w:rPr>
          <w:rFonts w:hint="eastAsia" w:ascii="宋体" w:hAnsi="宋体" w:eastAsia="宋体" w:cs="宋体"/>
          <w:lang w:val="en-US" w:eastAsia="zh-CN"/>
        </w:rPr>
        <w:t>，由南向北流经兴国县崇贤乡的上脑排、贺堂、龙下瀑布进入青原区东固畲族乡境内赖屋、六渡、至青原区东固畲族乡新屋场从左岸汇入富田水，</w:t>
      </w:r>
      <w:r>
        <w:rPr>
          <w:rFonts w:hint="default" w:ascii="Times New Roman" w:hAnsi="Times New Roman" w:eastAsia="宋体" w:cs="Times New Roman"/>
          <w:color w:val="auto"/>
          <w:spacing w:val="0"/>
          <w:w w:val="100"/>
          <w:kern w:val="0"/>
          <w:position w:val="0"/>
          <w:sz w:val="24"/>
          <w:szCs w:val="24"/>
          <w:lang w:val="en-US" w:bidi="ar-SA"/>
        </w:rPr>
        <w:t>主河道长23.3km（其中兴国县河长9km），河道纵比降15.8‰，流域面积118km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（其中兴国县51.4 km</w:t>
      </w:r>
      <w:r>
        <w:rPr>
          <w:rFonts w:hint="default" w:ascii="Times New Roman" w:hAnsi="Times New Roman" w:eastAsia="宋体" w:cs="Times New Roman"/>
          <w:color w:val="auto"/>
          <w:spacing w:val="0"/>
          <w:w w:val="100"/>
          <w:kern w:val="0"/>
          <w:position w:val="0"/>
          <w:sz w:val="24"/>
          <w:szCs w:val="24"/>
          <w:vertAlign w:val="superscript"/>
          <w:lang w:val="en-US" w:bidi="ar-SA"/>
        </w:rPr>
        <w:t>2</w:t>
      </w:r>
      <w:r>
        <w:rPr>
          <w:rFonts w:hint="default" w:ascii="Times New Roman" w:hAnsi="Times New Roman" w:eastAsia="宋体" w:cs="Times New Roman"/>
          <w:color w:val="auto"/>
          <w:spacing w:val="0"/>
          <w:w w:val="100"/>
          <w:kern w:val="0"/>
          <w:position w:val="0"/>
          <w:sz w:val="24"/>
          <w:szCs w:val="24"/>
          <w:lang w:val="en-US" w:bidi="ar-SA"/>
        </w:rPr>
        <w:t>）。流域多年平均：年降水量1580mm，年径流量1.07亿</w:t>
      </w:r>
      <w:r>
        <w:rPr>
          <w:rFonts w:hint="eastAsia" w:ascii="Times New Roman" w:hAnsi="Times New Roman" w:eastAsia="宋体" w:cs="Times New Roman"/>
          <w:color w:val="auto"/>
          <w:spacing w:val="0"/>
          <w:w w:val="100"/>
          <w:kern w:val="0"/>
          <w:position w:val="0"/>
          <w:sz w:val="24"/>
          <w:szCs w:val="24"/>
          <w:lang w:val="en-US" w:bidi="ar-SA"/>
        </w:rPr>
        <w:t>m</w:t>
      </w:r>
      <w:r>
        <w:rPr>
          <w:rFonts w:hint="eastAsia" w:ascii="Times New Roman" w:hAnsi="Times New Roman" w:eastAsia="宋体" w:cs="Times New Roman"/>
          <w:color w:val="auto"/>
          <w:spacing w:val="0"/>
          <w:w w:val="100"/>
          <w:kern w:val="0"/>
          <w:position w:val="0"/>
          <w:sz w:val="24"/>
          <w:szCs w:val="24"/>
          <w:vertAlign w:val="superscript"/>
          <w:lang w:val="en-US" w:bidi="ar-SA"/>
        </w:rPr>
        <w:t>3</w:t>
      </w:r>
      <w:r>
        <w:rPr>
          <w:rFonts w:hint="default" w:ascii="Times New Roman" w:hAnsi="Times New Roman" w:eastAsia="宋体" w:cs="Times New Roman"/>
          <w:color w:val="auto"/>
          <w:spacing w:val="0"/>
          <w:w w:val="100"/>
          <w:kern w:val="0"/>
          <w:position w:val="0"/>
          <w:sz w:val="24"/>
          <w:szCs w:val="24"/>
          <w:lang w:val="en-US" w:bidi="ar-SA"/>
        </w:rPr>
        <w:t>。植被总体良好，上游兴国县境内因土壤为沙质土壤，河道淤沙严重，植物生长能力较弱，故植被较差；六渡以下土壤肥沃，森林茂盛，植被良好，植物主要有松、杉、油茶、毛竹等。</w:t>
      </w:r>
      <w:r>
        <w:rPr>
          <w:rFonts w:hint="eastAsia" w:ascii="宋体" w:hAnsi="宋体" w:eastAsia="宋体" w:cs="宋体"/>
          <w:spacing w:val="-2"/>
        </w:rPr>
        <w:t>坝址下游至发电厂房约</w:t>
      </w:r>
      <w:r>
        <w:rPr>
          <w:rFonts w:hint="eastAsia" w:ascii="宋体" w:hAnsi="宋体" w:eastAsia="宋体" w:cs="宋体"/>
        </w:rPr>
        <w:t>4km脱水段，脱水段都为峡谷，没有居民居住，也没有农田分布。</w:t>
      </w:r>
    </w:p>
    <w:p>
      <w:pPr>
        <w:pStyle w:val="2"/>
        <w:spacing w:line="362" w:lineRule="auto"/>
        <w:ind w:left="137" w:right="167" w:firstLine="453"/>
        <w:rPr>
          <w:rFonts w:hint="eastAsia" w:ascii="宋体" w:hAnsi="宋体" w:eastAsia="宋体" w:cs="宋体"/>
        </w:rPr>
      </w:pPr>
      <w:r>
        <w:rPr>
          <w:rFonts w:hint="eastAsia" w:ascii="宋体" w:hAnsi="宋体" w:eastAsia="宋体" w:cs="宋体"/>
        </w:rPr>
        <w:t>发电厂房位于山谷之间，四周自然屏蔽环境优良，与最近敏感点之间相隔较远，预计不会对其产生影响。</w:t>
      </w:r>
    </w:p>
    <w:p>
      <w:pPr>
        <w:pStyle w:val="2"/>
        <w:spacing w:before="3" w:line="364" w:lineRule="auto"/>
        <w:ind w:left="137" w:right="235" w:firstLine="453"/>
        <w:jc w:val="both"/>
        <w:rPr>
          <w:rFonts w:hint="eastAsia" w:ascii="宋体" w:hAnsi="宋体" w:eastAsia="宋体" w:cs="宋体"/>
        </w:rPr>
      </w:pPr>
      <w:r>
        <w:rPr>
          <w:rFonts w:hint="eastAsia" w:ascii="宋体" w:hAnsi="宋体" w:eastAsia="宋体" w:cs="宋体"/>
          <w:spacing w:val="-4"/>
        </w:rPr>
        <w:t>本报告介于电站得天独厚的地理优势，电站对周边环境影响程度极微，不会</w:t>
      </w:r>
      <w:r>
        <w:rPr>
          <w:rFonts w:hint="eastAsia" w:ascii="宋体" w:hAnsi="宋体" w:eastAsia="宋体" w:cs="宋体"/>
          <w:spacing w:val="-6"/>
        </w:rPr>
        <w:t>对村民的生活用水及农用水造成影响。故本报告认为，本电站无恰当的可供调查</w:t>
      </w:r>
      <w:r>
        <w:rPr>
          <w:rFonts w:hint="eastAsia" w:ascii="宋体" w:hAnsi="宋体" w:eastAsia="宋体" w:cs="宋体"/>
        </w:rPr>
        <w:t>对象，因此，在报告编制期间未进行公众意见调查。</w:t>
      </w:r>
    </w:p>
    <w:p>
      <w:pPr>
        <w:spacing w:after="0" w:line="364" w:lineRule="auto"/>
        <w:jc w:val="both"/>
        <w:sectPr>
          <w:pgSz w:w="11910" w:h="16840"/>
          <w:pgMar w:top="1580" w:right="1560" w:bottom="1180" w:left="1660" w:header="0" w:footer="991" w:gutter="0"/>
        </w:sectPr>
      </w:pPr>
    </w:p>
    <w:p>
      <w:pPr>
        <w:pStyle w:val="3"/>
        <w:numPr>
          <w:ilvl w:val="0"/>
          <w:numId w:val="11"/>
        </w:numPr>
        <w:tabs>
          <w:tab w:val="left" w:pos="498"/>
        </w:tabs>
        <w:spacing w:before="83" w:after="0" w:line="240" w:lineRule="auto"/>
        <w:ind w:left="497" w:right="0" w:hanging="361"/>
        <w:jc w:val="left"/>
        <w:rPr>
          <w:b/>
          <w:sz w:val="37"/>
        </w:rPr>
      </w:pPr>
      <w:bookmarkStart w:id="172" w:name="9调查结论和建议"/>
      <w:bookmarkEnd w:id="172"/>
      <w:bookmarkStart w:id="173" w:name="_bookmark32"/>
      <w:bookmarkEnd w:id="173"/>
      <w:bookmarkStart w:id="174" w:name="_bookmark32"/>
      <w:bookmarkEnd w:id="174"/>
      <w:r>
        <w:t>调查结论和建议</w:t>
      </w:r>
    </w:p>
    <w:p>
      <w:pPr>
        <w:pStyle w:val="4"/>
        <w:numPr>
          <w:ilvl w:val="1"/>
          <w:numId w:val="11"/>
        </w:numPr>
        <w:tabs>
          <w:tab w:val="left" w:pos="740"/>
        </w:tabs>
        <w:spacing w:before="0" w:after="0" w:line="240" w:lineRule="auto"/>
        <w:ind w:left="740" w:right="0" w:hanging="603"/>
        <w:jc w:val="left"/>
      </w:pPr>
      <w:bookmarkStart w:id="175" w:name="_bookmark33"/>
      <w:bookmarkEnd w:id="175"/>
      <w:bookmarkStart w:id="176" w:name="_bookmark33"/>
      <w:bookmarkEnd w:id="176"/>
      <w:bookmarkStart w:id="177" w:name="9.1基本结论"/>
      <w:bookmarkEnd w:id="177"/>
      <w:r>
        <w:t>基本结论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36" w:firstLineChars="200"/>
        <w:jc w:val="left"/>
        <w:textAlignment w:val="auto"/>
        <w:rPr>
          <w:rFonts w:hint="eastAsia" w:ascii="宋体" w:hAnsi="宋体" w:eastAsia="宋体" w:cs="宋体"/>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color w:val="000000" w:themeColor="text1"/>
          <w14:textFill>
            <w14:solidFill>
              <w14:schemeClr w14:val="tx1"/>
            </w14:solidFill>
          </w14:textFill>
        </w:rPr>
        <w:t>。</w:t>
      </w:r>
    </w:p>
    <w:p>
      <w:pPr>
        <w:pStyle w:val="18"/>
        <w:numPr>
          <w:ilvl w:val="2"/>
          <w:numId w:val="11"/>
        </w:numPr>
        <w:tabs>
          <w:tab w:val="left" w:pos="836"/>
        </w:tabs>
        <w:spacing w:before="0" w:after="0" w:line="240" w:lineRule="auto"/>
        <w:ind w:left="836" w:right="0" w:hanging="699"/>
        <w:jc w:val="left"/>
        <w:rPr>
          <w:rFonts w:hint="eastAsia" w:ascii="宋体" w:hAnsi="宋体" w:eastAsia="宋体" w:cs="宋体"/>
          <w:b/>
          <w:color w:val="000000" w:themeColor="text1"/>
          <w:sz w:val="23"/>
          <w14:textFill>
            <w14:solidFill>
              <w14:schemeClr w14:val="tx1"/>
            </w14:solidFill>
          </w14:textFill>
        </w:rPr>
      </w:pPr>
      <w:bookmarkStart w:id="178" w:name="9.1.1环境保护执行情况"/>
      <w:bookmarkEnd w:id="178"/>
      <w:bookmarkStart w:id="179" w:name="9.1.1环境保护执行情况"/>
      <w:bookmarkEnd w:id="179"/>
      <w:r>
        <w:rPr>
          <w:rFonts w:hint="eastAsia" w:ascii="宋体" w:hAnsi="宋体" w:eastAsia="宋体" w:cs="宋体"/>
          <w:b/>
          <w:color w:val="000000" w:themeColor="text1"/>
          <w:sz w:val="28"/>
          <w14:textFill>
            <w14:solidFill>
              <w14:schemeClr w14:val="tx1"/>
            </w14:solidFill>
          </w14:textFill>
        </w:rPr>
        <w:t>环境保护执行情况</w:t>
      </w:r>
    </w:p>
    <w:p>
      <w:pPr>
        <w:pStyle w:val="2"/>
        <w:spacing w:before="1" w:line="364" w:lineRule="auto"/>
        <w:ind w:left="137" w:right="235" w:firstLine="453"/>
        <w:jc w:val="both"/>
        <w:rPr>
          <w:rFonts w:hint="eastAsia" w:ascii="宋体" w:hAnsi="宋体" w:eastAsia="宋体" w:cs="宋体"/>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宋体" w:hAnsi="宋体" w:eastAsia="宋体" w:cs="宋体"/>
          <w:spacing w:val="-5"/>
        </w:rPr>
        <w:t>项目的建设，按照国家有关环境保护的法律法规进行</w:t>
      </w:r>
      <w:r>
        <w:rPr>
          <w:rFonts w:hint="eastAsia" w:ascii="宋体" w:hAnsi="宋体" w:eastAsia="宋体" w:cs="宋体"/>
          <w:spacing w:val="-9"/>
        </w:rPr>
        <w:t>了环境影响评价，履行了建设项目环保审批手续，较好地执行了建设项目环境保</w:t>
      </w:r>
      <w:r>
        <w:rPr>
          <w:rFonts w:hint="eastAsia" w:ascii="宋体" w:hAnsi="宋体" w:eastAsia="宋体" w:cs="宋体"/>
        </w:rPr>
        <w:t>护“三同时”的有关要求。</w:t>
      </w:r>
    </w:p>
    <w:p>
      <w:pPr>
        <w:pStyle w:val="18"/>
        <w:numPr>
          <w:ilvl w:val="2"/>
          <w:numId w:val="11"/>
        </w:numPr>
        <w:tabs>
          <w:tab w:val="left" w:pos="836"/>
        </w:tabs>
        <w:spacing w:before="120" w:after="0" w:line="240" w:lineRule="auto"/>
        <w:ind w:left="836" w:right="0" w:hanging="699"/>
        <w:jc w:val="left"/>
        <w:rPr>
          <w:rFonts w:hint="eastAsia" w:ascii="宋体" w:hAnsi="宋体" w:eastAsia="宋体" w:cs="宋体"/>
          <w:b/>
          <w:sz w:val="28"/>
        </w:rPr>
      </w:pPr>
      <w:bookmarkStart w:id="180" w:name="9.1.2生态环境影响调查结论"/>
      <w:bookmarkEnd w:id="180"/>
      <w:bookmarkStart w:id="181" w:name="9.1.2生态环境影响调查结论"/>
      <w:bookmarkEnd w:id="181"/>
      <w:r>
        <w:rPr>
          <w:rFonts w:hint="eastAsia" w:ascii="宋体" w:hAnsi="宋体" w:eastAsia="宋体" w:cs="宋体"/>
          <w:b/>
          <w:sz w:val="28"/>
        </w:rPr>
        <w:t>生态环境影响调查结论</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植被与动物：经调查，项目区内主要为土灰色、灰黄色粉质壤土，中</w:t>
      </w:r>
      <w:r>
        <w:rPr>
          <w:rFonts w:hint="eastAsia" w:ascii="宋体" w:hAnsi="宋体" w:eastAsia="宋体" w:cs="宋体"/>
          <w:spacing w:val="-11"/>
          <w:sz w:val="24"/>
          <w:szCs w:val="24"/>
        </w:rPr>
        <w:t>密</w:t>
      </w:r>
      <w:r>
        <w:rPr>
          <w:rFonts w:hint="eastAsia" w:ascii="宋体" w:hAnsi="宋体" w:eastAsia="宋体" w:cs="宋体"/>
          <w:spacing w:val="-11"/>
          <w:sz w:val="24"/>
          <w:szCs w:val="24"/>
          <w:lang w:eastAsia="zh-CN"/>
        </w:rPr>
        <w:t>，</w:t>
      </w:r>
      <w:r>
        <w:rPr>
          <w:rFonts w:hint="eastAsia" w:ascii="宋体" w:hAnsi="宋体" w:eastAsia="宋体" w:cs="宋体"/>
          <w:spacing w:val="-11"/>
          <w:sz w:val="24"/>
          <w:szCs w:val="24"/>
        </w:rPr>
        <w:t xml:space="preserve">含少量砾和植物根须。流域内森林覆盖良好，森林覆盖率 </w:t>
      </w:r>
      <w:r>
        <w:rPr>
          <w:rFonts w:hint="eastAsia" w:ascii="宋体" w:hAnsi="宋体" w:eastAsia="宋体" w:cs="宋体"/>
          <w:spacing w:val="-7"/>
          <w:sz w:val="24"/>
          <w:szCs w:val="24"/>
        </w:rPr>
        <w:t>83%</w:t>
      </w:r>
      <w:r>
        <w:rPr>
          <w:rFonts w:hint="eastAsia" w:ascii="宋体" w:hAnsi="宋体" w:eastAsia="宋体" w:cs="宋体"/>
          <w:spacing w:val="-3"/>
          <w:sz w:val="24"/>
          <w:szCs w:val="24"/>
        </w:rPr>
        <w:t>，区域植被类</w:t>
      </w:r>
      <w:r>
        <w:rPr>
          <w:rFonts w:hint="eastAsia" w:ascii="宋体" w:hAnsi="宋体" w:eastAsia="宋体" w:cs="宋体"/>
          <w:spacing w:val="-17"/>
          <w:sz w:val="24"/>
          <w:szCs w:val="24"/>
        </w:rPr>
        <w:t>型多为亚热带常绿针叶、阔叶混交林、针叶林和竹林。低山区树种主要有马尾松、</w:t>
      </w:r>
      <w:r>
        <w:rPr>
          <w:rFonts w:hint="eastAsia" w:ascii="宋体" w:hAnsi="宋体" w:eastAsia="宋体" w:cs="宋体"/>
          <w:spacing w:val="-15"/>
          <w:sz w:val="24"/>
          <w:szCs w:val="24"/>
        </w:rPr>
        <w:t>杉木、栎类及槠类；灌木及草本主要有继木、杜鹃、乌饭、芒萁等。丘陵以白茅、</w:t>
      </w:r>
      <w:r>
        <w:rPr>
          <w:rFonts w:hint="eastAsia" w:ascii="宋体" w:hAnsi="宋体" w:eastAsia="宋体" w:cs="宋体"/>
          <w:spacing w:val="-13"/>
          <w:sz w:val="24"/>
          <w:szCs w:val="24"/>
        </w:rPr>
        <w:t>狗尾草等禾本科植物为最多，木本则以马尾松为主，并有木荷、枫香及油茶、桔、</w:t>
      </w:r>
      <w:r>
        <w:rPr>
          <w:rFonts w:hint="eastAsia" w:ascii="宋体" w:hAnsi="宋体" w:eastAsia="宋体" w:cs="宋体"/>
          <w:sz w:val="24"/>
          <w:szCs w:val="24"/>
        </w:rPr>
        <w:t>毛竹等，植被茂密良好。据调查，水生动物有草、青、鲢、鳙、鯉、鮭、鱔、鰍、龟、等鱼类品种七</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right="0"/>
        <w:jc w:val="left"/>
        <w:textAlignment w:val="auto"/>
        <w:rPr>
          <w:rFonts w:hint="eastAsia" w:ascii="宋体" w:hAnsi="宋体" w:eastAsia="宋体" w:cs="宋体"/>
          <w:sz w:val="24"/>
          <w:szCs w:val="24"/>
        </w:rPr>
      </w:pPr>
      <w:r>
        <w:rPr>
          <w:rFonts w:hint="eastAsia" w:ascii="宋体" w:hAnsi="宋体" w:eastAsia="宋体" w:cs="宋体"/>
          <w:spacing w:val="-11"/>
          <w:sz w:val="24"/>
          <w:szCs w:val="24"/>
        </w:rPr>
        <w:t>十多种。野生动物有山牛、麂、野猫、山羊、狐狸、野猪等，由于人类长期活动</w:t>
      </w:r>
      <w:r>
        <w:rPr>
          <w:rFonts w:hint="eastAsia" w:ascii="宋体" w:hAnsi="宋体" w:eastAsia="宋体" w:cs="宋体"/>
          <w:sz w:val="24"/>
          <w:szCs w:val="24"/>
        </w:rPr>
        <w:t>的干扰、破坏， 珍稀动植物在库区很少发现或基本绝迹。工程开发河段无重要风景旅游景点及重点文物古迹。境内村民饮用水水质、空气质量均良好，工程区域无重大疫情及地方病发生，人群健康状况良好。</w:t>
      </w:r>
    </w:p>
    <w:p>
      <w:pPr>
        <w:pStyle w:val="18"/>
        <w:keepNext w:val="0"/>
        <w:keepLines w:val="0"/>
        <w:pageBreakBefore w:val="0"/>
        <w:widowControl w:val="0"/>
        <w:numPr>
          <w:ilvl w:val="0"/>
          <w:numId w:val="0"/>
        </w:numPr>
        <w:tabs>
          <w:tab w:val="left" w:pos="1196"/>
        </w:tabs>
        <w:kinsoku/>
        <w:wordWrap/>
        <w:overflowPunct/>
        <w:topLinePunct w:val="0"/>
        <w:autoSpaceDE w:val="0"/>
        <w:autoSpaceDN w:val="0"/>
        <w:bidi w:val="0"/>
        <w:adjustRightInd/>
        <w:snapToGrid/>
        <w:spacing w:before="0" w:after="0" w:line="360" w:lineRule="auto"/>
        <w:ind w:leftChars="0" w:right="0" w:rightChars="0"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水土流失防治：根据现场踏勘可知，电站原有工程施工时的弃渣场、</w:t>
      </w:r>
      <w:r>
        <w:rPr>
          <w:rFonts w:hint="eastAsia" w:ascii="宋体" w:hAnsi="宋体" w:eastAsia="宋体" w:cs="宋体"/>
          <w:spacing w:val="-10"/>
          <w:sz w:val="24"/>
          <w:szCs w:val="24"/>
        </w:rPr>
        <w:t>取土场、施工场及施工道路植被均已自然恢复，工程区植被及防护情况良好。在</w:t>
      </w:r>
      <w:r>
        <w:rPr>
          <w:rFonts w:hint="eastAsia" w:ascii="宋体" w:hAnsi="宋体" w:eastAsia="宋体" w:cs="宋体"/>
          <w:spacing w:val="-9"/>
          <w:sz w:val="24"/>
          <w:szCs w:val="24"/>
        </w:rPr>
        <w:t>工程建设过程中，在历次监督检查中未发现重大水土保持问题。基本上控制了因</w:t>
      </w:r>
      <w:r>
        <w:rPr>
          <w:rFonts w:hint="eastAsia" w:ascii="宋体" w:hAnsi="宋体" w:eastAsia="宋体" w:cs="宋体"/>
          <w:sz w:val="24"/>
          <w:szCs w:val="24"/>
        </w:rPr>
        <w:t>工程建设而造成的水土流失，工程对生态环境造成的破坏和影响基本得到了恢复。</w:t>
      </w:r>
    </w:p>
    <w:p>
      <w:pPr>
        <w:pStyle w:val="18"/>
        <w:keepNext w:val="0"/>
        <w:keepLines w:val="0"/>
        <w:pageBreakBefore w:val="0"/>
        <w:widowControl w:val="0"/>
        <w:numPr>
          <w:ilvl w:val="0"/>
          <w:numId w:val="0"/>
        </w:numPr>
        <w:tabs>
          <w:tab w:val="left" w:pos="1193"/>
        </w:tabs>
        <w:kinsoku/>
        <w:wordWrap/>
        <w:overflowPunct/>
        <w:topLinePunct w:val="0"/>
        <w:autoSpaceDE w:val="0"/>
        <w:autoSpaceDN w:val="0"/>
        <w:bidi w:val="0"/>
        <w:adjustRightInd/>
        <w:snapToGrid/>
        <w:spacing w:before="0" w:after="0" w:line="360" w:lineRule="auto"/>
        <w:ind w:leftChars="0" w:right="0" w:rightChars="0" w:firstLine="428" w:firstLineChars="200"/>
        <w:jc w:val="left"/>
        <w:textAlignment w:val="auto"/>
        <w:rPr>
          <w:rFonts w:hint="eastAsia" w:ascii="宋体" w:hAnsi="宋体" w:eastAsia="宋体" w:cs="宋体"/>
          <w:sz w:val="24"/>
          <w:szCs w:val="24"/>
        </w:rPr>
      </w:pP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lang w:val="en-US" w:eastAsia="zh-CN"/>
        </w:rPr>
        <w:t>3</w:t>
      </w:r>
      <w:r>
        <w:rPr>
          <w:rFonts w:hint="eastAsia" w:ascii="宋体" w:hAnsi="宋体" w:eastAsia="宋体" w:cs="宋体"/>
          <w:spacing w:val="-13"/>
          <w:sz w:val="24"/>
          <w:szCs w:val="24"/>
          <w:lang w:eastAsia="zh-CN"/>
        </w:rPr>
        <w:t>）</w:t>
      </w:r>
      <w:r>
        <w:rPr>
          <w:rFonts w:hint="eastAsia" w:ascii="宋体" w:hAnsi="宋体" w:eastAsia="宋体" w:cs="宋体"/>
          <w:spacing w:val="-13"/>
          <w:sz w:val="24"/>
          <w:szCs w:val="24"/>
        </w:rPr>
        <w:t>施工占地：本工程不占基本农田，只需征用林地、水田等合计20.7亩，用于永久性建筑物，总占地面积小于2km</w:t>
      </w:r>
      <w:r>
        <w:rPr>
          <w:rFonts w:hint="eastAsia" w:ascii="宋体" w:hAnsi="宋体" w:eastAsia="宋体" w:cs="宋体"/>
          <w:spacing w:val="-13"/>
          <w:sz w:val="24"/>
          <w:szCs w:val="24"/>
          <w:vertAlign w:val="superscript"/>
        </w:rPr>
        <w:t>2</w:t>
      </w:r>
      <w:r>
        <w:rPr>
          <w:rFonts w:hint="eastAsia" w:ascii="宋体" w:hAnsi="宋体" w:eastAsia="宋体" w:cs="宋体"/>
          <w:spacing w:val="-13"/>
          <w:sz w:val="24"/>
          <w:szCs w:val="24"/>
        </w:rPr>
        <w:t>。</w:t>
      </w:r>
      <w:r>
        <w:rPr>
          <w:rFonts w:hint="eastAsia" w:ascii="宋体" w:hAnsi="宋体" w:eastAsia="宋体" w:cs="宋体"/>
          <w:spacing w:val="-11"/>
          <w:sz w:val="24"/>
          <w:szCs w:val="24"/>
        </w:rPr>
        <w:t>。施工结束后，除兴建永久建筑外，其余土地均及时绿化，恢复植被，防止水土流失，保持当地生态系统稳定。</w:t>
      </w:r>
    </w:p>
    <w:p>
      <w:pPr>
        <w:pStyle w:val="18"/>
        <w:numPr>
          <w:ilvl w:val="2"/>
          <w:numId w:val="11"/>
        </w:numPr>
        <w:tabs>
          <w:tab w:val="left" w:pos="836"/>
        </w:tabs>
        <w:spacing w:before="116" w:after="0" w:line="240" w:lineRule="auto"/>
        <w:ind w:left="836" w:right="0" w:hanging="699"/>
        <w:jc w:val="left"/>
        <w:rPr>
          <w:rFonts w:hint="eastAsia" w:ascii="宋体" w:hAnsi="宋体" w:eastAsia="宋体" w:cs="宋体"/>
          <w:b/>
          <w:sz w:val="28"/>
        </w:rPr>
      </w:pPr>
      <w:bookmarkStart w:id="182" w:name="9.1.3水文情势影响调查结论"/>
      <w:bookmarkEnd w:id="182"/>
      <w:bookmarkStart w:id="183" w:name="9.1.3水文情势影响调查结论"/>
      <w:bookmarkEnd w:id="183"/>
      <w:r>
        <w:rPr>
          <w:rFonts w:hint="eastAsia" w:ascii="宋体" w:hAnsi="宋体" w:eastAsia="宋体" w:cs="宋体"/>
          <w:b/>
          <w:sz w:val="28"/>
        </w:rPr>
        <w:t>水文情势影响调查结论</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站坝址位于东固水一级支流龙家塘上游。东固水：富田水一级支流，孤江二级支流。发源于兴国县崇贤乡西北部的观音坳，由南向北流经兴国县崇贤乡的上脑排、贺堂、龙下瀑布进入青原区东固畲族乡境内赖屋、六渡、至青原区东固畲族乡新屋场从左岸汇入富田水，主河道长</w:t>
      </w:r>
      <w:r>
        <w:rPr>
          <w:rFonts w:hint="eastAsia" w:ascii="Times New Roman" w:hAnsi="Times New Roman" w:eastAsia="宋体" w:cs="Times New Roman"/>
          <w:sz w:val="24"/>
          <w:szCs w:val="24"/>
          <w:highlight w:val="none"/>
        </w:rPr>
        <w:t>23.3km</w:t>
      </w:r>
      <w:r>
        <w:rPr>
          <w:rFonts w:hint="eastAsia" w:ascii="宋体" w:hAnsi="宋体" w:eastAsia="宋体" w:cs="宋体"/>
          <w:sz w:val="24"/>
          <w:szCs w:val="24"/>
          <w:highlight w:val="none"/>
        </w:rPr>
        <w:t>（其中兴国县河长</w:t>
      </w:r>
      <w:r>
        <w:rPr>
          <w:rFonts w:hint="eastAsia" w:ascii="Times New Roman" w:hAnsi="Times New Roman" w:eastAsia="宋体" w:cs="Times New Roman"/>
          <w:sz w:val="24"/>
          <w:szCs w:val="24"/>
          <w:highlight w:val="none"/>
        </w:rPr>
        <w:t>9km</w:t>
      </w:r>
      <w:r>
        <w:rPr>
          <w:rFonts w:hint="eastAsia" w:ascii="宋体" w:hAnsi="宋体" w:eastAsia="宋体" w:cs="宋体"/>
          <w:sz w:val="24"/>
          <w:szCs w:val="24"/>
          <w:highlight w:val="none"/>
        </w:rPr>
        <w:t>），河道纵比降</w:t>
      </w:r>
      <w:r>
        <w:rPr>
          <w:rFonts w:hint="eastAsia" w:ascii="Times New Roman" w:hAnsi="Times New Roman" w:eastAsia="宋体" w:cs="Times New Roman"/>
          <w:sz w:val="24"/>
          <w:szCs w:val="24"/>
          <w:highlight w:val="none"/>
        </w:rPr>
        <w:t>15.8‰</w:t>
      </w:r>
      <w:r>
        <w:rPr>
          <w:rFonts w:hint="eastAsia" w:ascii="宋体" w:hAnsi="宋体" w:eastAsia="宋体" w:cs="宋体"/>
          <w:sz w:val="24"/>
          <w:szCs w:val="24"/>
          <w:highlight w:val="none"/>
        </w:rPr>
        <w:t>，流域面积</w:t>
      </w:r>
      <w:r>
        <w:rPr>
          <w:rFonts w:hint="eastAsia" w:ascii="Times New Roman" w:hAnsi="Times New Roman" w:eastAsia="宋体" w:cs="Times New Roman"/>
          <w:sz w:val="24"/>
          <w:szCs w:val="24"/>
          <w:highlight w:val="none"/>
        </w:rPr>
        <w:t>118km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（其中兴国县</w:t>
      </w:r>
      <w:r>
        <w:rPr>
          <w:rFonts w:hint="eastAsia" w:ascii="Times New Roman" w:hAnsi="Times New Roman" w:eastAsia="宋体" w:cs="Times New Roman"/>
          <w:sz w:val="24"/>
          <w:szCs w:val="24"/>
          <w:highlight w:val="none"/>
        </w:rPr>
        <w:t>51.4 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z w:val="24"/>
          <w:szCs w:val="24"/>
          <w:highlight w:val="none"/>
        </w:rPr>
        <w:t>）。流域多年平均：年降水量</w:t>
      </w:r>
      <w:r>
        <w:rPr>
          <w:rFonts w:hint="eastAsia" w:ascii="Times New Roman" w:hAnsi="Times New Roman" w:eastAsia="宋体" w:cs="Times New Roman"/>
          <w:sz w:val="24"/>
          <w:szCs w:val="24"/>
          <w:highlight w:val="none"/>
        </w:rPr>
        <w:t>1580mm</w:t>
      </w:r>
      <w:r>
        <w:rPr>
          <w:rFonts w:hint="eastAsia" w:ascii="宋体" w:hAnsi="宋体" w:eastAsia="宋体" w:cs="宋体"/>
          <w:sz w:val="24"/>
          <w:szCs w:val="24"/>
          <w:highlight w:val="none"/>
        </w:rPr>
        <w:t>，年径流量</w:t>
      </w:r>
      <w:r>
        <w:rPr>
          <w:rFonts w:hint="eastAsia" w:ascii="Times New Roman" w:hAnsi="Times New Roman" w:eastAsia="宋体" w:cs="Times New Roman"/>
          <w:sz w:val="24"/>
          <w:szCs w:val="24"/>
          <w:highlight w:val="none"/>
        </w:rPr>
        <w:t>1.07</w:t>
      </w:r>
      <w:r>
        <w:rPr>
          <w:rFonts w:hint="eastAsia" w:ascii="宋体" w:hAnsi="宋体" w:eastAsia="宋体" w:cs="宋体"/>
          <w:sz w:val="24"/>
          <w:szCs w:val="24"/>
          <w:highlight w:val="none"/>
        </w:rPr>
        <w:t>亿</w:t>
      </w:r>
      <w:r>
        <w:rPr>
          <w:rFonts w:hint="eastAsia" w:ascii="Times New Roman" w:hAnsi="Times New Roman" w:eastAsia="宋体" w:cs="Times New Roman"/>
          <w:sz w:val="24"/>
          <w:szCs w:val="24"/>
          <w:highlight w:val="none"/>
        </w:rPr>
        <w:t>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z w:val="24"/>
          <w:szCs w:val="24"/>
          <w:highlight w:val="none"/>
        </w:rPr>
        <w:t>。植被总体良好，上游兴国县境内因土壤为沙质土壤，河道淤沙严重，植物生长能力较弱，故植被较差；六渡以下土壤肥沃，森林茂盛，植被良好，植物主要有松、杉、油茶、毛竹等。坝址下游至发电厂房约4km脱水段，脱水段都为峡谷，没有居民居住，也没有农田分布。</w:t>
      </w:r>
      <w:r>
        <w:rPr>
          <w:rFonts w:hint="eastAsia" w:ascii="宋体" w:hAnsi="宋体" w:eastAsia="宋体" w:cs="宋体"/>
          <w:spacing w:val="-6"/>
          <w:sz w:val="24"/>
          <w:szCs w:val="24"/>
          <w:highlight w:val="none"/>
        </w:rPr>
        <w:t>坝址以上控制流域面积</w:t>
      </w:r>
      <w:r>
        <w:rPr>
          <w:rFonts w:hint="eastAsia" w:ascii="Times New Roman" w:hAnsi="Times New Roman" w:eastAsia="宋体" w:cs="Times New Roman"/>
          <w:sz w:val="24"/>
          <w:szCs w:val="24"/>
          <w:highlight w:val="none"/>
        </w:rPr>
        <w:t xml:space="preserve"> 240km</w:t>
      </w:r>
      <w:r>
        <w:rPr>
          <w:rFonts w:hint="eastAsia" w:ascii="Times New Roman" w:hAnsi="Times New Roman" w:eastAsia="宋体" w:cs="Times New Roman"/>
          <w:sz w:val="24"/>
          <w:szCs w:val="24"/>
          <w:highlight w:val="none"/>
          <w:vertAlign w:val="superscript"/>
        </w:rPr>
        <w:t>2</w:t>
      </w:r>
      <w:r>
        <w:rPr>
          <w:rFonts w:hint="eastAsia" w:ascii="宋体" w:hAnsi="宋体" w:eastAsia="宋体" w:cs="宋体"/>
          <w:spacing w:val="-12"/>
          <w:sz w:val="24"/>
          <w:szCs w:val="24"/>
          <w:highlight w:val="none"/>
        </w:rPr>
        <w:t>，主河道长</w:t>
      </w:r>
      <w:r>
        <w:rPr>
          <w:rFonts w:hint="eastAsia" w:ascii="Times New Roman" w:hAnsi="Times New Roman" w:eastAsia="宋体" w:cs="Times New Roman"/>
          <w:sz w:val="24"/>
          <w:szCs w:val="24"/>
          <w:highlight w:val="none"/>
        </w:rPr>
        <w:t xml:space="preserve"> 40km</w:t>
      </w:r>
      <w:r>
        <w:rPr>
          <w:rFonts w:hint="eastAsia" w:ascii="宋体" w:hAnsi="宋体" w:eastAsia="宋体" w:cs="宋体"/>
          <w:spacing w:val="-14"/>
          <w:sz w:val="24"/>
          <w:szCs w:val="24"/>
          <w:highlight w:val="none"/>
        </w:rPr>
        <w:t>，总库容</w:t>
      </w:r>
      <w:r>
        <w:rPr>
          <w:rFonts w:hint="eastAsia" w:ascii="Times New Roman" w:hAnsi="Times New Roman" w:eastAsia="宋体" w:cs="Times New Roman"/>
          <w:sz w:val="24"/>
          <w:szCs w:val="24"/>
          <w:highlight w:val="none"/>
        </w:rPr>
        <w:t xml:space="preserve"> 385 </w:t>
      </w:r>
      <w:r>
        <w:rPr>
          <w:rFonts w:hint="eastAsia" w:ascii="宋体" w:hAnsi="宋体" w:eastAsia="宋体" w:cs="宋体"/>
          <w:spacing w:val="-29"/>
          <w:sz w:val="24"/>
          <w:szCs w:val="24"/>
          <w:highlight w:val="none"/>
        </w:rPr>
        <w:t>万</w:t>
      </w:r>
      <w:r>
        <w:rPr>
          <w:rFonts w:hint="eastAsia" w:ascii="Times New Roman" w:hAnsi="Times New Roman" w:eastAsia="宋体" w:cs="Times New Roman"/>
          <w:sz w:val="24"/>
          <w:szCs w:val="24"/>
          <w:highlight w:val="none"/>
        </w:rPr>
        <w:t xml:space="preserve"> m</w:t>
      </w:r>
      <w:r>
        <w:rPr>
          <w:rFonts w:hint="eastAsia" w:ascii="Times New Roman" w:hAnsi="Times New Roman" w:eastAsia="宋体" w:cs="Times New Roman"/>
          <w:sz w:val="24"/>
          <w:szCs w:val="24"/>
          <w:highlight w:val="none"/>
          <w:vertAlign w:val="superscript"/>
        </w:rPr>
        <w:t>3</w:t>
      </w:r>
      <w:r>
        <w:rPr>
          <w:rFonts w:hint="eastAsia" w:ascii="宋体" w:hAnsi="宋体" w:eastAsia="宋体" w:cs="宋体"/>
          <w:spacing w:val="-14"/>
          <w:sz w:val="24"/>
          <w:szCs w:val="24"/>
          <w:highlight w:val="none"/>
        </w:rPr>
        <w:t>。项目电</w:t>
      </w:r>
      <w:r>
        <w:rPr>
          <w:rFonts w:hint="eastAsia" w:ascii="宋体" w:hAnsi="宋体" w:eastAsia="宋体" w:cs="宋体"/>
          <w:spacing w:val="-7"/>
          <w:sz w:val="24"/>
          <w:szCs w:val="24"/>
          <w:highlight w:val="none"/>
        </w:rPr>
        <w:t>站的建设有一定的蓄水能力，在枯水期间对下游下泄量调节能力有所提高，对径</w:t>
      </w:r>
      <w:r>
        <w:rPr>
          <w:rFonts w:hint="eastAsia" w:ascii="宋体" w:hAnsi="宋体" w:eastAsia="宋体" w:cs="宋体"/>
          <w:sz w:val="24"/>
          <w:szCs w:val="24"/>
          <w:highlight w:val="none"/>
        </w:rPr>
        <w:t>流均匀分配有一定的好处。按照本项目现状的正常蓄水位情况，回水线长度为</w:t>
      </w:r>
      <w:r>
        <w:rPr>
          <w:rFonts w:hint="eastAsia" w:ascii="Times New Roman" w:hAnsi="Times New Roman" w:eastAsia="宋体" w:cs="Times New Roman"/>
          <w:sz w:val="24"/>
          <w:szCs w:val="24"/>
          <w:highlight w:val="none"/>
        </w:rPr>
        <w:t>50m</w:t>
      </w:r>
      <w:r>
        <w:rPr>
          <w:rFonts w:hint="eastAsia" w:ascii="宋体" w:hAnsi="宋体" w:eastAsia="宋体" w:cs="宋体"/>
          <w:sz w:val="24"/>
          <w:szCs w:val="24"/>
          <w:highlight w:val="none"/>
        </w:rPr>
        <w:t>，上游径流仅在回水线长度范围向沿河两侧蔓延，而后再上游则基本回归原水文情势情况，对整体河流上游水文不会产生较大范围的影响。为了降低下游河段的环境影响，本项目考虑了生态基流控制，保证下游河段有一定的生态基流量，不会对下游河段的生态环境造成巨大的影响；当水流量小于生态基流用水时，电站原则上不蓄水发电，通过冲砂闸向下游放水，这样的话，下游河段水文情势受影响不大。在工程的运行期，由于库区河段总体水位受到一定的抬升，其周边受河流水量渗透补给后的地下水水文情势也会发生一定的变化，造成库岸周边地下水位相应抬高，地下水位抬高产生的影响主要表现在对土地的浸没影响方面。对坝址下游河流径流的影响</w:t>
      </w:r>
      <w:r>
        <w:rPr>
          <w:rFonts w:hint="eastAsia" w:ascii="宋体" w:hAnsi="宋体" w:eastAsia="宋体" w:cs="宋体"/>
          <w:sz w:val="24"/>
          <w:szCs w:val="24"/>
          <w:highlight w:val="none"/>
          <w:lang w:eastAsia="zh-CN"/>
        </w:rPr>
        <w:t>，</w:t>
      </w:r>
      <w:r>
        <w:rPr>
          <w:rFonts w:hint="eastAsia" w:ascii="宋体" w:hAnsi="宋体" w:eastAsia="宋体" w:cs="宋体"/>
          <w:spacing w:val="-7"/>
          <w:sz w:val="24"/>
          <w:szCs w:val="24"/>
          <w:highlight w:val="none"/>
        </w:rPr>
        <w:t>工程通过引水隧洞、引水管道引水至厂房发电，这使坝址下游河道径流量产</w:t>
      </w:r>
      <w:r>
        <w:rPr>
          <w:rFonts w:hint="eastAsia" w:ascii="宋体" w:hAnsi="宋体" w:eastAsia="宋体" w:cs="宋体"/>
          <w:spacing w:val="-2"/>
          <w:sz w:val="24"/>
          <w:szCs w:val="24"/>
          <w:highlight w:val="none"/>
        </w:rPr>
        <w:t>生明显变化。拦河坝下游河段水流量显著减少，在枯水期，将出</w:t>
      </w:r>
      <w:r>
        <w:rPr>
          <w:rFonts w:hint="eastAsia" w:ascii="Times New Roman" w:hAnsi="Times New Roman" w:eastAsia="宋体" w:cs="Times New Roman"/>
          <w:sz w:val="24"/>
          <w:szCs w:val="24"/>
          <w:highlight w:val="none"/>
        </w:rPr>
        <w:t xml:space="preserve"> 4000m </w:t>
      </w:r>
      <w:r>
        <w:rPr>
          <w:rFonts w:hint="eastAsia" w:ascii="宋体" w:hAnsi="宋体" w:eastAsia="宋体" w:cs="宋体"/>
          <w:sz w:val="24"/>
          <w:szCs w:val="24"/>
          <w:highlight w:val="none"/>
        </w:rPr>
        <w:t>脱水段区。经调查，拦河坝脱水段、减水段内无村民居住，无农田灌溉。</w:t>
      </w:r>
      <w:r>
        <w:rPr>
          <w:rFonts w:hint="eastAsia" w:ascii="宋体" w:hAnsi="宋体" w:eastAsia="宋体" w:cs="宋体"/>
          <w:spacing w:val="-4"/>
          <w:sz w:val="24"/>
          <w:szCs w:val="24"/>
          <w:highlight w:val="none"/>
        </w:rPr>
        <w:t>电站工程建设考虑到枯水期坝下游脱水河段的用水需要，项目拦河坝底部设</w:t>
      </w:r>
      <w:r>
        <w:rPr>
          <w:rFonts w:hint="eastAsia" w:ascii="宋体" w:hAnsi="宋体" w:eastAsia="宋体" w:cs="宋体"/>
          <w:spacing w:val="-13"/>
          <w:sz w:val="24"/>
          <w:szCs w:val="24"/>
          <w:highlight w:val="none"/>
        </w:rPr>
        <w:t>置有直径</w:t>
      </w:r>
      <w:r>
        <w:rPr>
          <w:rFonts w:hint="eastAsia" w:ascii="Times New Roman" w:hAnsi="Times New Roman" w:eastAsia="宋体" w:cs="Times New Roman"/>
          <w:sz w:val="24"/>
          <w:szCs w:val="24"/>
          <w:highlight w:val="none"/>
        </w:rPr>
        <w:t xml:space="preserve"> 10cm </w:t>
      </w:r>
      <w:r>
        <w:rPr>
          <w:rFonts w:hint="eastAsia" w:ascii="宋体" w:hAnsi="宋体" w:eastAsia="宋体" w:cs="宋体"/>
          <w:spacing w:val="-4"/>
          <w:sz w:val="24"/>
          <w:szCs w:val="24"/>
          <w:highlight w:val="none"/>
        </w:rPr>
        <w:t>的生态泄流口，不间断的向下游供水，在保证在枯水季节满足最</w:t>
      </w:r>
      <w:r>
        <w:rPr>
          <w:rFonts w:hint="eastAsia" w:ascii="宋体" w:hAnsi="宋体" w:eastAsia="宋体" w:cs="宋体"/>
          <w:sz w:val="24"/>
          <w:szCs w:val="24"/>
          <w:highlight w:val="none"/>
        </w:rPr>
        <w:t>小生态流量的下泄的前提下，亦能满足水电站发电，下泄流量</w:t>
      </w:r>
      <w:r>
        <w:rPr>
          <w:rFonts w:hint="default" w:ascii="Times New Roman" w:hAnsi="Times New Roman" w:eastAsia="宋体" w:cs="Times New Roman"/>
          <w:sz w:val="24"/>
          <w:szCs w:val="24"/>
          <w:highlight w:val="none"/>
        </w:rPr>
        <w:t>≥0.0</w:t>
      </w:r>
      <w:r>
        <w:rPr>
          <w:rFonts w:hint="default" w:ascii="Times New Roman" w:hAnsi="Times New Roman" w:eastAsia="宋体" w:cs="Times New Roman"/>
          <w:sz w:val="24"/>
          <w:szCs w:val="24"/>
          <w:highlight w:val="none"/>
          <w:lang w:val="en-US" w:eastAsia="zh-CN"/>
        </w:rPr>
        <w:t>23</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rPr>
        <w:t>/s</w:t>
      </w:r>
      <w:r>
        <w:rPr>
          <w:rFonts w:hint="eastAsia" w:ascii="宋体" w:hAnsi="宋体" w:eastAsia="宋体" w:cs="宋体"/>
          <w:sz w:val="24"/>
          <w:szCs w:val="24"/>
          <w:highlight w:val="none"/>
        </w:rPr>
        <w:t>。</w:t>
      </w:r>
    </w:p>
    <w:p>
      <w:pPr>
        <w:pStyle w:val="18"/>
        <w:numPr>
          <w:ilvl w:val="2"/>
          <w:numId w:val="11"/>
        </w:numPr>
        <w:tabs>
          <w:tab w:val="left" w:pos="836"/>
        </w:tabs>
        <w:spacing w:before="119" w:after="0" w:line="240" w:lineRule="auto"/>
        <w:ind w:left="836" w:right="0" w:hanging="699"/>
        <w:jc w:val="left"/>
        <w:rPr>
          <w:rFonts w:hint="eastAsia" w:ascii="宋体" w:hAnsi="宋体" w:eastAsia="宋体" w:cs="宋体"/>
          <w:b/>
          <w:sz w:val="23"/>
        </w:rPr>
      </w:pPr>
      <w:bookmarkStart w:id="184" w:name="9.1.4环境污染影响调查结论"/>
      <w:bookmarkEnd w:id="184"/>
      <w:bookmarkStart w:id="185" w:name="9.1.4环境污染影响调查结论"/>
      <w:bookmarkEnd w:id="185"/>
      <w:r>
        <w:rPr>
          <w:rFonts w:hint="eastAsia" w:ascii="宋体" w:hAnsi="宋体" w:eastAsia="宋体" w:cs="宋体"/>
          <w:b/>
          <w:sz w:val="28"/>
        </w:rPr>
        <w:t>环境污染影响调查结论</w:t>
      </w:r>
    </w:p>
    <w:p>
      <w:pPr>
        <w:pStyle w:val="18"/>
        <w:numPr>
          <w:ilvl w:val="0"/>
          <w:numId w:val="0"/>
        </w:numPr>
        <w:tabs>
          <w:tab w:val="left" w:pos="1193"/>
        </w:tabs>
        <w:spacing w:before="0"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1</w:t>
      </w:r>
      <w:r>
        <w:rPr>
          <w:rFonts w:hint="eastAsia" w:ascii="宋体" w:hAnsi="宋体" w:eastAsia="宋体" w:cs="宋体"/>
          <w:sz w:val="24"/>
          <w:lang w:eastAsia="zh-CN"/>
        </w:rPr>
        <w:t>）</w:t>
      </w:r>
      <w:r>
        <w:rPr>
          <w:rFonts w:hint="eastAsia" w:ascii="宋体" w:hAnsi="宋体" w:eastAsia="宋体" w:cs="宋体"/>
          <w:sz w:val="24"/>
        </w:rPr>
        <w:t>水环境影响调查结论</w:t>
      </w:r>
    </w:p>
    <w:p>
      <w:pPr>
        <w:pStyle w:val="2"/>
        <w:spacing w:before="160" w:line="362" w:lineRule="auto"/>
        <w:ind w:left="137" w:right="235" w:firstLine="480"/>
        <w:rPr>
          <w:rFonts w:hint="eastAsia" w:ascii="宋体" w:hAnsi="宋体" w:eastAsia="宋体" w:cs="宋体"/>
        </w:rPr>
      </w:pPr>
      <w:r>
        <w:rPr>
          <w:rFonts w:hint="eastAsia" w:ascii="宋体" w:hAnsi="宋体" w:eastAsia="宋体" w:cs="宋体"/>
          <w:spacing w:val="-7"/>
        </w:rPr>
        <w:t>项目废水主要为员工生活污水，少量生活污水经化粪池处理后，清掏用于周</w:t>
      </w:r>
      <w:r>
        <w:rPr>
          <w:rFonts w:hint="eastAsia" w:ascii="宋体" w:hAnsi="宋体" w:eastAsia="宋体" w:cs="宋体"/>
        </w:rPr>
        <w:t>边农田灌溉，不外排。对地表水的环境影响不大。</w:t>
      </w:r>
    </w:p>
    <w:p>
      <w:pPr>
        <w:pStyle w:val="18"/>
        <w:numPr>
          <w:ilvl w:val="0"/>
          <w:numId w:val="0"/>
        </w:numPr>
        <w:tabs>
          <w:tab w:val="left" w:pos="1193"/>
        </w:tabs>
        <w:spacing w:before="5" w:after="0" w:line="240" w:lineRule="auto"/>
        <w:ind w:left="590" w:leftChars="0" w:right="0" w:rightChars="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2</w:t>
      </w:r>
      <w:r>
        <w:rPr>
          <w:rFonts w:hint="eastAsia" w:ascii="宋体" w:hAnsi="宋体" w:eastAsia="宋体" w:cs="宋体"/>
          <w:sz w:val="24"/>
          <w:lang w:eastAsia="zh-CN"/>
        </w:rPr>
        <w:t>）</w:t>
      </w:r>
      <w:r>
        <w:rPr>
          <w:rFonts w:hint="eastAsia" w:ascii="宋体" w:hAnsi="宋体" w:eastAsia="宋体" w:cs="宋体"/>
          <w:sz w:val="24"/>
        </w:rPr>
        <w:t>大气环境影响调查</w:t>
      </w:r>
    </w:p>
    <w:p>
      <w:pPr>
        <w:pStyle w:val="2"/>
        <w:spacing w:before="158" w:line="364" w:lineRule="auto"/>
        <w:ind w:left="137" w:right="235" w:firstLine="453"/>
        <w:jc w:val="both"/>
        <w:rPr>
          <w:rFonts w:hint="eastAsia" w:ascii="宋体" w:hAnsi="宋体" w:eastAsia="宋体" w:cs="宋体"/>
        </w:rPr>
      </w:pPr>
      <w:r>
        <w:rPr>
          <w:rFonts w:hint="eastAsia" w:ascii="宋体" w:hAnsi="宋体" w:eastAsia="宋体" w:cs="宋体"/>
          <w:spacing w:val="-4"/>
        </w:rPr>
        <w:t>该项目施工期扬尘对施工期临时生活区有一定的影响，但根据对附近居民的</w:t>
      </w:r>
      <w:r>
        <w:rPr>
          <w:rFonts w:hint="eastAsia" w:ascii="宋体" w:hAnsi="宋体" w:eastAsia="宋体" w:cs="宋体"/>
          <w:spacing w:val="-10"/>
        </w:rPr>
        <w:t>采访和现场调查，因施工区远离居民区，工程施工没有造成对居住区大气环境的污染，大气环境影响仅限于施工区域，且随着施工活动的结束已经消失；运行期</w:t>
      </w:r>
      <w:r>
        <w:rPr>
          <w:rFonts w:hint="eastAsia" w:ascii="宋体" w:hAnsi="宋体" w:eastAsia="宋体" w:cs="宋体"/>
        </w:rPr>
        <w:t>没有大气污染源。</w:t>
      </w:r>
    </w:p>
    <w:p>
      <w:pPr>
        <w:pStyle w:val="18"/>
        <w:numPr>
          <w:ilvl w:val="0"/>
          <w:numId w:val="0"/>
        </w:numPr>
        <w:tabs>
          <w:tab w:val="left" w:pos="1193"/>
        </w:tabs>
        <w:spacing w:before="0" w:after="0" w:line="364" w:lineRule="auto"/>
        <w:ind w:right="235" w:rightChars="0" w:firstLine="436" w:firstLineChars="200"/>
        <w:jc w:val="both"/>
        <w:rPr>
          <w:rFonts w:hint="eastAsia" w:ascii="宋体" w:hAnsi="宋体" w:eastAsia="宋体" w:cs="宋体"/>
          <w:sz w:val="24"/>
        </w:rPr>
      </w:pPr>
      <w:r>
        <w:rPr>
          <w:rFonts w:hint="eastAsia" w:ascii="宋体" w:hAnsi="宋体" w:eastAsia="宋体" w:cs="宋体"/>
          <w:spacing w:val="-11"/>
          <w:sz w:val="24"/>
          <w:lang w:eastAsia="zh-CN"/>
        </w:rPr>
        <w:t>（</w:t>
      </w:r>
      <w:r>
        <w:rPr>
          <w:rFonts w:hint="eastAsia" w:ascii="宋体" w:hAnsi="宋体" w:eastAsia="宋体" w:cs="宋体"/>
          <w:spacing w:val="-11"/>
          <w:sz w:val="24"/>
          <w:lang w:val="en-US" w:eastAsia="zh-CN"/>
        </w:rPr>
        <w:t>3</w:t>
      </w:r>
      <w:r>
        <w:rPr>
          <w:rFonts w:hint="eastAsia" w:ascii="宋体" w:hAnsi="宋体" w:eastAsia="宋体" w:cs="宋体"/>
          <w:spacing w:val="-11"/>
          <w:sz w:val="24"/>
          <w:lang w:eastAsia="zh-CN"/>
        </w:rPr>
        <w:t>）</w:t>
      </w:r>
      <w:r>
        <w:rPr>
          <w:rFonts w:hint="eastAsia" w:ascii="宋体" w:hAnsi="宋体" w:eastAsia="宋体" w:cs="宋体"/>
          <w:spacing w:val="-11"/>
          <w:sz w:val="24"/>
        </w:rPr>
        <w:t>从监测结果看，发电厂房和拦河坝点位的昼间、夜间噪声均能满足《</w:t>
      </w:r>
      <w:r>
        <w:rPr>
          <w:rFonts w:hint="eastAsia" w:ascii="宋体" w:hAnsi="宋体" w:eastAsia="宋体" w:cs="宋体"/>
          <w:spacing w:val="-4"/>
          <w:sz w:val="24"/>
        </w:rPr>
        <w:t>工业企业厂界环境噪声排放标准》</w:t>
      </w:r>
      <w:r>
        <w:rPr>
          <w:rFonts w:hint="eastAsia" w:ascii="宋体" w:hAnsi="宋体" w:eastAsia="宋体" w:cs="宋体"/>
          <w:sz w:val="24"/>
        </w:rPr>
        <w:t>（GB12348-2008）</w:t>
      </w:r>
      <w:r>
        <w:rPr>
          <w:rFonts w:hint="eastAsia" w:ascii="宋体" w:hAnsi="宋体" w:eastAsia="宋体" w:cs="宋体"/>
          <w:spacing w:val="-21"/>
          <w:sz w:val="24"/>
        </w:rPr>
        <w:t>中的</w:t>
      </w:r>
      <w:r>
        <w:rPr>
          <w:rFonts w:hint="eastAsia" w:ascii="宋体" w:hAnsi="宋体" w:eastAsia="宋体" w:cs="宋体"/>
          <w:spacing w:val="-21"/>
          <w:sz w:val="24"/>
          <w:lang w:val="en-US" w:eastAsia="zh-CN"/>
        </w:rPr>
        <w:t>2</w:t>
      </w:r>
      <w:r>
        <w:rPr>
          <w:rFonts w:hint="eastAsia" w:ascii="宋体" w:hAnsi="宋体" w:eastAsia="宋体" w:cs="宋体"/>
          <w:sz w:val="24"/>
        </w:rPr>
        <w:t>类标准要求。</w:t>
      </w:r>
    </w:p>
    <w:p>
      <w:pPr>
        <w:pStyle w:val="18"/>
        <w:numPr>
          <w:ilvl w:val="0"/>
          <w:numId w:val="0"/>
        </w:numPr>
        <w:tabs>
          <w:tab w:val="left" w:pos="1193"/>
        </w:tabs>
        <w:spacing w:before="0" w:after="0" w:line="240" w:lineRule="auto"/>
        <w:ind w:right="0" w:rightChars="0" w:firstLine="480" w:firstLineChars="200"/>
        <w:jc w:val="left"/>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4</w:t>
      </w:r>
      <w:r>
        <w:rPr>
          <w:rFonts w:hint="eastAsia" w:ascii="宋体" w:hAnsi="宋体" w:eastAsia="宋体" w:cs="宋体"/>
          <w:sz w:val="24"/>
          <w:lang w:eastAsia="zh-CN"/>
        </w:rPr>
        <w:t>）</w:t>
      </w:r>
      <w:r>
        <w:rPr>
          <w:rFonts w:hint="eastAsia" w:ascii="宋体" w:hAnsi="宋体" w:eastAsia="宋体" w:cs="宋体"/>
          <w:sz w:val="24"/>
        </w:rPr>
        <w:t>固体废弃物影响调查：</w:t>
      </w:r>
    </w:p>
    <w:p>
      <w:pPr>
        <w:pStyle w:val="2"/>
        <w:spacing w:before="157" w:line="364" w:lineRule="auto"/>
        <w:ind w:left="137" w:right="232" w:firstLine="453"/>
        <w:jc w:val="both"/>
        <w:rPr>
          <w:rFonts w:hint="eastAsia" w:ascii="宋体" w:hAnsi="宋体" w:eastAsia="宋体" w:cs="宋体"/>
        </w:rPr>
      </w:pPr>
      <w:r>
        <w:rPr>
          <w:rFonts w:hint="eastAsia" w:ascii="宋体" w:hAnsi="宋体" w:eastAsia="宋体" w:cs="宋体"/>
          <w:spacing w:val="-4"/>
        </w:rPr>
        <w:t>水电站已建成运行</w:t>
      </w:r>
      <w:r>
        <w:rPr>
          <w:rFonts w:hint="eastAsia" w:ascii="宋体" w:hAnsi="宋体" w:eastAsia="宋体" w:cs="宋体"/>
          <w:spacing w:val="-4"/>
          <w:lang w:eastAsia="zh-CN"/>
        </w:rPr>
        <w:t>十余</w:t>
      </w:r>
      <w:r>
        <w:rPr>
          <w:rFonts w:hint="eastAsia" w:ascii="宋体" w:hAnsi="宋体" w:eastAsia="宋体" w:cs="宋体"/>
        </w:rPr>
        <w:t>年，根据现场踏勘可知，电站原有工程施工时的</w:t>
      </w:r>
      <w:r>
        <w:rPr>
          <w:rFonts w:hint="eastAsia" w:ascii="宋体" w:hAnsi="宋体" w:eastAsia="宋体" w:cs="宋体"/>
          <w:spacing w:val="-11"/>
        </w:rPr>
        <w:t>弃渣场、取土场、施工场及施工道路植被均已自然恢复，工程区植被及防护情况</w:t>
      </w:r>
      <w:r>
        <w:rPr>
          <w:rFonts w:hint="eastAsia" w:ascii="宋体" w:hAnsi="宋体" w:eastAsia="宋体" w:cs="宋体"/>
          <w:spacing w:val="-8"/>
        </w:rPr>
        <w:t>良好。</w:t>
      </w:r>
      <w:r>
        <w:rPr>
          <w:rFonts w:hint="eastAsia" w:ascii="宋体" w:hAnsi="宋体" w:eastAsia="宋体" w:cs="宋体"/>
          <w:spacing w:val="-8"/>
          <w:lang w:eastAsia="zh-CN"/>
        </w:rPr>
        <w:t>龙家塘</w:t>
      </w:r>
      <w:r>
        <w:rPr>
          <w:rFonts w:hint="eastAsia" w:ascii="宋体" w:hAnsi="宋体" w:eastAsia="宋体" w:cs="宋体"/>
          <w:spacing w:val="-8"/>
        </w:rPr>
        <w:t>水电站工程施工产生</w:t>
      </w:r>
      <w:r>
        <w:rPr>
          <w:rFonts w:hint="eastAsia" w:ascii="宋体" w:hAnsi="宋体" w:eastAsia="宋体" w:cs="宋体"/>
          <w:spacing w:val="-8"/>
          <w:lang w:eastAsia="zh-CN"/>
        </w:rPr>
        <w:t>的</w:t>
      </w:r>
      <w:r>
        <w:rPr>
          <w:rFonts w:hint="eastAsia" w:ascii="宋体" w:hAnsi="宋体" w:eastAsia="宋体" w:cs="宋体"/>
          <w:spacing w:val="-8"/>
        </w:rPr>
        <w:t>土石方</w:t>
      </w:r>
      <w:r>
        <w:rPr>
          <w:rFonts w:hint="eastAsia" w:ascii="宋体" w:hAnsi="宋体" w:eastAsia="宋体" w:cs="宋体"/>
          <w:spacing w:val="-4"/>
        </w:rPr>
        <w:t>均运至指定的临时</w:t>
      </w:r>
      <w:r>
        <w:rPr>
          <w:rFonts w:hint="eastAsia" w:ascii="宋体" w:hAnsi="宋体" w:eastAsia="宋体" w:cs="宋体"/>
          <w:spacing w:val="-10"/>
        </w:rPr>
        <w:t>堆场堆放，均用于工程回填。临时堆场已采取土地平整、覆盖、边坡撒播草籽等</w:t>
      </w:r>
      <w:r>
        <w:rPr>
          <w:rFonts w:hint="eastAsia" w:ascii="宋体" w:hAnsi="宋体" w:eastAsia="宋体" w:cs="宋体"/>
        </w:rPr>
        <w:t>植被恢复措施。</w:t>
      </w:r>
    </w:p>
    <w:p>
      <w:pPr>
        <w:pStyle w:val="2"/>
        <w:spacing w:line="364" w:lineRule="auto"/>
        <w:ind w:left="137" w:right="235" w:firstLine="453"/>
        <w:jc w:val="both"/>
        <w:rPr>
          <w:rFonts w:hint="eastAsia" w:ascii="宋体" w:hAnsi="宋体" w:eastAsia="宋体" w:cs="宋体"/>
        </w:rPr>
      </w:pPr>
      <w:r>
        <w:rPr>
          <w:rFonts w:hint="eastAsia" w:ascii="宋体" w:hAnsi="宋体" w:eastAsia="宋体" w:cs="宋体"/>
          <w:spacing w:val="-7"/>
        </w:rPr>
        <w:t>根据现场调查，运营期电站厂房及生活办公区设置有垃圾收集桶，经垃圾桶</w:t>
      </w:r>
      <w:r>
        <w:rPr>
          <w:rFonts w:hint="eastAsia" w:ascii="宋体" w:hAnsi="宋体" w:eastAsia="宋体" w:cs="宋体"/>
          <w:spacing w:val="-8"/>
        </w:rPr>
        <w:t>收集后定期外运处置。工程弃渣结束后，弃渣场土地平整、覆盖，边坡撒播草籽</w:t>
      </w:r>
      <w:r>
        <w:rPr>
          <w:rFonts w:hint="eastAsia" w:ascii="宋体" w:hAnsi="宋体" w:eastAsia="宋体" w:cs="宋体"/>
        </w:rPr>
        <w:t>等植被恢复措施。</w:t>
      </w:r>
    </w:p>
    <w:p>
      <w:pPr>
        <w:pStyle w:val="2"/>
        <w:spacing w:line="364" w:lineRule="auto"/>
        <w:ind w:left="137" w:right="146" w:firstLine="453"/>
        <w:rPr>
          <w:rFonts w:hint="eastAsia" w:ascii="宋体" w:hAnsi="宋体" w:eastAsia="宋体" w:cs="宋体"/>
        </w:rPr>
      </w:pPr>
      <w:r>
        <w:rPr>
          <w:rFonts w:hint="eastAsia" w:ascii="宋体" w:hAnsi="宋体" w:eastAsia="宋体" w:cs="宋体"/>
        </w:rPr>
        <w:t>工程电站水轮机采用立式布置，且配有一台变压器，目前机组运行良好，机修及设备检修产生的废机油及后期变压器产生的废油均交给设备检修单位带走， 不在厂区暂存。</w:t>
      </w:r>
    </w:p>
    <w:p>
      <w:pPr>
        <w:pStyle w:val="18"/>
        <w:numPr>
          <w:ilvl w:val="2"/>
          <w:numId w:val="11"/>
        </w:numPr>
        <w:tabs>
          <w:tab w:val="left" w:pos="836"/>
        </w:tabs>
        <w:spacing w:before="116" w:after="0" w:line="240" w:lineRule="auto"/>
        <w:ind w:left="836" w:right="0" w:hanging="699"/>
        <w:jc w:val="left"/>
        <w:rPr>
          <w:rFonts w:hint="eastAsia" w:ascii="宋体" w:hAnsi="宋体" w:eastAsia="宋体" w:cs="宋体"/>
          <w:b/>
          <w:sz w:val="28"/>
        </w:rPr>
      </w:pPr>
      <w:bookmarkStart w:id="186" w:name="9.1.5社会环境影响调查"/>
      <w:bookmarkEnd w:id="186"/>
      <w:bookmarkStart w:id="187" w:name="9.1.5社会环境影响调查"/>
      <w:bookmarkEnd w:id="187"/>
      <w:r>
        <w:rPr>
          <w:rFonts w:hint="eastAsia" w:ascii="宋体" w:hAnsi="宋体" w:eastAsia="宋体" w:cs="宋体"/>
          <w:b/>
          <w:sz w:val="28"/>
        </w:rPr>
        <w:t>社会环境影响调查</w:t>
      </w:r>
    </w:p>
    <w:p>
      <w:pPr>
        <w:pStyle w:val="2"/>
        <w:spacing w:before="10"/>
        <w:rPr>
          <w:rFonts w:hint="eastAsia" w:ascii="宋体" w:hAnsi="宋体" w:eastAsia="宋体" w:cs="宋体"/>
          <w:b/>
          <w:sz w:val="23"/>
          <w:highlight w:val="yellow"/>
        </w:rPr>
      </w:pP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80" w:firstLineChars="200"/>
        <w:jc w:val="left"/>
        <w:textAlignment w:val="auto"/>
        <w:rPr>
          <w:rFonts w:hint="eastAsia" w:ascii="宋体" w:hAnsi="宋体" w:eastAsia="宋体" w:cs="宋体"/>
          <w:color w:val="FF0000"/>
        </w:rPr>
      </w:pPr>
      <w:r>
        <w:rPr>
          <w:rFonts w:hint="eastAsia" w:ascii="宋体" w:hAnsi="宋体" w:eastAsia="宋体" w:cs="宋体"/>
          <w:color w:val="auto"/>
          <w:spacing w:val="0"/>
          <w:w w:val="100"/>
          <w:kern w:val="0"/>
          <w:position w:val="0"/>
          <w:sz w:val="24"/>
          <w:szCs w:val="24"/>
        </w:rPr>
        <w:t>根据规划内容，本次规划实施对社会环境的影响总体表现为良性影响，水资源利用程度明显提高</w:t>
      </w:r>
      <w:r>
        <w:rPr>
          <w:rFonts w:hint="eastAsia" w:ascii="宋体" w:hAnsi="宋体" w:eastAsia="宋体" w:cs="宋体"/>
          <w:color w:val="auto"/>
          <w:spacing w:val="0"/>
          <w:w w:val="100"/>
          <w:kern w:val="0"/>
          <w:position w:val="0"/>
          <w:sz w:val="24"/>
          <w:szCs w:val="24"/>
          <w:lang w:eastAsia="zh-CN"/>
        </w:rPr>
        <w:t>。</w:t>
      </w:r>
      <w:r>
        <w:rPr>
          <w:rFonts w:hint="eastAsia" w:ascii="宋体" w:hAnsi="宋体" w:eastAsia="宋体" w:cs="宋体"/>
          <w:color w:val="auto"/>
          <w:spacing w:val="0"/>
          <w:w w:val="100"/>
          <w:kern w:val="0"/>
          <w:position w:val="0"/>
        </w:rPr>
        <w:t>本工程淹没区范围内不涉及淹没道路等基础设施</w:t>
      </w:r>
      <w:r>
        <w:rPr>
          <w:rFonts w:hint="eastAsia" w:ascii="宋体" w:hAnsi="宋体" w:eastAsia="宋体" w:cs="宋体"/>
          <w:color w:val="auto"/>
          <w:spacing w:val="0"/>
          <w:w w:val="100"/>
          <w:kern w:val="0"/>
          <w:position w:val="0"/>
          <w:sz w:val="24"/>
          <w:szCs w:val="24"/>
        </w:rPr>
        <w:t>。</w:t>
      </w:r>
      <w:r>
        <w:rPr>
          <w:rFonts w:hint="eastAsia" w:ascii="宋体" w:hAnsi="宋体" w:eastAsia="宋体" w:cs="宋体"/>
          <w:color w:val="auto"/>
          <w:spacing w:val="0"/>
          <w:w w:val="100"/>
          <w:kern w:val="0"/>
          <w:position w:val="0"/>
          <w:sz w:val="24"/>
        </w:rPr>
        <w:t>项目所在的区域是一个以农业经济为基础的县，目前工业开发程度较低，生态环境质量较好</w:t>
      </w:r>
      <w:r>
        <w:rPr>
          <w:rFonts w:hint="eastAsia" w:ascii="宋体" w:hAnsi="宋体" w:eastAsia="宋体" w:cs="宋体"/>
          <w:color w:val="auto"/>
          <w:spacing w:val="0"/>
          <w:w w:val="100"/>
          <w:kern w:val="0"/>
          <w:position w:val="0"/>
          <w:sz w:val="24"/>
          <w:lang w:eastAsia="zh-CN"/>
        </w:rPr>
        <w:t>，</w:t>
      </w:r>
      <w:r>
        <w:rPr>
          <w:rFonts w:hint="eastAsia" w:ascii="宋体" w:hAnsi="宋体" w:eastAsia="宋体" w:cs="宋体"/>
          <w:color w:val="auto"/>
          <w:spacing w:val="0"/>
          <w:w w:val="100"/>
          <w:kern w:val="0"/>
          <w:position w:val="0"/>
          <w:sz w:val="24"/>
        </w:rPr>
        <w:t>本项目工程的建设对当地的社会经济具有重要作用</w:t>
      </w:r>
      <w:r>
        <w:rPr>
          <w:rFonts w:hint="eastAsia" w:ascii="宋体" w:hAnsi="宋体" w:eastAsia="宋体" w:cs="宋体"/>
          <w:color w:val="auto"/>
          <w:spacing w:val="0"/>
          <w:w w:val="100"/>
          <w:kern w:val="0"/>
          <w:position w:val="0"/>
          <w:sz w:val="24"/>
          <w:lang w:eastAsia="zh-CN"/>
        </w:rPr>
        <w:t>。</w:t>
      </w:r>
    </w:p>
    <w:p>
      <w:pPr>
        <w:pStyle w:val="7"/>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40" w:firstLineChars="200"/>
        <w:jc w:val="left"/>
        <w:textAlignment w:val="auto"/>
        <w:rPr>
          <w:rFonts w:hint="eastAsia" w:ascii="宋体" w:hAnsi="宋体" w:eastAsia="宋体" w:cs="宋体"/>
        </w:rPr>
      </w:pPr>
      <w:r>
        <w:rPr>
          <w:rFonts w:hint="eastAsia" w:ascii="宋体" w:hAnsi="宋体" w:eastAsia="宋体" w:cs="宋体"/>
        </w:rPr>
        <w:t>根据现场调查，本工程所在河段无居民饮用水取水口，也没有工业取水口，工程所在区域均饮用山泉水。河段河流与项目修建之前变化不大，基本不会对厂房下游的居民生活、农田灌溉造成影响</w:t>
      </w:r>
      <w:r>
        <w:rPr>
          <w:rFonts w:hint="eastAsia" w:ascii="宋体" w:hAnsi="宋体" w:eastAsia="宋体" w:cs="宋体"/>
          <w:lang w:eastAsia="zh-CN"/>
        </w:rPr>
        <w:t>。</w:t>
      </w:r>
    </w:p>
    <w:p>
      <w:pPr>
        <w:pStyle w:val="2"/>
        <w:keepNext w:val="0"/>
        <w:keepLines w:val="0"/>
        <w:pageBreakBefore w:val="0"/>
        <w:widowControl w:val="0"/>
        <w:kinsoku/>
        <w:wordWrap/>
        <w:overflowPunct/>
        <w:topLinePunct w:val="0"/>
        <w:autoSpaceDE w:val="0"/>
        <w:autoSpaceDN w:val="0"/>
        <w:bidi w:val="0"/>
        <w:adjustRightInd/>
        <w:snapToGrid/>
        <w:spacing w:before="0" w:line="360" w:lineRule="auto"/>
        <w:ind w:left="0" w:right="0" w:firstLine="464" w:firstLineChars="200"/>
        <w:jc w:val="left"/>
        <w:textAlignment w:val="auto"/>
        <w:rPr>
          <w:rFonts w:hint="eastAsia" w:ascii="宋体" w:hAnsi="宋体" w:eastAsia="宋体" w:cs="宋体"/>
        </w:rPr>
      </w:pPr>
      <w:r>
        <w:rPr>
          <w:rFonts w:hint="eastAsia" w:ascii="宋体" w:hAnsi="宋体" w:eastAsia="宋体" w:cs="宋体"/>
          <w:spacing w:val="-4"/>
        </w:rPr>
        <w:t>本报告介于电站得天独厚的地理优势，电站对周边环境影响程度极微，不会</w:t>
      </w:r>
      <w:r>
        <w:rPr>
          <w:rFonts w:hint="eastAsia" w:ascii="宋体" w:hAnsi="宋体" w:eastAsia="宋体" w:cs="宋体"/>
          <w:spacing w:val="-6"/>
        </w:rPr>
        <w:t>对村民的生活用水及农用水造成影响。故本报告认为，本电站无恰当的可供调查</w:t>
      </w:r>
      <w:r>
        <w:rPr>
          <w:rFonts w:hint="eastAsia" w:ascii="宋体" w:hAnsi="宋体" w:eastAsia="宋体" w:cs="宋体"/>
        </w:rPr>
        <w:t>对象，因此，在报告编制期间未进行公众意见调查。</w:t>
      </w:r>
    </w:p>
    <w:p>
      <w:pPr>
        <w:pStyle w:val="2"/>
        <w:spacing w:before="8"/>
        <w:rPr>
          <w:rFonts w:hint="eastAsia" w:ascii="宋体" w:hAnsi="宋体" w:eastAsia="宋体" w:cs="宋体"/>
          <w:sz w:val="18"/>
        </w:rPr>
      </w:pPr>
    </w:p>
    <w:p>
      <w:pPr>
        <w:pStyle w:val="4"/>
        <w:numPr>
          <w:ilvl w:val="1"/>
          <w:numId w:val="11"/>
        </w:numPr>
        <w:tabs>
          <w:tab w:val="left" w:pos="740"/>
        </w:tabs>
        <w:spacing w:before="0" w:after="0" w:line="240" w:lineRule="auto"/>
        <w:ind w:left="740" w:right="0" w:hanging="603"/>
        <w:jc w:val="left"/>
        <w:rPr>
          <w:rFonts w:hint="eastAsia" w:ascii="宋体" w:hAnsi="宋体" w:eastAsia="宋体" w:cs="宋体"/>
        </w:rPr>
      </w:pPr>
      <w:bookmarkStart w:id="188" w:name="_bookmark34"/>
      <w:bookmarkEnd w:id="188"/>
      <w:bookmarkStart w:id="189" w:name="_bookmark34"/>
      <w:bookmarkEnd w:id="189"/>
      <w:bookmarkStart w:id="190" w:name="9.2后续建议"/>
      <w:bookmarkEnd w:id="190"/>
      <w:r>
        <w:rPr>
          <w:rFonts w:hint="eastAsia" w:ascii="宋体" w:hAnsi="宋体" w:eastAsia="宋体" w:cs="宋体"/>
        </w:rPr>
        <w:t>后续建议</w:t>
      </w:r>
    </w:p>
    <w:p>
      <w:pPr>
        <w:pStyle w:val="18"/>
        <w:keepNext w:val="0"/>
        <w:keepLines w:val="0"/>
        <w:pageBreakBefore w:val="0"/>
        <w:widowControl w:val="0"/>
        <w:numPr>
          <w:ilvl w:val="0"/>
          <w:numId w:val="12"/>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加强项目的管理、日常维护工作，防止出现机油泄漏事件发生。</w:t>
      </w:r>
    </w:p>
    <w:p>
      <w:pPr>
        <w:pStyle w:val="18"/>
        <w:keepNext w:val="0"/>
        <w:keepLines w:val="0"/>
        <w:pageBreakBefore w:val="0"/>
        <w:widowControl w:val="0"/>
        <w:numPr>
          <w:ilvl w:val="0"/>
          <w:numId w:val="12"/>
        </w:numPr>
        <w:tabs>
          <w:tab w:val="left" w:pos="1219"/>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加强电站运行管理，按规定确保下泄的生态流量。</w:t>
      </w:r>
    </w:p>
    <w:p>
      <w:pPr>
        <w:pStyle w:val="18"/>
        <w:keepNext w:val="0"/>
        <w:keepLines w:val="0"/>
        <w:pageBreakBefore w:val="0"/>
        <w:widowControl w:val="0"/>
        <w:numPr>
          <w:ilvl w:val="0"/>
          <w:numId w:val="12"/>
        </w:numPr>
        <w:tabs>
          <w:tab w:val="left" w:pos="1193"/>
        </w:tabs>
        <w:kinsoku/>
        <w:wordWrap/>
        <w:overflowPunct/>
        <w:topLinePunct w:val="0"/>
        <w:autoSpaceDE w:val="0"/>
        <w:autoSpaceDN w:val="0"/>
        <w:bidi w:val="0"/>
        <w:adjustRightInd/>
        <w:snapToGrid/>
        <w:spacing w:before="0" w:after="0" w:line="360" w:lineRule="auto"/>
        <w:ind w:left="0" w:right="0" w:firstLine="460" w:firstLineChars="200"/>
        <w:jc w:val="left"/>
        <w:textAlignment w:val="auto"/>
        <w:rPr>
          <w:rFonts w:hint="eastAsia" w:ascii="宋体" w:hAnsi="宋体" w:eastAsia="宋体" w:cs="宋体"/>
          <w:sz w:val="22"/>
        </w:rPr>
      </w:pPr>
      <w:r>
        <w:rPr>
          <w:rFonts w:hint="eastAsia" w:ascii="宋体" w:hAnsi="宋体" w:eastAsia="宋体" w:cs="宋体"/>
          <w:spacing w:val="-5"/>
          <w:sz w:val="24"/>
        </w:rPr>
        <w:t>进一步规范项目的生态、环保管理工作。建立健全环保管理规章制度，</w:t>
      </w:r>
      <w:r>
        <w:rPr>
          <w:rFonts w:hint="eastAsia" w:ascii="宋体" w:hAnsi="宋体" w:eastAsia="宋体" w:cs="宋体"/>
          <w:sz w:val="24"/>
        </w:rPr>
        <w:t>强化企业生态环保管理和环保设施运行管理；完善相关环保台账；从便于生产、环保管理的实际出发，完善电站区域布局，强化区域环境管理。</w:t>
      </w:r>
    </w:p>
    <w:p>
      <w:pPr>
        <w:pStyle w:val="18"/>
        <w:keepNext w:val="0"/>
        <w:keepLines w:val="0"/>
        <w:pageBreakBefore w:val="0"/>
        <w:widowControl w:val="0"/>
        <w:numPr>
          <w:ilvl w:val="0"/>
          <w:numId w:val="12"/>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22"/>
        </w:rPr>
      </w:pPr>
      <w:r>
        <w:rPr>
          <w:rFonts w:hint="eastAsia" w:ascii="宋体" w:hAnsi="宋体" w:eastAsia="宋体" w:cs="宋体"/>
          <w:sz w:val="24"/>
        </w:rPr>
        <w:t>加强水环境管理工作。严格厂区雨污分流、清污分流工作，规范电站</w:t>
      </w:r>
      <w:r>
        <w:rPr>
          <w:rFonts w:hint="eastAsia" w:ascii="宋体" w:hAnsi="宋体" w:eastAsia="宋体" w:cs="宋体"/>
          <w:spacing w:val="-9"/>
          <w:sz w:val="24"/>
        </w:rPr>
        <w:t>污水收集处理措施，完善生活污水消纳管理工作，生活污水经处理后均用于厂区</w:t>
      </w:r>
      <w:r>
        <w:rPr>
          <w:rFonts w:hint="eastAsia" w:ascii="宋体" w:hAnsi="宋体" w:eastAsia="宋体" w:cs="宋体"/>
          <w:sz w:val="24"/>
        </w:rPr>
        <w:t>绿化及周边林地灌溉，不外排。确保项目无发电尾水外的其他任何废水外排。</w:t>
      </w:r>
    </w:p>
    <w:p>
      <w:pPr>
        <w:pStyle w:val="18"/>
        <w:keepNext w:val="0"/>
        <w:keepLines w:val="0"/>
        <w:pageBreakBefore w:val="0"/>
        <w:widowControl w:val="0"/>
        <w:numPr>
          <w:ilvl w:val="0"/>
          <w:numId w:val="12"/>
        </w:numPr>
        <w:tabs>
          <w:tab w:val="left" w:pos="1196"/>
        </w:tabs>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eastAsia="宋体" w:cs="宋体"/>
          <w:sz w:val="19"/>
        </w:rPr>
      </w:pPr>
      <w:r>
        <w:rPr>
          <w:rFonts w:hint="eastAsia" w:ascii="宋体" w:hAnsi="宋体" w:eastAsia="宋体" w:cs="宋体"/>
          <w:sz w:val="24"/>
        </w:rPr>
        <w:t>加强企业资料管理，完善项目档案资料库的建立。对照相关文件、批文，进一步落实和完善项目生态、环保设施。</w:t>
      </w:r>
    </w:p>
    <w:p>
      <w:pPr>
        <w:pStyle w:val="4"/>
        <w:numPr>
          <w:ilvl w:val="1"/>
          <w:numId w:val="11"/>
        </w:numPr>
        <w:tabs>
          <w:tab w:val="left" w:pos="740"/>
        </w:tabs>
        <w:spacing w:before="1" w:after="0" w:line="240" w:lineRule="auto"/>
        <w:ind w:left="740" w:right="0" w:hanging="603"/>
        <w:jc w:val="left"/>
        <w:rPr>
          <w:rFonts w:hint="eastAsia" w:ascii="宋体" w:hAnsi="宋体" w:eastAsia="宋体" w:cs="宋体"/>
        </w:rPr>
      </w:pPr>
      <w:bookmarkStart w:id="191" w:name="_bookmark35"/>
      <w:bookmarkEnd w:id="191"/>
      <w:bookmarkStart w:id="192" w:name="9.3验收结论"/>
      <w:bookmarkEnd w:id="192"/>
      <w:bookmarkStart w:id="193" w:name="_bookmark35"/>
      <w:bookmarkEnd w:id="193"/>
      <w:r>
        <w:rPr>
          <w:rFonts w:hint="eastAsia" w:ascii="宋体" w:hAnsi="宋体" w:eastAsia="宋体" w:cs="宋体"/>
        </w:rPr>
        <w:t>验收结论</w:t>
      </w:r>
    </w:p>
    <w:p>
      <w:pPr>
        <w:pStyle w:val="2"/>
        <w:spacing w:before="243" w:line="364" w:lineRule="auto"/>
        <w:ind w:left="137" w:right="115" w:firstLine="453"/>
        <w:rPr>
          <w:rFonts w:hint="eastAsia" w:ascii="宋体" w:hAnsi="宋体" w:eastAsia="宋体" w:cs="宋体"/>
        </w:rPr>
      </w:pPr>
      <w:r>
        <w:rPr>
          <w:rFonts w:hint="default"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青原区东井冈水电站增效扩容改造工程</w:t>
      </w:r>
      <w:r>
        <w:rPr>
          <w:rFonts w:hint="eastAsia" w:ascii="Times New Roman" w:hAnsi="Times New Roman" w:eastAsia="宋体" w:cs="Times New Roman"/>
          <w:b w:val="0"/>
          <w:bCs w:val="0"/>
          <w:color w:val="000000" w:themeColor="text1"/>
          <w:spacing w:val="-11"/>
          <w:kern w:val="0"/>
          <w:sz w:val="24"/>
          <w:szCs w:val="24"/>
          <w:highlight w:val="none"/>
          <w:lang w:eastAsia="zh-CN"/>
          <w14:textFill>
            <w14:solidFill>
              <w14:schemeClr w14:val="tx1"/>
            </w14:solidFill>
          </w14:textFill>
        </w:rPr>
        <w:t>项目</w:t>
      </w:r>
      <w:r>
        <w:rPr>
          <w:rFonts w:hint="eastAsia" w:ascii="宋体" w:hAnsi="宋体" w:eastAsia="宋体" w:cs="宋体"/>
          <w:spacing w:val="-3"/>
        </w:rPr>
        <w:t>在实施及试运行过程中，按照建设项目环境保护“三同时”的有关要求，基本落实了环评报告书和环评批复中要求的生态保护措施、</w:t>
      </w:r>
      <w:r>
        <w:rPr>
          <w:rFonts w:hint="eastAsia" w:ascii="宋体" w:hAnsi="宋体" w:eastAsia="宋体" w:cs="宋体"/>
          <w:spacing w:val="-16"/>
        </w:rPr>
        <w:t xml:space="preserve">环保设施和其他有关措施；该项目的建成运营在生态环境保护、水环境保护方面， </w:t>
      </w:r>
      <w:r>
        <w:rPr>
          <w:rFonts w:hint="eastAsia" w:ascii="宋体" w:hAnsi="宋体" w:eastAsia="宋体" w:cs="宋体"/>
          <w:spacing w:val="-6"/>
        </w:rPr>
        <w:t>基本符合国家的有关要求；符合建设项目竣工环境保护验收条件，可通过竣工环境保护设施验收。</w:t>
      </w:r>
    </w:p>
    <w:p>
      <w:pPr>
        <w:spacing w:after="0" w:line="364" w:lineRule="auto"/>
        <w:sectPr>
          <w:footerReference r:id="rId10" w:type="default"/>
          <w:pgSz w:w="11910" w:h="16840"/>
          <w:pgMar w:top="1380" w:right="1560" w:bottom="1320" w:left="1660" w:header="0" w:footer="1132" w:gutter="0"/>
        </w:sectPr>
      </w:pPr>
    </w:p>
    <w:p>
      <w:pPr>
        <w:spacing w:before="39"/>
        <w:ind w:left="701" w:right="0" w:firstLine="0"/>
        <w:jc w:val="center"/>
        <w:rPr>
          <w:b/>
          <w:sz w:val="32"/>
        </w:rPr>
      </w:pPr>
      <w:bookmarkStart w:id="194" w:name="_bookmark36"/>
      <w:bookmarkEnd w:id="194"/>
      <w:bookmarkStart w:id="195" w:name="建设项目竣工环境保护“三同时”验收登记表"/>
      <w:bookmarkEnd w:id="195"/>
      <w:r>
        <w:rPr>
          <w:b/>
          <w:sz w:val="32"/>
        </w:rPr>
        <w:t>建设项目竣工环境保护“三同时”验收登记表</w:t>
      </w:r>
    </w:p>
    <w:p>
      <w:pPr>
        <w:pStyle w:val="2"/>
        <w:spacing w:before="11"/>
        <w:rPr>
          <w:b/>
          <w:sz w:val="27"/>
        </w:rPr>
      </w:pPr>
    </w:p>
    <w:p>
      <w:pPr>
        <w:tabs>
          <w:tab w:val="left" w:pos="6624"/>
          <w:tab w:val="left" w:pos="12821"/>
        </w:tabs>
        <w:spacing w:before="0"/>
        <w:ind w:left="687" w:right="0" w:firstLine="0"/>
        <w:jc w:val="center"/>
        <w:rPr>
          <w:rFonts w:hint="eastAsia" w:ascii="宋体" w:eastAsia="宋体"/>
          <w:sz w:val="21"/>
        </w:rPr>
      </w:pPr>
      <w:r>
        <w:rPr>
          <w:rFonts w:hint="eastAsia" w:ascii="宋体" w:eastAsia="宋体"/>
          <w:sz w:val="21"/>
        </w:rPr>
        <w:t>填表单位（盖章）：</w:t>
      </w:r>
      <w:r>
        <w:rPr>
          <w:rFonts w:hint="eastAsia" w:ascii="宋体" w:eastAsia="宋体"/>
          <w:sz w:val="21"/>
        </w:rPr>
        <w:tab/>
      </w:r>
      <w:r>
        <w:rPr>
          <w:rFonts w:hint="eastAsia" w:ascii="宋体" w:eastAsia="宋体"/>
          <w:sz w:val="21"/>
        </w:rPr>
        <w:t>填表人（签字）：</w:t>
      </w:r>
      <w:r>
        <w:rPr>
          <w:rFonts w:hint="eastAsia" w:ascii="宋体" w:eastAsia="宋体"/>
          <w:sz w:val="21"/>
        </w:rPr>
        <w:tab/>
      </w:r>
      <w:r>
        <w:rPr>
          <w:rFonts w:hint="eastAsia" w:ascii="宋体" w:eastAsia="宋体"/>
          <w:sz w:val="21"/>
        </w:rPr>
        <w:t>项目经办人（签字）：</w:t>
      </w:r>
    </w:p>
    <w:p>
      <w:pPr>
        <w:pStyle w:val="2"/>
        <w:spacing w:before="8"/>
        <w:rPr>
          <w:rFonts w:ascii="宋体"/>
          <w:sz w:val="9"/>
        </w:rPr>
      </w:pPr>
    </w:p>
    <w:p>
      <w:pPr>
        <w:spacing w:after="0"/>
        <w:rPr>
          <w:rFonts w:ascii="宋体"/>
          <w:sz w:val="9"/>
        </w:rPr>
        <w:sectPr>
          <w:footerReference r:id="rId11" w:type="default"/>
          <w:pgSz w:w="16840" w:h="11910" w:orient="landscape"/>
          <w:pgMar w:top="520" w:right="500" w:bottom="280" w:left="440" w:header="0" w:footer="0" w:gutter="0"/>
        </w:sectPr>
      </w:pP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569"/>
        <w:gridCol w:w="1519"/>
        <w:gridCol w:w="666"/>
        <w:gridCol w:w="1055"/>
        <w:gridCol w:w="465"/>
        <w:gridCol w:w="486"/>
        <w:gridCol w:w="174"/>
        <w:gridCol w:w="765"/>
        <w:gridCol w:w="566"/>
        <w:gridCol w:w="564"/>
        <w:gridCol w:w="973"/>
        <w:gridCol w:w="1083"/>
        <w:gridCol w:w="1458"/>
        <w:gridCol w:w="875"/>
        <w:gridCol w:w="450"/>
        <w:gridCol w:w="213"/>
        <w:gridCol w:w="150"/>
        <w:gridCol w:w="991"/>
        <w:gridCol w:w="2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restart"/>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建设项目</w:t>
            </w: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项目名称</w:t>
            </w:r>
          </w:p>
        </w:tc>
        <w:tc>
          <w:tcPr>
            <w:tcW w:w="4741" w:type="dxa"/>
            <w:gridSpan w:val="8"/>
            <w:vAlign w:val="center"/>
          </w:tcPr>
          <w:p>
            <w:pPr>
              <w:jc w:val="center"/>
              <w:rPr>
                <w:rFonts w:hint="eastAsia" w:ascii="宋体" w:hAnsi="宋体" w:eastAsia="宋体" w:cs="宋体"/>
                <w:sz w:val="15"/>
                <w:szCs w:val="15"/>
                <w:vertAlign w:val="baseline"/>
              </w:rPr>
            </w:pPr>
            <w:r>
              <w:rPr>
                <w:rFonts w:hint="default" w:ascii="Times New Roman" w:hAnsi="Times New Roman" w:eastAsia="宋体" w:cs="Times New Roman"/>
                <w:b w:val="0"/>
                <w:bCs w:val="0"/>
                <w:color w:val="000000" w:themeColor="text1"/>
                <w:spacing w:val="-11"/>
                <w:kern w:val="0"/>
                <w:sz w:val="15"/>
                <w:szCs w:val="15"/>
                <w:highlight w:val="none"/>
                <w:lang w:eastAsia="zh-CN"/>
                <w14:textFill>
                  <w14:solidFill>
                    <w14:schemeClr w14:val="tx1"/>
                  </w14:solidFill>
                </w14:textFill>
              </w:rPr>
              <w:t>青原区东井冈水电站增效扩容改造工程</w:t>
            </w:r>
            <w:r>
              <w:rPr>
                <w:rFonts w:hint="eastAsia" w:ascii="Times New Roman" w:hAnsi="Times New Roman" w:eastAsia="宋体" w:cs="Times New Roman"/>
                <w:b w:val="0"/>
                <w:bCs w:val="0"/>
                <w:color w:val="000000" w:themeColor="text1"/>
                <w:spacing w:val="-11"/>
                <w:kern w:val="0"/>
                <w:sz w:val="15"/>
                <w:szCs w:val="15"/>
                <w:highlight w:val="none"/>
                <w:lang w:eastAsia="zh-CN"/>
                <w14:textFill>
                  <w14:solidFill>
                    <w14:schemeClr w14:val="tx1"/>
                  </w14:solidFill>
                </w14:textFill>
              </w:rPr>
              <w:t>项目</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项目代码</w:t>
            </w: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建设地点</w:t>
            </w:r>
          </w:p>
        </w:tc>
        <w:tc>
          <w:tcPr>
            <w:tcW w:w="4394" w:type="dxa"/>
            <w:gridSpan w:val="5"/>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行业类别</w:t>
            </w:r>
          </w:p>
        </w:tc>
        <w:tc>
          <w:tcPr>
            <w:tcW w:w="4741" w:type="dxa"/>
            <w:gridSpan w:val="8"/>
            <w:vAlign w:val="center"/>
          </w:tcPr>
          <w:p>
            <w:pPr>
              <w:jc w:val="center"/>
              <w:rPr>
                <w:rFonts w:hint="eastAsia" w:ascii="宋体" w:hAnsi="宋体" w:eastAsia="宋体" w:cs="宋体"/>
                <w:sz w:val="15"/>
                <w:szCs w:val="15"/>
                <w:vertAlign w:val="baseline"/>
                <w:lang w:val="en-US" w:eastAsia="zh-CN"/>
              </w:rPr>
            </w:pPr>
            <w:r>
              <w:rPr>
                <w:rFonts w:hint="eastAsia" w:ascii="宋体" w:hAnsi="宋体" w:eastAsia="宋体" w:cs="宋体"/>
                <w:sz w:val="15"/>
                <w:szCs w:val="15"/>
                <w:vertAlign w:val="baseline"/>
                <w:lang w:val="en-US" w:eastAsia="zh-CN"/>
              </w:rPr>
              <w:t>D4412水力发电</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建设性质</w:t>
            </w:r>
          </w:p>
        </w:tc>
        <w:tc>
          <w:tcPr>
            <w:tcW w:w="6727" w:type="dxa"/>
            <w:gridSpan w:val="7"/>
            <w:vAlign w:val="center"/>
          </w:tcPr>
          <w:p>
            <w:pPr>
              <w:jc w:val="center"/>
              <w:rPr>
                <w:rFonts w:hint="eastAsia" w:ascii="宋体" w:hAnsi="宋体" w:eastAsia="宋体" w:cs="宋体"/>
                <w:sz w:val="15"/>
                <w:szCs w:val="15"/>
                <w:vertAlign w:val="baseline"/>
                <w:lang w:val="en-US" w:eastAsia="zh-CN"/>
              </w:rPr>
            </w:pPr>
            <w:r>
              <w:rPr>
                <w:rFonts w:hint="eastAsia" w:ascii="宋体" w:hAnsi="宋体" w:eastAsia="宋体" w:cs="宋体"/>
                <w:sz w:val="15"/>
                <w:szCs w:val="15"/>
                <w:vertAlign w:val="baseline"/>
              </w:rPr>
              <w:sym w:font="Wingdings" w:char="00A8"/>
            </w:r>
            <w:r>
              <w:rPr>
                <w:rFonts w:hint="eastAsia" w:ascii="宋体" w:hAnsi="宋体" w:eastAsia="宋体" w:cs="宋体"/>
                <w:sz w:val="15"/>
                <w:szCs w:val="15"/>
                <w:vertAlign w:val="baseline"/>
                <w:lang w:val="en-US" w:eastAsia="zh-CN"/>
              </w:rPr>
              <w:t xml:space="preserve">  </w:t>
            </w:r>
            <w:r>
              <w:rPr>
                <w:rFonts w:hint="eastAsia" w:ascii="宋体" w:hAnsi="宋体" w:eastAsia="宋体" w:cs="宋体"/>
                <w:sz w:val="15"/>
                <w:szCs w:val="15"/>
                <w:vertAlign w:val="baseline"/>
                <w:lang w:eastAsia="zh-CN"/>
              </w:rPr>
              <w:t>新建</w:t>
            </w:r>
            <w:r>
              <w:rPr>
                <w:rFonts w:hint="eastAsia" w:ascii="宋体" w:hAnsi="宋体" w:eastAsia="宋体" w:cs="宋体"/>
                <w:sz w:val="15"/>
                <w:szCs w:val="15"/>
                <w:vertAlign w:val="baseline"/>
                <w:lang w:val="en-US" w:eastAsia="zh-CN"/>
              </w:rPr>
              <w:t xml:space="preserve">   </w:t>
            </w:r>
            <w:r>
              <w:rPr>
                <w:rFonts w:hint="eastAsia" w:ascii="宋体" w:hAnsi="宋体" w:eastAsia="宋体" w:cs="宋体"/>
                <w:sz w:val="15"/>
                <w:szCs w:val="15"/>
                <w:vertAlign w:val="baseline"/>
              </w:rPr>
              <w:sym w:font="Wingdings" w:char="00A8"/>
            </w:r>
            <w:r>
              <w:rPr>
                <w:rFonts w:hint="eastAsia" w:ascii="宋体" w:hAnsi="宋体" w:eastAsia="宋体" w:cs="宋体"/>
                <w:sz w:val="15"/>
                <w:szCs w:val="15"/>
                <w:vertAlign w:val="baseline"/>
                <w:lang w:val="en-US" w:eastAsia="zh-CN"/>
              </w:rPr>
              <w:t xml:space="preserve">  改扩建    </w:t>
            </w:r>
            <w:r>
              <w:rPr>
                <w:rFonts w:hint="eastAsia" w:ascii="宋体" w:hAnsi="宋体" w:eastAsia="宋体" w:cs="宋体"/>
                <w:sz w:val="15"/>
                <w:szCs w:val="15"/>
                <w:vertAlign w:val="baseline"/>
              </w:rPr>
              <w:sym w:font="Wingdings" w:char="00A8"/>
            </w:r>
            <w:r>
              <w:rPr>
                <w:rFonts w:hint="eastAsia" w:ascii="宋体" w:hAnsi="宋体" w:eastAsia="宋体" w:cs="宋体"/>
                <w:sz w:val="15"/>
                <w:szCs w:val="15"/>
                <w:vertAlign w:val="baseline"/>
                <w:lang w:val="en-US" w:eastAsia="zh-CN"/>
              </w:rPr>
              <w:t xml:space="preserve">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设计生产能力</w:t>
            </w:r>
          </w:p>
        </w:tc>
        <w:tc>
          <w:tcPr>
            <w:tcW w:w="4741" w:type="dxa"/>
            <w:gridSpan w:val="8"/>
            <w:vAlign w:val="center"/>
          </w:tcPr>
          <w:p>
            <w:pPr>
              <w:jc w:val="center"/>
              <w:rPr>
                <w:rFonts w:hint="eastAsia" w:ascii="宋体" w:hAnsi="宋体" w:eastAsia="宋体" w:cs="宋体"/>
                <w:sz w:val="15"/>
                <w:szCs w:val="15"/>
                <w:vertAlign w:val="baseline"/>
              </w:rPr>
            </w:pPr>
            <w:r>
              <w:rPr>
                <w:rFonts w:hint="eastAsia" w:ascii="宋体" w:hAnsi="宋体" w:eastAsia="宋体" w:cs="宋体"/>
                <w:sz w:val="15"/>
                <w:szCs w:val="15"/>
                <w:vertAlign w:val="baseline"/>
                <w:lang w:val="en-US" w:eastAsia="zh-CN"/>
              </w:rPr>
              <w:t>515.6</w:t>
            </w:r>
            <w:r>
              <w:rPr>
                <w:rFonts w:hint="eastAsia" w:ascii="宋体" w:hAnsi="宋体" w:eastAsia="宋体" w:cs="宋体"/>
                <w:sz w:val="15"/>
                <w:szCs w:val="15"/>
                <w:vertAlign w:val="baseline"/>
              </w:rPr>
              <w:t>万kW·h</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实际生产能力</w:t>
            </w:r>
          </w:p>
        </w:tc>
        <w:tc>
          <w:tcPr>
            <w:tcW w:w="2333" w:type="dxa"/>
            <w:gridSpan w:val="2"/>
          </w:tcPr>
          <w:p>
            <w:pPr>
              <w:rPr>
                <w:rFonts w:hint="default" w:ascii="宋体" w:hAnsi="宋体" w:eastAsia="宋体" w:cs="宋体"/>
                <w:sz w:val="15"/>
                <w:szCs w:val="15"/>
                <w:vertAlign w:val="baseline"/>
                <w:lang w:val="en-US" w:eastAsia="zh-CN"/>
              </w:rPr>
            </w:pPr>
            <w:r>
              <w:rPr>
                <w:rFonts w:hint="eastAsia" w:ascii="宋体" w:hAnsi="宋体" w:eastAsia="宋体" w:cs="宋体"/>
                <w:sz w:val="15"/>
                <w:szCs w:val="15"/>
                <w:vertAlign w:val="baseline"/>
                <w:lang w:val="en-US" w:eastAsia="zh-CN"/>
              </w:rPr>
              <w:t>515.6</w:t>
            </w:r>
            <w:r>
              <w:rPr>
                <w:rFonts w:hint="eastAsia" w:ascii="宋体" w:hAnsi="宋体" w:eastAsia="宋体" w:cs="宋体"/>
                <w:sz w:val="15"/>
                <w:szCs w:val="15"/>
                <w:vertAlign w:val="baseline"/>
              </w:rPr>
              <w:t>万kW·h</w:t>
            </w:r>
          </w:p>
        </w:tc>
        <w:tc>
          <w:tcPr>
            <w:tcW w:w="663"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环评</w:t>
            </w:r>
            <w:r>
              <w:rPr>
                <w:rFonts w:hint="eastAsia" w:ascii="宋体" w:hAnsi="宋体" w:eastAsia="宋体" w:cs="宋体"/>
                <w:sz w:val="15"/>
                <w:szCs w:val="15"/>
                <w:vertAlign w:val="baseline"/>
                <w:lang w:eastAsia="zh-CN"/>
              </w:rPr>
              <w:br w:type="textWrapping"/>
            </w:r>
            <w:r>
              <w:rPr>
                <w:rFonts w:hint="eastAsia" w:ascii="宋体" w:hAnsi="宋体" w:eastAsia="宋体" w:cs="宋体"/>
                <w:sz w:val="15"/>
                <w:szCs w:val="15"/>
                <w:vertAlign w:val="baseline"/>
                <w:lang w:eastAsia="zh-CN"/>
              </w:rPr>
              <w:t>单位</w:t>
            </w:r>
          </w:p>
        </w:tc>
        <w:tc>
          <w:tcPr>
            <w:tcW w:w="3731" w:type="dxa"/>
            <w:gridSpan w:val="3"/>
          </w:tcPr>
          <w:p>
            <w:pPr>
              <w:rPr>
                <w:rFonts w:hint="eastAsia" w:ascii="宋体" w:hAnsi="宋体" w:eastAsia="宋体" w:cs="宋体"/>
                <w:sz w:val="15"/>
                <w:szCs w:val="15"/>
                <w:vertAlign w:val="baseline"/>
              </w:rPr>
            </w:pPr>
            <w:r>
              <w:rPr>
                <w:rFonts w:hint="eastAsia" w:ascii="宋体" w:hAnsi="宋体" w:eastAsia="宋体" w:cs="宋体"/>
                <w:sz w:val="15"/>
                <w:szCs w:val="15"/>
                <w:vertAlign w:val="baseline"/>
              </w:rPr>
              <w:t>江西晨晓环保有限公司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环评文件审批机关</w:t>
            </w:r>
          </w:p>
        </w:tc>
        <w:tc>
          <w:tcPr>
            <w:tcW w:w="4741" w:type="dxa"/>
            <w:gridSpan w:val="8"/>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吉安市生态环境局</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审批文件</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环评文件类型</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开工日期</w:t>
            </w:r>
          </w:p>
        </w:tc>
        <w:tc>
          <w:tcPr>
            <w:tcW w:w="4741" w:type="dxa"/>
            <w:gridSpan w:val="8"/>
            <w:vAlign w:val="center"/>
          </w:tcPr>
          <w:p>
            <w:pPr>
              <w:jc w:val="center"/>
              <w:rPr>
                <w:rFonts w:hint="eastAsia" w:ascii="宋体" w:hAnsi="宋体" w:eastAsia="宋体" w:cs="宋体"/>
                <w:sz w:val="15"/>
                <w:szCs w:val="15"/>
                <w:vertAlign w:val="baseline"/>
                <w:lang w:val="en-US" w:eastAsia="zh-CN"/>
              </w:rPr>
            </w:pPr>
            <w:r>
              <w:rPr>
                <w:rFonts w:hint="eastAsia" w:ascii="宋体" w:hAnsi="宋体" w:eastAsia="宋体" w:cs="宋体"/>
                <w:sz w:val="15"/>
                <w:szCs w:val="15"/>
                <w:vertAlign w:val="baseline"/>
                <w:lang w:val="en-US" w:eastAsia="zh-CN"/>
              </w:rPr>
              <w:t>2016年5月</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竣工日期</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排污许可证申领时间</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环保设施设计单位</w:t>
            </w:r>
          </w:p>
        </w:tc>
        <w:tc>
          <w:tcPr>
            <w:tcW w:w="4741" w:type="dxa"/>
            <w:gridSpan w:val="8"/>
            <w:vAlign w:val="center"/>
          </w:tcPr>
          <w:p>
            <w:pPr>
              <w:jc w:val="center"/>
              <w:rPr>
                <w:rFonts w:hint="eastAsia" w:ascii="宋体" w:hAnsi="宋体" w:eastAsia="宋体" w:cs="宋体"/>
                <w:sz w:val="15"/>
                <w:szCs w:val="15"/>
                <w:vertAlign w:val="baseline"/>
              </w:rPr>
            </w:pP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环保设施施工单位</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本工程排污许可证编号</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验收单位</w:t>
            </w:r>
          </w:p>
        </w:tc>
        <w:tc>
          <w:tcPr>
            <w:tcW w:w="4741" w:type="dxa"/>
            <w:gridSpan w:val="8"/>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江西中明环境检测有限公司</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环保设施监测单位</w:t>
            </w:r>
          </w:p>
        </w:tc>
        <w:tc>
          <w:tcPr>
            <w:tcW w:w="1458"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江西中明环境检测</w:t>
            </w: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验收监测时工况</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投资总概算（万元）</w:t>
            </w:r>
          </w:p>
        </w:tc>
        <w:tc>
          <w:tcPr>
            <w:tcW w:w="4741" w:type="dxa"/>
            <w:gridSpan w:val="8"/>
            <w:vAlign w:val="center"/>
          </w:tcPr>
          <w:p>
            <w:pPr>
              <w:jc w:val="center"/>
              <w:rPr>
                <w:rFonts w:hint="default" w:ascii="宋体" w:hAnsi="宋体" w:eastAsia="宋体" w:cs="宋体"/>
                <w:sz w:val="15"/>
                <w:szCs w:val="15"/>
                <w:vertAlign w:val="baseline"/>
                <w:lang w:val="en-US" w:eastAsia="zh-CN"/>
              </w:rPr>
            </w:pPr>
            <w:r>
              <w:rPr>
                <w:rFonts w:hint="eastAsia" w:ascii="宋体" w:hAnsi="宋体" w:eastAsia="宋体" w:cs="宋体"/>
                <w:sz w:val="15"/>
                <w:szCs w:val="15"/>
                <w:vertAlign w:val="baseline"/>
                <w:lang w:val="en-US" w:eastAsia="zh-CN"/>
              </w:rPr>
              <w:t>328.6</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环保投资总概算（万元）</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所占比例（</w:t>
            </w:r>
            <w:r>
              <w:rPr>
                <w:rFonts w:hint="eastAsia" w:ascii="宋体" w:hAnsi="宋体" w:eastAsia="宋体" w:cs="宋体"/>
                <w:sz w:val="15"/>
                <w:szCs w:val="15"/>
                <w:vertAlign w:val="baseline"/>
                <w:lang w:val="en-US" w:eastAsia="zh-CN"/>
              </w:rPr>
              <w:t>%</w:t>
            </w:r>
            <w:r>
              <w:rPr>
                <w:rFonts w:hint="eastAsia" w:ascii="宋体" w:hAnsi="宋体" w:eastAsia="宋体" w:cs="宋体"/>
                <w:sz w:val="15"/>
                <w:szCs w:val="15"/>
                <w:vertAlign w:val="baseline"/>
                <w:lang w:eastAsia="zh-CN"/>
              </w:rPr>
              <w:t>）</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实际总投资（万元）</w:t>
            </w:r>
          </w:p>
        </w:tc>
        <w:tc>
          <w:tcPr>
            <w:tcW w:w="4741" w:type="dxa"/>
            <w:gridSpan w:val="8"/>
            <w:vAlign w:val="center"/>
          </w:tcPr>
          <w:p>
            <w:pPr>
              <w:jc w:val="center"/>
              <w:rPr>
                <w:rFonts w:hint="eastAsia" w:ascii="宋体" w:hAnsi="宋体" w:eastAsia="宋体" w:cs="宋体"/>
                <w:sz w:val="15"/>
                <w:szCs w:val="15"/>
                <w:vertAlign w:val="baseline"/>
              </w:rPr>
            </w:pPr>
            <w:r>
              <w:rPr>
                <w:rFonts w:hint="eastAsia" w:ascii="宋体" w:hAnsi="宋体" w:eastAsia="宋体" w:cs="宋体"/>
                <w:sz w:val="15"/>
                <w:szCs w:val="15"/>
                <w:vertAlign w:val="baseline"/>
                <w:lang w:val="en-US" w:eastAsia="zh-CN"/>
              </w:rPr>
              <w:t>328.6</w:t>
            </w: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实际环保投资（万元）</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rPr>
            </w:pPr>
            <w:r>
              <w:rPr>
                <w:rFonts w:hint="eastAsia" w:ascii="宋体" w:hAnsi="宋体" w:eastAsia="宋体" w:cs="宋体"/>
                <w:sz w:val="15"/>
                <w:szCs w:val="15"/>
                <w:vertAlign w:val="baseline"/>
                <w:lang w:eastAsia="zh-CN"/>
              </w:rPr>
              <w:t>所占比例（</w:t>
            </w:r>
            <w:r>
              <w:rPr>
                <w:rFonts w:hint="eastAsia" w:ascii="宋体" w:hAnsi="宋体" w:eastAsia="宋体" w:cs="宋体"/>
                <w:sz w:val="15"/>
                <w:szCs w:val="15"/>
                <w:vertAlign w:val="baseline"/>
                <w:lang w:val="en-US" w:eastAsia="zh-CN"/>
              </w:rPr>
              <w:t>%</w:t>
            </w:r>
            <w:r>
              <w:rPr>
                <w:rFonts w:hint="eastAsia" w:ascii="宋体" w:hAnsi="宋体" w:eastAsia="宋体" w:cs="宋体"/>
                <w:sz w:val="15"/>
                <w:szCs w:val="15"/>
                <w:vertAlign w:val="baseline"/>
                <w:lang w:eastAsia="zh-CN"/>
              </w:rPr>
              <w:t>）</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废水治理（万元）</w:t>
            </w:r>
          </w:p>
        </w:tc>
        <w:tc>
          <w:tcPr>
            <w:tcW w:w="666" w:type="dxa"/>
            <w:vAlign w:val="center"/>
          </w:tcPr>
          <w:p>
            <w:pPr>
              <w:jc w:val="center"/>
              <w:rPr>
                <w:rFonts w:hint="eastAsia" w:ascii="宋体" w:hAnsi="宋体" w:eastAsia="宋体" w:cs="宋体"/>
                <w:sz w:val="15"/>
                <w:szCs w:val="15"/>
                <w:vertAlign w:val="baseline"/>
                <w:lang w:val="en-US" w:eastAsia="zh-CN"/>
              </w:rPr>
            </w:pPr>
          </w:p>
        </w:tc>
        <w:tc>
          <w:tcPr>
            <w:tcW w:w="1520"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废气治理（万元）</w:t>
            </w:r>
          </w:p>
        </w:tc>
        <w:tc>
          <w:tcPr>
            <w:tcW w:w="486" w:type="dxa"/>
            <w:vAlign w:val="center"/>
          </w:tcPr>
          <w:p>
            <w:pPr>
              <w:jc w:val="center"/>
              <w:rPr>
                <w:rFonts w:hint="eastAsia" w:ascii="宋体" w:hAnsi="宋体" w:eastAsia="宋体" w:cs="宋体"/>
                <w:sz w:val="15"/>
                <w:szCs w:val="15"/>
                <w:vertAlign w:val="baseline"/>
              </w:rPr>
            </w:pPr>
          </w:p>
        </w:tc>
        <w:tc>
          <w:tcPr>
            <w:tcW w:w="1505" w:type="dxa"/>
            <w:gridSpan w:val="3"/>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噪声治理（万元）</w:t>
            </w:r>
          </w:p>
        </w:tc>
        <w:tc>
          <w:tcPr>
            <w:tcW w:w="564" w:type="dxa"/>
          </w:tcPr>
          <w:p>
            <w:pPr>
              <w:rPr>
                <w:rFonts w:hint="eastAsia" w:ascii="宋体" w:hAnsi="宋体" w:eastAsia="宋体" w:cs="宋体"/>
                <w:sz w:val="15"/>
                <w:szCs w:val="15"/>
                <w:vertAlign w:val="baseline"/>
              </w:rPr>
            </w:pP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固体废物治理（万元）</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绿化及生态（万元）</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396" w:type="dxa"/>
            <w:vMerge w:val="continue"/>
          </w:tcPr>
          <w:p>
            <w:pPr>
              <w:rPr>
                <w:rFonts w:hint="eastAsia" w:ascii="宋体" w:hAnsi="宋体" w:eastAsia="宋体" w:cs="宋体"/>
                <w:sz w:val="15"/>
                <w:szCs w:val="15"/>
                <w:vertAlign w:val="baseline"/>
              </w:rPr>
            </w:pPr>
          </w:p>
        </w:tc>
        <w:tc>
          <w:tcPr>
            <w:tcW w:w="2088" w:type="dxa"/>
            <w:gridSpan w:val="2"/>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新增废水处理设施能力</w:t>
            </w:r>
          </w:p>
        </w:tc>
        <w:tc>
          <w:tcPr>
            <w:tcW w:w="4741" w:type="dxa"/>
            <w:gridSpan w:val="8"/>
            <w:vAlign w:val="center"/>
          </w:tcPr>
          <w:p>
            <w:pPr>
              <w:jc w:val="center"/>
              <w:rPr>
                <w:rFonts w:hint="eastAsia" w:ascii="宋体" w:hAnsi="宋体" w:eastAsia="宋体" w:cs="宋体"/>
                <w:sz w:val="15"/>
                <w:szCs w:val="15"/>
                <w:vertAlign w:val="baseline"/>
              </w:rPr>
            </w:pPr>
          </w:p>
        </w:tc>
        <w:tc>
          <w:tcPr>
            <w:tcW w:w="2056"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新增废气处理设施能力</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年平均工作时</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4" w:type="dxa"/>
            <w:gridSpan w:val="3"/>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运营单位</w:t>
            </w:r>
          </w:p>
        </w:tc>
        <w:tc>
          <w:tcPr>
            <w:tcW w:w="2846" w:type="dxa"/>
            <w:gridSpan w:val="5"/>
            <w:vAlign w:val="center"/>
          </w:tcPr>
          <w:p>
            <w:pPr>
              <w:jc w:val="cente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青原区龙家塘水电站</w:t>
            </w:r>
          </w:p>
        </w:tc>
        <w:tc>
          <w:tcPr>
            <w:tcW w:w="3951" w:type="dxa"/>
            <w:gridSpan w:val="5"/>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运营单位社会统一信用代码（或组织机构代码）</w:t>
            </w:r>
          </w:p>
        </w:tc>
        <w:tc>
          <w:tcPr>
            <w:tcW w:w="1458" w:type="dxa"/>
          </w:tcPr>
          <w:p>
            <w:pPr>
              <w:rPr>
                <w:rFonts w:hint="eastAsia" w:ascii="宋体" w:hAnsi="宋体" w:eastAsia="宋体" w:cs="宋体"/>
                <w:sz w:val="15"/>
                <w:szCs w:val="15"/>
                <w:vertAlign w:val="baseline"/>
              </w:rPr>
            </w:pPr>
          </w:p>
        </w:tc>
        <w:tc>
          <w:tcPr>
            <w:tcW w:w="1325"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验收时间</w:t>
            </w:r>
          </w:p>
        </w:tc>
        <w:tc>
          <w:tcPr>
            <w:tcW w:w="3944" w:type="dxa"/>
            <w:gridSpan w:val="4"/>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污染物排放达标与总量控制（工业建设项目祥表）</w:t>
            </w: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污染物</w:t>
            </w:r>
          </w:p>
        </w:tc>
        <w:tc>
          <w:tcPr>
            <w:tcW w:w="666"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原有排放量（</w:t>
            </w:r>
            <w:r>
              <w:rPr>
                <w:rFonts w:hint="eastAsia" w:ascii="宋体" w:hAnsi="宋体" w:eastAsia="宋体" w:cs="宋体"/>
                <w:sz w:val="15"/>
                <w:szCs w:val="15"/>
                <w:vertAlign w:val="baseline"/>
                <w:lang w:val="en-US" w:eastAsia="zh-CN"/>
              </w:rPr>
              <w:t>1</w:t>
            </w:r>
            <w:r>
              <w:rPr>
                <w:rFonts w:hint="eastAsia" w:ascii="宋体" w:hAnsi="宋体" w:eastAsia="宋体" w:cs="宋体"/>
                <w:sz w:val="15"/>
                <w:szCs w:val="15"/>
                <w:vertAlign w:val="baseline"/>
                <w:lang w:eastAsia="zh-CN"/>
              </w:rPr>
              <w:t>）</w:t>
            </w:r>
          </w:p>
        </w:tc>
        <w:tc>
          <w:tcPr>
            <w:tcW w:w="1055"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本期工程实际排放浓度（</w:t>
            </w:r>
            <w:r>
              <w:rPr>
                <w:rFonts w:hint="eastAsia" w:ascii="宋体" w:hAnsi="宋体" w:eastAsia="宋体" w:cs="宋体"/>
                <w:sz w:val="15"/>
                <w:szCs w:val="15"/>
                <w:vertAlign w:val="baseline"/>
                <w:lang w:val="en-US" w:eastAsia="zh-CN"/>
              </w:rPr>
              <w:t>2</w:t>
            </w:r>
            <w:r>
              <w:rPr>
                <w:rFonts w:hint="eastAsia" w:ascii="宋体" w:hAnsi="宋体" w:eastAsia="宋体" w:cs="宋体"/>
                <w:sz w:val="15"/>
                <w:szCs w:val="15"/>
                <w:vertAlign w:val="baseline"/>
                <w:lang w:eastAsia="zh-CN"/>
              </w:rPr>
              <w:t>）</w:t>
            </w:r>
          </w:p>
        </w:tc>
        <w:tc>
          <w:tcPr>
            <w:tcW w:w="951"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本期工程允许排放浓度（</w:t>
            </w:r>
            <w:r>
              <w:rPr>
                <w:rFonts w:hint="eastAsia" w:ascii="宋体" w:hAnsi="宋体" w:eastAsia="宋体" w:cs="宋体"/>
                <w:sz w:val="15"/>
                <w:szCs w:val="15"/>
                <w:vertAlign w:val="baseline"/>
                <w:lang w:val="en-US" w:eastAsia="zh-CN"/>
              </w:rPr>
              <w:t>3</w:t>
            </w:r>
            <w:r>
              <w:rPr>
                <w:rFonts w:hint="eastAsia" w:ascii="宋体" w:hAnsi="宋体" w:eastAsia="宋体" w:cs="宋体"/>
                <w:sz w:val="15"/>
                <w:szCs w:val="15"/>
                <w:vertAlign w:val="baseline"/>
                <w:lang w:eastAsia="zh-CN"/>
              </w:rPr>
              <w:t>）</w:t>
            </w:r>
          </w:p>
        </w:tc>
        <w:tc>
          <w:tcPr>
            <w:tcW w:w="939" w:type="dxa"/>
            <w:gridSpan w:val="2"/>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本期工程产生量（</w:t>
            </w:r>
            <w:r>
              <w:rPr>
                <w:rFonts w:hint="eastAsia" w:ascii="宋体" w:hAnsi="宋体" w:eastAsia="宋体" w:cs="宋体"/>
                <w:sz w:val="15"/>
                <w:szCs w:val="15"/>
                <w:vertAlign w:val="baseline"/>
                <w:lang w:val="en-US" w:eastAsia="zh-CN"/>
              </w:rPr>
              <w:t>4</w:t>
            </w:r>
            <w:r>
              <w:rPr>
                <w:rFonts w:hint="eastAsia" w:ascii="宋体" w:hAnsi="宋体" w:eastAsia="宋体" w:cs="宋体"/>
                <w:sz w:val="15"/>
                <w:szCs w:val="15"/>
                <w:vertAlign w:val="baseline"/>
                <w:lang w:eastAsia="zh-CN"/>
              </w:rPr>
              <w:t>）</w:t>
            </w:r>
          </w:p>
        </w:tc>
        <w:tc>
          <w:tcPr>
            <w:tcW w:w="1130" w:type="dxa"/>
            <w:gridSpan w:val="2"/>
          </w:tcPr>
          <w:p>
            <w:pPr>
              <w:rPr>
                <w:rFonts w:hint="eastAsia" w:ascii="宋体" w:hAnsi="宋体" w:eastAsia="宋体" w:cs="宋体"/>
                <w:sz w:val="15"/>
                <w:szCs w:val="15"/>
                <w:vertAlign w:val="baseline"/>
                <w:lang w:val="en-US" w:eastAsia="zh-CN"/>
              </w:rPr>
            </w:pPr>
            <w:r>
              <w:rPr>
                <w:rFonts w:hint="eastAsia" w:ascii="宋体" w:hAnsi="宋体" w:eastAsia="宋体" w:cs="宋体"/>
                <w:sz w:val="15"/>
                <w:szCs w:val="15"/>
                <w:vertAlign w:val="baseline"/>
                <w:lang w:eastAsia="zh-CN"/>
              </w:rPr>
              <w:t>本期工程自身消减量（</w:t>
            </w:r>
            <w:r>
              <w:rPr>
                <w:rFonts w:hint="eastAsia" w:ascii="宋体" w:hAnsi="宋体" w:eastAsia="宋体" w:cs="宋体"/>
                <w:sz w:val="15"/>
                <w:szCs w:val="15"/>
                <w:vertAlign w:val="baseline"/>
                <w:lang w:val="en-US" w:eastAsia="zh-CN"/>
              </w:rPr>
              <w:t>5</w:t>
            </w:r>
            <w:r>
              <w:rPr>
                <w:rFonts w:hint="eastAsia" w:ascii="宋体" w:hAnsi="宋体" w:eastAsia="宋体" w:cs="宋体"/>
                <w:sz w:val="15"/>
                <w:szCs w:val="15"/>
                <w:vertAlign w:val="baseline"/>
                <w:lang w:eastAsia="zh-CN"/>
              </w:rPr>
              <w:t>）</w:t>
            </w:r>
          </w:p>
        </w:tc>
        <w:tc>
          <w:tcPr>
            <w:tcW w:w="973"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本期工程实际排放量（</w:t>
            </w:r>
            <w:r>
              <w:rPr>
                <w:rFonts w:hint="eastAsia" w:ascii="宋体" w:hAnsi="宋体" w:eastAsia="宋体" w:cs="宋体"/>
                <w:sz w:val="15"/>
                <w:szCs w:val="15"/>
                <w:vertAlign w:val="baseline"/>
                <w:lang w:val="en-US" w:eastAsia="zh-CN"/>
              </w:rPr>
              <w:t>6</w:t>
            </w:r>
            <w:r>
              <w:rPr>
                <w:rFonts w:hint="eastAsia" w:ascii="宋体" w:hAnsi="宋体" w:eastAsia="宋体" w:cs="宋体"/>
                <w:sz w:val="15"/>
                <w:szCs w:val="15"/>
                <w:vertAlign w:val="baseline"/>
                <w:lang w:eastAsia="zh-CN"/>
              </w:rPr>
              <w:t>）</w:t>
            </w:r>
          </w:p>
        </w:tc>
        <w:tc>
          <w:tcPr>
            <w:tcW w:w="1083"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本期工程核定排放总量（</w:t>
            </w:r>
            <w:r>
              <w:rPr>
                <w:rFonts w:hint="eastAsia" w:ascii="宋体" w:hAnsi="宋体" w:eastAsia="宋体" w:cs="宋体"/>
                <w:sz w:val="15"/>
                <w:szCs w:val="15"/>
                <w:vertAlign w:val="baseline"/>
                <w:lang w:val="en-US" w:eastAsia="zh-CN"/>
              </w:rPr>
              <w:t>7</w:t>
            </w:r>
            <w:r>
              <w:rPr>
                <w:rFonts w:hint="eastAsia" w:ascii="宋体" w:hAnsi="宋体" w:eastAsia="宋体" w:cs="宋体"/>
                <w:sz w:val="15"/>
                <w:szCs w:val="15"/>
                <w:vertAlign w:val="baseline"/>
                <w:lang w:eastAsia="zh-CN"/>
              </w:rPr>
              <w:t>）</w:t>
            </w:r>
          </w:p>
        </w:tc>
        <w:tc>
          <w:tcPr>
            <w:tcW w:w="1458" w:type="dxa"/>
          </w:tcPr>
          <w:p>
            <w:pPr>
              <w:rPr>
                <w:rFonts w:hint="eastAsia" w:ascii="宋体" w:hAnsi="宋体" w:eastAsia="宋体" w:cs="宋体"/>
                <w:sz w:val="15"/>
                <w:szCs w:val="15"/>
                <w:vertAlign w:val="baseline"/>
              </w:rPr>
            </w:pPr>
            <w:r>
              <w:rPr>
                <w:rFonts w:hint="eastAsia" w:ascii="宋体" w:hAnsi="宋体" w:eastAsia="宋体" w:cs="宋体"/>
                <w:sz w:val="15"/>
                <w:szCs w:val="15"/>
                <w:vertAlign w:val="baseline"/>
                <w:lang w:eastAsia="zh-CN"/>
              </w:rPr>
              <w:t>本期工程“以新带老”消减量（</w:t>
            </w:r>
            <w:r>
              <w:rPr>
                <w:rFonts w:hint="eastAsia" w:ascii="宋体" w:hAnsi="宋体" w:eastAsia="宋体" w:cs="宋体"/>
                <w:sz w:val="15"/>
                <w:szCs w:val="15"/>
                <w:vertAlign w:val="baseline"/>
                <w:lang w:val="en-US" w:eastAsia="zh-CN"/>
              </w:rPr>
              <w:t>8</w:t>
            </w:r>
            <w:r>
              <w:rPr>
                <w:rFonts w:hint="eastAsia" w:ascii="宋体" w:hAnsi="宋体" w:eastAsia="宋体" w:cs="宋体"/>
                <w:sz w:val="15"/>
                <w:szCs w:val="15"/>
                <w:vertAlign w:val="baseline"/>
                <w:lang w:eastAsia="zh-CN"/>
              </w:rPr>
              <w:t>）</w:t>
            </w:r>
          </w:p>
        </w:tc>
        <w:tc>
          <w:tcPr>
            <w:tcW w:w="875"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全厂实际排放总量（</w:t>
            </w:r>
            <w:r>
              <w:rPr>
                <w:rFonts w:hint="eastAsia" w:ascii="宋体" w:hAnsi="宋体" w:eastAsia="宋体" w:cs="宋体"/>
                <w:sz w:val="15"/>
                <w:szCs w:val="15"/>
                <w:vertAlign w:val="baseline"/>
                <w:lang w:val="en-US" w:eastAsia="zh-CN"/>
              </w:rPr>
              <w:t>9</w:t>
            </w:r>
            <w:r>
              <w:rPr>
                <w:rFonts w:hint="eastAsia" w:ascii="宋体" w:hAnsi="宋体" w:eastAsia="宋体" w:cs="宋体"/>
                <w:sz w:val="15"/>
                <w:szCs w:val="15"/>
                <w:vertAlign w:val="baseline"/>
                <w:lang w:eastAsia="zh-CN"/>
              </w:rPr>
              <w:t>）</w:t>
            </w:r>
          </w:p>
        </w:tc>
        <w:tc>
          <w:tcPr>
            <w:tcW w:w="813" w:type="dxa"/>
            <w:gridSpan w:val="3"/>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全厂核定排放总量（</w:t>
            </w:r>
            <w:r>
              <w:rPr>
                <w:rFonts w:hint="eastAsia" w:ascii="宋体" w:hAnsi="宋体" w:eastAsia="宋体" w:cs="宋体"/>
                <w:sz w:val="15"/>
                <w:szCs w:val="15"/>
                <w:vertAlign w:val="baseline"/>
                <w:lang w:val="en-US" w:eastAsia="zh-CN"/>
              </w:rPr>
              <w:t>10</w:t>
            </w:r>
            <w:r>
              <w:rPr>
                <w:rFonts w:hint="eastAsia" w:ascii="宋体" w:hAnsi="宋体" w:eastAsia="宋体" w:cs="宋体"/>
                <w:sz w:val="15"/>
                <w:szCs w:val="15"/>
                <w:vertAlign w:val="baseline"/>
                <w:lang w:eastAsia="zh-CN"/>
              </w:rPr>
              <w:t>）</w:t>
            </w:r>
          </w:p>
        </w:tc>
        <w:tc>
          <w:tcPr>
            <w:tcW w:w="991"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区域平衡代替消减量（</w:t>
            </w:r>
            <w:r>
              <w:rPr>
                <w:rFonts w:hint="eastAsia" w:ascii="宋体" w:hAnsi="宋体" w:eastAsia="宋体" w:cs="宋体"/>
                <w:sz w:val="15"/>
                <w:szCs w:val="15"/>
                <w:vertAlign w:val="baseline"/>
                <w:lang w:val="en-US" w:eastAsia="zh-CN"/>
              </w:rPr>
              <w:t>11</w:t>
            </w:r>
            <w:r>
              <w:rPr>
                <w:rFonts w:hint="eastAsia" w:ascii="宋体" w:hAnsi="宋体" w:eastAsia="宋体" w:cs="宋体"/>
                <w:sz w:val="15"/>
                <w:szCs w:val="15"/>
                <w:vertAlign w:val="baseline"/>
                <w:lang w:eastAsia="zh-CN"/>
              </w:rPr>
              <w:t>）</w:t>
            </w:r>
          </w:p>
        </w:tc>
        <w:tc>
          <w:tcPr>
            <w:tcW w:w="2590"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排放增减量（</w:t>
            </w:r>
            <w:r>
              <w:rPr>
                <w:rFonts w:hint="eastAsia" w:ascii="宋体" w:hAnsi="宋体" w:eastAsia="宋体" w:cs="宋体"/>
                <w:sz w:val="15"/>
                <w:szCs w:val="15"/>
                <w:vertAlign w:val="baseline"/>
                <w:lang w:val="en-US" w:eastAsia="zh-CN"/>
              </w:rPr>
              <w:t>12</w:t>
            </w:r>
            <w:r>
              <w:rPr>
                <w:rFonts w:hint="eastAsia" w:ascii="宋体" w:hAnsi="宋体" w:eastAsia="宋体" w:cs="宋体"/>
                <w:sz w:val="15"/>
                <w:szCs w:val="15"/>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废水</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vAlign w:val="top"/>
          </w:tcPr>
          <w:p>
            <w:pPr>
              <w:rPr>
                <w:rFonts w:hint="eastAsia" w:ascii="宋体" w:hAnsi="宋体" w:eastAsia="宋体" w:cs="宋体"/>
                <w:kern w:val="2"/>
                <w:sz w:val="15"/>
                <w:szCs w:val="15"/>
                <w:vertAlign w:val="baseline"/>
                <w:lang w:val="en-US" w:eastAsia="zh-CN" w:bidi="ar-SA"/>
              </w:rPr>
            </w:pPr>
          </w:p>
        </w:tc>
        <w:tc>
          <w:tcPr>
            <w:tcW w:w="1083" w:type="dxa"/>
            <w:vAlign w:val="top"/>
          </w:tcPr>
          <w:p>
            <w:pPr>
              <w:rPr>
                <w:rFonts w:hint="eastAsia" w:ascii="宋体" w:hAnsi="宋体" w:eastAsia="宋体" w:cs="宋体"/>
                <w:kern w:val="2"/>
                <w:sz w:val="15"/>
                <w:szCs w:val="15"/>
                <w:vertAlign w:val="baseline"/>
                <w:lang w:val="en-US" w:eastAsia="zh-CN" w:bidi="ar-SA"/>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化学需氧量</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氨氮</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石油类</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废气</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二氧化硫</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烟尘</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工业粉尘</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氮氧化物</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gridSpan w:val="2"/>
            <w:vMerge w:val="continue"/>
          </w:tcPr>
          <w:p>
            <w:pPr>
              <w:rPr>
                <w:rFonts w:hint="eastAsia" w:ascii="宋体" w:hAnsi="宋体" w:eastAsia="宋体" w:cs="宋体"/>
                <w:sz w:val="15"/>
                <w:szCs w:val="15"/>
                <w:vertAlign w:val="baseline"/>
              </w:rPr>
            </w:pPr>
          </w:p>
        </w:tc>
        <w:tc>
          <w:tcPr>
            <w:tcW w:w="1519"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工业固体废物</w:t>
            </w:r>
          </w:p>
        </w:tc>
        <w:tc>
          <w:tcPr>
            <w:tcW w:w="666" w:type="dxa"/>
          </w:tcPr>
          <w:p>
            <w:pPr>
              <w:rPr>
                <w:rFonts w:hint="eastAsia" w:ascii="宋体" w:hAnsi="宋体" w:eastAsia="宋体" w:cs="宋体"/>
                <w:sz w:val="15"/>
                <w:szCs w:val="15"/>
                <w:vertAlign w:val="baseline"/>
              </w:rPr>
            </w:pP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965" w:type="dxa"/>
            <w:gridSpan w:val="2"/>
            <w:vMerge w:val="continue"/>
          </w:tcPr>
          <w:p>
            <w:pPr>
              <w:rPr>
                <w:rFonts w:hint="eastAsia" w:ascii="宋体" w:hAnsi="宋体" w:eastAsia="宋体" w:cs="宋体"/>
                <w:sz w:val="15"/>
                <w:szCs w:val="15"/>
                <w:vertAlign w:val="baseline"/>
              </w:rPr>
            </w:pPr>
          </w:p>
        </w:tc>
        <w:tc>
          <w:tcPr>
            <w:tcW w:w="1519" w:type="dxa"/>
            <w:vMerge w:val="restart"/>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与项目相关的其他特征污染物</w:t>
            </w:r>
          </w:p>
        </w:tc>
        <w:tc>
          <w:tcPr>
            <w:tcW w:w="666" w:type="dxa"/>
          </w:tcPr>
          <w:p>
            <w:pPr>
              <w:rPr>
                <w:rFonts w:hint="eastAsia" w:ascii="宋体" w:hAnsi="宋体" w:eastAsia="宋体" w:cs="宋体"/>
                <w:sz w:val="15"/>
                <w:szCs w:val="15"/>
                <w:vertAlign w:val="baseline"/>
                <w:lang w:val="en-US" w:eastAsia="zh-CN"/>
              </w:rPr>
            </w:pPr>
            <w:r>
              <w:rPr>
                <w:rFonts w:hint="eastAsia" w:ascii="宋体" w:hAnsi="宋体" w:eastAsia="宋体" w:cs="宋体"/>
                <w:sz w:val="15"/>
                <w:szCs w:val="15"/>
                <w:vertAlign w:val="baseline"/>
                <w:lang w:val="en-US" w:eastAsia="zh-CN"/>
              </w:rPr>
              <w:t>SS</w:t>
            </w: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trPr>
        <w:tc>
          <w:tcPr>
            <w:tcW w:w="965" w:type="dxa"/>
            <w:gridSpan w:val="2"/>
            <w:vMerge w:val="continue"/>
          </w:tcPr>
          <w:p>
            <w:pPr>
              <w:rPr>
                <w:rFonts w:hint="eastAsia" w:ascii="宋体" w:hAnsi="宋体" w:eastAsia="宋体" w:cs="宋体"/>
                <w:sz w:val="15"/>
                <w:szCs w:val="15"/>
                <w:vertAlign w:val="baseline"/>
              </w:rPr>
            </w:pPr>
          </w:p>
        </w:tc>
        <w:tc>
          <w:tcPr>
            <w:tcW w:w="1519" w:type="dxa"/>
            <w:vMerge w:val="continue"/>
          </w:tcPr>
          <w:p>
            <w:pPr>
              <w:rPr>
                <w:rFonts w:hint="eastAsia" w:ascii="宋体" w:hAnsi="宋体" w:eastAsia="宋体" w:cs="宋体"/>
                <w:sz w:val="15"/>
                <w:szCs w:val="15"/>
                <w:vertAlign w:val="baseline"/>
              </w:rPr>
            </w:pPr>
          </w:p>
        </w:tc>
        <w:tc>
          <w:tcPr>
            <w:tcW w:w="666" w:type="dxa"/>
          </w:tcPr>
          <w:p>
            <w:pPr>
              <w:rPr>
                <w:rFonts w:hint="eastAsia" w:ascii="宋体" w:hAnsi="宋体" w:eastAsia="宋体" w:cs="宋体"/>
                <w:sz w:val="15"/>
                <w:szCs w:val="15"/>
                <w:vertAlign w:val="baseline"/>
                <w:lang w:eastAsia="zh-CN"/>
              </w:rPr>
            </w:pPr>
            <w:r>
              <w:rPr>
                <w:rFonts w:hint="eastAsia" w:ascii="宋体" w:hAnsi="宋体" w:eastAsia="宋体" w:cs="宋体"/>
                <w:sz w:val="15"/>
                <w:szCs w:val="15"/>
                <w:vertAlign w:val="baseline"/>
                <w:lang w:eastAsia="zh-CN"/>
              </w:rPr>
              <w:t>总磷</w:t>
            </w:r>
          </w:p>
        </w:tc>
        <w:tc>
          <w:tcPr>
            <w:tcW w:w="1055" w:type="dxa"/>
          </w:tcPr>
          <w:p>
            <w:pPr>
              <w:rPr>
                <w:rFonts w:hint="eastAsia" w:ascii="宋体" w:hAnsi="宋体" w:eastAsia="宋体" w:cs="宋体"/>
                <w:sz w:val="15"/>
                <w:szCs w:val="15"/>
                <w:vertAlign w:val="baseline"/>
              </w:rPr>
            </w:pPr>
          </w:p>
        </w:tc>
        <w:tc>
          <w:tcPr>
            <w:tcW w:w="951" w:type="dxa"/>
            <w:gridSpan w:val="2"/>
          </w:tcPr>
          <w:p>
            <w:pPr>
              <w:rPr>
                <w:rFonts w:hint="eastAsia" w:ascii="宋体" w:hAnsi="宋体" w:eastAsia="宋体" w:cs="宋体"/>
                <w:sz w:val="15"/>
                <w:szCs w:val="15"/>
                <w:vertAlign w:val="baseline"/>
              </w:rPr>
            </w:pPr>
          </w:p>
        </w:tc>
        <w:tc>
          <w:tcPr>
            <w:tcW w:w="939" w:type="dxa"/>
            <w:gridSpan w:val="2"/>
          </w:tcPr>
          <w:p>
            <w:pPr>
              <w:rPr>
                <w:rFonts w:hint="eastAsia" w:ascii="宋体" w:hAnsi="宋体" w:eastAsia="宋体" w:cs="宋体"/>
                <w:sz w:val="15"/>
                <w:szCs w:val="15"/>
                <w:vertAlign w:val="baseline"/>
              </w:rPr>
            </w:pPr>
          </w:p>
        </w:tc>
        <w:tc>
          <w:tcPr>
            <w:tcW w:w="1130" w:type="dxa"/>
            <w:gridSpan w:val="2"/>
          </w:tcPr>
          <w:p>
            <w:pPr>
              <w:rPr>
                <w:rFonts w:hint="eastAsia" w:ascii="宋体" w:hAnsi="宋体" w:eastAsia="宋体" w:cs="宋体"/>
                <w:sz w:val="15"/>
                <w:szCs w:val="15"/>
                <w:vertAlign w:val="baseline"/>
              </w:rPr>
            </w:pPr>
          </w:p>
        </w:tc>
        <w:tc>
          <w:tcPr>
            <w:tcW w:w="973" w:type="dxa"/>
          </w:tcPr>
          <w:p>
            <w:pPr>
              <w:rPr>
                <w:rFonts w:hint="eastAsia" w:ascii="宋体" w:hAnsi="宋体" w:eastAsia="宋体" w:cs="宋体"/>
                <w:sz w:val="15"/>
                <w:szCs w:val="15"/>
                <w:vertAlign w:val="baseline"/>
              </w:rPr>
            </w:pPr>
          </w:p>
        </w:tc>
        <w:tc>
          <w:tcPr>
            <w:tcW w:w="1083" w:type="dxa"/>
          </w:tcPr>
          <w:p>
            <w:pPr>
              <w:rPr>
                <w:rFonts w:hint="eastAsia" w:ascii="宋体" w:hAnsi="宋体" w:eastAsia="宋体" w:cs="宋体"/>
                <w:sz w:val="15"/>
                <w:szCs w:val="15"/>
                <w:vertAlign w:val="baseline"/>
              </w:rPr>
            </w:pPr>
          </w:p>
        </w:tc>
        <w:tc>
          <w:tcPr>
            <w:tcW w:w="1458" w:type="dxa"/>
          </w:tcPr>
          <w:p>
            <w:pPr>
              <w:rPr>
                <w:rFonts w:hint="eastAsia" w:ascii="宋体" w:hAnsi="宋体" w:eastAsia="宋体" w:cs="宋体"/>
                <w:sz w:val="15"/>
                <w:szCs w:val="15"/>
                <w:vertAlign w:val="baseline"/>
              </w:rPr>
            </w:pPr>
          </w:p>
        </w:tc>
        <w:tc>
          <w:tcPr>
            <w:tcW w:w="875" w:type="dxa"/>
          </w:tcPr>
          <w:p>
            <w:pPr>
              <w:rPr>
                <w:rFonts w:hint="eastAsia" w:ascii="宋体" w:hAnsi="宋体" w:eastAsia="宋体" w:cs="宋体"/>
                <w:sz w:val="15"/>
                <w:szCs w:val="15"/>
                <w:vertAlign w:val="baseline"/>
              </w:rPr>
            </w:pPr>
          </w:p>
        </w:tc>
        <w:tc>
          <w:tcPr>
            <w:tcW w:w="813" w:type="dxa"/>
            <w:gridSpan w:val="3"/>
          </w:tcPr>
          <w:p>
            <w:pPr>
              <w:rPr>
                <w:rFonts w:hint="eastAsia" w:ascii="宋体" w:hAnsi="宋体" w:eastAsia="宋体" w:cs="宋体"/>
                <w:sz w:val="15"/>
                <w:szCs w:val="15"/>
                <w:vertAlign w:val="baseline"/>
              </w:rPr>
            </w:pPr>
          </w:p>
        </w:tc>
        <w:tc>
          <w:tcPr>
            <w:tcW w:w="991" w:type="dxa"/>
          </w:tcPr>
          <w:p>
            <w:pPr>
              <w:rPr>
                <w:rFonts w:hint="eastAsia" w:ascii="宋体" w:hAnsi="宋体" w:eastAsia="宋体" w:cs="宋体"/>
                <w:sz w:val="15"/>
                <w:szCs w:val="15"/>
                <w:vertAlign w:val="baseline"/>
              </w:rPr>
            </w:pPr>
          </w:p>
        </w:tc>
        <w:tc>
          <w:tcPr>
            <w:tcW w:w="2590" w:type="dxa"/>
          </w:tcPr>
          <w:p>
            <w:pPr>
              <w:rPr>
                <w:rFonts w:hint="eastAsia" w:ascii="宋体" w:hAnsi="宋体" w:eastAsia="宋体" w:cs="宋体"/>
                <w:sz w:val="15"/>
                <w:szCs w:val="15"/>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 w:hRule="atLeast"/>
        </w:trPr>
        <w:tc>
          <w:tcPr>
            <w:tcW w:w="16008" w:type="dxa"/>
            <w:gridSpan w:val="20"/>
          </w:tcPr>
          <w:p>
            <w:pPr>
              <w:rPr>
                <w:rFonts w:hint="eastAsia" w:ascii="宋体" w:hAnsi="宋体" w:eastAsia="宋体" w:cs="宋体"/>
                <w:sz w:val="15"/>
                <w:szCs w:val="15"/>
                <w:vertAlign w:val="baseline"/>
                <w:lang w:val="en-US" w:eastAsia="zh-CN" w:bidi="zh-CN"/>
              </w:rPr>
            </w:pPr>
            <w:r>
              <w:rPr>
                <w:rFonts w:hint="eastAsia" w:ascii="宋体" w:hAnsi="宋体" w:eastAsia="宋体" w:cs="宋体"/>
                <w:sz w:val="15"/>
                <w:szCs w:val="15"/>
                <w:vertAlign w:val="baseline"/>
                <w:lang w:val="en-US" w:eastAsia="zh-CN" w:bidi="zh-CN"/>
              </w:rPr>
              <w:t>注：1、排放增减量：（+）表示增加，（-）表示减少</w:t>
            </w:r>
          </w:p>
          <w:p>
            <w:pPr>
              <w:pStyle w:val="7"/>
              <w:numPr>
                <w:ilvl w:val="0"/>
                <w:numId w:val="13"/>
              </w:numPr>
              <w:rPr>
                <w:rFonts w:hint="eastAsia" w:hAnsi="宋体" w:eastAsia="宋体" w:cs="宋体"/>
                <w:sz w:val="15"/>
                <w:szCs w:val="15"/>
                <w:vertAlign w:val="baseline"/>
                <w:lang w:val="en-US" w:eastAsia="zh-CN"/>
              </w:rPr>
            </w:pPr>
            <w:r>
              <w:rPr>
                <w:rFonts w:hint="eastAsia" w:hAnsi="宋体" w:eastAsia="宋体" w:cs="宋体"/>
                <w:sz w:val="15"/>
                <w:szCs w:val="15"/>
                <w:vertAlign w:val="baseline"/>
                <w:lang w:val="en-US" w:eastAsia="zh-CN"/>
              </w:rPr>
              <w:t>（12）=（6）-（8）-（11），（9）=（4）-（5）-（8）-（11）+（1）</w:t>
            </w:r>
          </w:p>
          <w:p>
            <w:pPr>
              <w:pStyle w:val="7"/>
              <w:numPr>
                <w:ilvl w:val="0"/>
                <w:numId w:val="13"/>
              </w:numPr>
              <w:rPr>
                <w:rFonts w:hint="default" w:hAnsi="宋体" w:eastAsia="宋体" w:cs="宋体"/>
                <w:sz w:val="15"/>
                <w:szCs w:val="15"/>
                <w:vertAlign w:val="baseline"/>
                <w:lang w:val="en-US" w:eastAsia="zh-CN"/>
              </w:rPr>
            </w:pPr>
            <w:r>
              <w:rPr>
                <w:rFonts w:hint="eastAsia" w:hAnsi="宋体" w:eastAsia="宋体" w:cs="宋体"/>
                <w:sz w:val="15"/>
                <w:szCs w:val="15"/>
                <w:vertAlign w:val="baseline"/>
                <w:lang w:val="en-US" w:eastAsia="zh-CN"/>
              </w:rPr>
              <w:t>计量单位：废水排放量—万吨/年；废气排放量—万标立方米/年；工业固体废物排放量—万吨/年；水污染物排放浓度—毫克/升；大气污染物排放浓度—毫克/立方米；水污染物排放量—吨/年；大气污染物排放量—吨/年</w:t>
            </w:r>
          </w:p>
        </w:tc>
      </w:tr>
    </w:tbl>
    <w:p>
      <w:pPr>
        <w:pStyle w:val="2"/>
        <w:rPr>
          <w:rFonts w:ascii="宋体"/>
          <w:sz w:val="20"/>
        </w:rPr>
      </w:pPr>
    </w:p>
    <w:p>
      <w:pPr>
        <w:pStyle w:val="2"/>
        <w:spacing w:before="9"/>
        <w:rPr>
          <w:rFonts w:ascii="宋体"/>
          <w:sz w:val="12"/>
        </w:rPr>
      </w:pPr>
      <w:r>
        <mc:AlternateContent>
          <mc:Choice Requires="wps">
            <w:drawing>
              <wp:anchor distT="0" distB="0" distL="0" distR="0" simplePos="0" relativeHeight="251674624" behindDoc="1" locked="0" layoutInCell="1" allowOverlap="1">
                <wp:simplePos x="0" y="0"/>
                <wp:positionH relativeFrom="page">
                  <wp:posOffset>5175250</wp:posOffset>
                </wp:positionH>
                <wp:positionV relativeFrom="paragraph">
                  <wp:posOffset>131445</wp:posOffset>
                </wp:positionV>
                <wp:extent cx="342900" cy="0"/>
                <wp:effectExtent l="0" t="0" r="0" b="0"/>
                <wp:wrapTopAndBottom/>
                <wp:docPr id="91" name="直线 4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48" o:spid="_x0000_s1026" o:spt="20" style="position:absolute;left:0pt;margin-left:407.5pt;margin-top:10.35pt;height:0pt;width:27pt;mso-position-horizontal-relative:page;mso-wrap-distance-bottom:0pt;mso-wrap-distance-top:0pt;z-index:-251641856;mso-width-relative:page;mso-height-relative:page;" filled="f" stroked="t" coordsize="21600,21600" o:gfxdata="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Vw32C1wAAAAkBAAAPAAAAAAAAAAEAIAAAACIAAABk&#10;cnMvZG93bnJldi54bWxQSwECFAAUAAAACACHTuJAUBrXs84BAACOAwAADgAAAAAAAAABACAAAAAm&#10;AQAAZHJzL2Uyb0RvYy54bWxQSwUGAAAAAAYABgBZAQAAZgUAAAAA&#10;">
                <v:fill on="f" focussize="0,0"/>
                <v:stroke weight="0.48pt" color="#000000" joinstyle="round"/>
                <v:imagedata o:title=""/>
                <o:lock v:ext="edit" aspectratio="f"/>
                <w10:wrap type="topAndBottom"/>
              </v:line>
            </w:pict>
          </mc:Fallback>
        </mc:AlternateContent>
      </w:r>
    </w:p>
    <w:p>
      <w:pPr>
        <w:spacing w:before="0" w:line="197" w:lineRule="exact"/>
        <w:ind w:left="421" w:right="0" w:firstLine="0"/>
        <w:jc w:val="center"/>
        <w:rPr>
          <w:rFonts w:ascii="Times New Roman"/>
          <w:sz w:val="18"/>
        </w:rPr>
      </w:pPr>
      <w:r>
        <w:rPr>
          <w:rFonts w:ascii="Times New Roman"/>
          <w:sz w:val="18"/>
        </w:rPr>
        <w:t>52</w:t>
      </w:r>
    </w:p>
    <w:p>
      <w:pPr>
        <w:spacing w:after="0" w:line="197" w:lineRule="exact"/>
        <w:jc w:val="center"/>
        <w:rPr>
          <w:rFonts w:ascii="Times New Roman"/>
          <w:sz w:val="18"/>
        </w:rPr>
        <w:sectPr>
          <w:type w:val="continuous"/>
          <w:pgSz w:w="16840" w:h="11910" w:orient="landscape"/>
          <w:pgMar w:top="1580" w:right="500" w:bottom="280" w:left="440" w:header="720" w:footer="720" w:gutter="0"/>
        </w:sectPr>
      </w:pPr>
    </w:p>
    <w:p>
      <w:pPr>
        <w:spacing w:before="52"/>
        <w:ind w:right="0"/>
        <w:jc w:val="left"/>
        <w:rPr>
          <w:b/>
          <w:sz w:val="24"/>
        </w:rPr>
      </w:pPr>
      <w:bookmarkStart w:id="196" w:name="附件1验收委托书"/>
      <w:bookmarkEnd w:id="196"/>
      <w:bookmarkStart w:id="197" w:name="_bookmark37"/>
      <w:bookmarkEnd w:id="197"/>
      <w:r>
        <w:rPr>
          <w:b/>
          <w:sz w:val="24"/>
        </w:rPr>
        <w:t xml:space="preserve">附件 </w:t>
      </w:r>
      <w:r>
        <w:rPr>
          <w:rFonts w:ascii="Times New Roman" w:eastAsia="Times New Roman"/>
          <w:b/>
          <w:sz w:val="24"/>
        </w:rPr>
        <w:t xml:space="preserve">1 </w:t>
      </w:r>
      <w:r>
        <w:rPr>
          <w:b/>
          <w:sz w:val="24"/>
        </w:rPr>
        <w:t>验收委托书</w:t>
      </w:r>
    </w:p>
    <w:p>
      <w:pPr>
        <w:pStyle w:val="2"/>
        <w:rPr>
          <w:b/>
          <w:sz w:val="20"/>
        </w:rPr>
      </w:pPr>
    </w:p>
    <w:p>
      <w:pPr>
        <w:pStyle w:val="2"/>
        <w:spacing w:before="10"/>
        <w:rPr>
          <w:b/>
          <w:sz w:val="17"/>
        </w:rPr>
      </w:pPr>
    </w:p>
    <w:p>
      <w:pPr>
        <w:spacing w:before="54"/>
        <w:ind w:left="4470" w:right="3834" w:firstLine="0"/>
        <w:jc w:val="center"/>
        <w:rPr>
          <w:rFonts w:hint="eastAsia" w:ascii="宋体" w:eastAsia="宋体"/>
          <w:b/>
          <w:sz w:val="32"/>
        </w:rPr>
      </w:pPr>
      <w:r>
        <w:rPr>
          <w:rFonts w:hint="eastAsia" w:ascii="宋体" w:eastAsia="宋体"/>
          <w:b/>
          <w:sz w:val="32"/>
        </w:rPr>
        <w:t>委 托 书</w:t>
      </w:r>
    </w:p>
    <w:p>
      <w:pPr>
        <w:pStyle w:val="2"/>
        <w:rPr>
          <w:rFonts w:ascii="宋体"/>
          <w:b/>
          <w:sz w:val="32"/>
        </w:rPr>
      </w:pPr>
    </w:p>
    <w:p>
      <w:pPr>
        <w:pStyle w:val="2"/>
        <w:spacing w:before="9"/>
        <w:rPr>
          <w:rFonts w:ascii="宋体"/>
          <w:b/>
          <w:sz w:val="39"/>
        </w:rPr>
      </w:pPr>
    </w:p>
    <w:p>
      <w:pPr>
        <w:spacing w:before="0"/>
        <w:ind w:left="1319" w:right="0" w:firstLine="0"/>
        <w:jc w:val="left"/>
        <w:rPr>
          <w:rFonts w:hint="eastAsia" w:ascii="宋体" w:eastAsia="宋体"/>
          <w:sz w:val="28"/>
        </w:rPr>
      </w:pPr>
      <w:r>
        <w:rPr>
          <w:rFonts w:hint="eastAsia" w:ascii="宋体" w:eastAsia="宋体"/>
          <w:sz w:val="28"/>
        </w:rPr>
        <w:t>江西</w:t>
      </w:r>
      <w:r>
        <w:rPr>
          <w:rFonts w:hint="eastAsia" w:ascii="宋体" w:eastAsia="宋体"/>
          <w:sz w:val="28"/>
          <w:lang w:eastAsia="zh-CN"/>
        </w:rPr>
        <w:t>中明环境检测</w:t>
      </w:r>
      <w:r>
        <w:rPr>
          <w:rFonts w:hint="eastAsia" w:ascii="宋体" w:eastAsia="宋体"/>
          <w:sz w:val="28"/>
        </w:rPr>
        <w:t>有限公司：</w:t>
      </w:r>
    </w:p>
    <w:p>
      <w:pPr>
        <w:pStyle w:val="2"/>
        <w:rPr>
          <w:rFonts w:ascii="宋体"/>
          <w:sz w:val="23"/>
        </w:rPr>
      </w:pPr>
    </w:p>
    <w:p>
      <w:pPr>
        <w:spacing w:before="0" w:line="436" w:lineRule="auto"/>
        <w:ind w:left="760" w:right="756" w:firstLine="559"/>
        <w:jc w:val="both"/>
        <w:rPr>
          <w:rFonts w:hint="eastAsia" w:ascii="宋体" w:eastAsia="宋体"/>
          <w:sz w:val="28"/>
        </w:rPr>
      </w:pPr>
      <w:r>
        <w:rPr>
          <w:rFonts w:hint="eastAsia" w:ascii="宋体" w:eastAsia="宋体"/>
          <w:sz w:val="28"/>
        </w:rPr>
        <w:t>我公司建设项目已竣工并已开始试运行，现生产及环保治理设</w:t>
      </w:r>
      <w:r>
        <w:rPr>
          <w:rFonts w:hint="eastAsia" w:ascii="宋体" w:eastAsia="宋体"/>
          <w:spacing w:val="-12"/>
          <w:sz w:val="28"/>
        </w:rPr>
        <w:t>施运行正常。根据环境保护有关法律法规及《建设项目竣工环境保护</w:t>
      </w:r>
      <w:r>
        <w:rPr>
          <w:rFonts w:hint="eastAsia" w:ascii="宋体" w:eastAsia="宋体"/>
          <w:spacing w:val="-10"/>
          <w:sz w:val="28"/>
        </w:rPr>
        <w:t>验收管理办法》的有关规定，需对该项目进行竣工环境保护验收，特</w:t>
      </w:r>
      <w:r>
        <w:rPr>
          <w:rFonts w:hint="eastAsia" w:ascii="宋体" w:eastAsia="宋体"/>
          <w:spacing w:val="-4"/>
          <w:sz w:val="28"/>
        </w:rPr>
        <w:t>委托贵公司承担该项目竣工环境保护验收监测工作。</w:t>
      </w: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rPr>
          <w:rFonts w:ascii="宋体"/>
          <w:sz w:val="28"/>
        </w:rPr>
      </w:pPr>
    </w:p>
    <w:p>
      <w:pPr>
        <w:pStyle w:val="2"/>
        <w:spacing w:before="11"/>
        <w:rPr>
          <w:rFonts w:ascii="宋体"/>
          <w:sz w:val="21"/>
        </w:rPr>
      </w:pPr>
    </w:p>
    <w:p>
      <w:pPr>
        <w:tabs>
          <w:tab w:val="left" w:pos="8324"/>
        </w:tabs>
        <w:spacing w:before="0" w:line="434" w:lineRule="auto"/>
        <w:ind w:right="937" w:firstLine="2520" w:firstLineChars="900"/>
        <w:jc w:val="left"/>
        <w:rPr>
          <w:rFonts w:hint="eastAsia" w:ascii="宋体" w:eastAsia="宋体"/>
          <w:color w:val="000000" w:themeColor="text1"/>
          <w:sz w:val="22"/>
          <w:lang w:eastAsia="zh-CN"/>
          <w14:textFill>
            <w14:solidFill>
              <w14:schemeClr w14:val="tx1"/>
            </w14:solidFill>
          </w14:textFill>
        </w:rPr>
      </w:pPr>
      <w:r>
        <w:rPr>
          <w:rFonts w:hint="eastAsia" w:ascii="宋体" w:eastAsia="宋体"/>
          <w:color w:val="000000" w:themeColor="text1"/>
          <w:sz w:val="28"/>
          <w14:textFill>
            <w14:solidFill>
              <w14:schemeClr w14:val="tx1"/>
            </w14:solidFill>
          </w14:textFill>
        </w:rPr>
        <w:t>委</w:t>
      </w:r>
      <w:r>
        <w:rPr>
          <w:rFonts w:hint="eastAsia" w:ascii="宋体" w:eastAsia="宋体"/>
          <w:color w:val="000000" w:themeColor="text1"/>
          <w:spacing w:val="-3"/>
          <w:sz w:val="28"/>
          <w14:textFill>
            <w14:solidFill>
              <w14:schemeClr w14:val="tx1"/>
            </w14:solidFill>
          </w14:textFill>
        </w:rPr>
        <w:t>托</w:t>
      </w:r>
      <w:r>
        <w:rPr>
          <w:rFonts w:hint="eastAsia" w:ascii="宋体" w:eastAsia="宋体"/>
          <w:color w:val="000000" w:themeColor="text1"/>
          <w:sz w:val="28"/>
          <w14:textFill>
            <w14:solidFill>
              <w14:schemeClr w14:val="tx1"/>
            </w14:solidFill>
          </w14:textFill>
        </w:rPr>
        <w:t>单位</w:t>
      </w:r>
      <w:r>
        <w:rPr>
          <w:rFonts w:hint="eastAsia" w:ascii="宋体" w:eastAsia="宋体"/>
          <w:color w:val="000000" w:themeColor="text1"/>
          <w:spacing w:val="-3"/>
          <w:sz w:val="28"/>
          <w14:textFill>
            <w14:solidFill>
              <w14:schemeClr w14:val="tx1"/>
            </w14:solidFill>
          </w14:textFill>
        </w:rPr>
        <w:t>：</w:t>
      </w:r>
      <w:r>
        <w:rPr>
          <w:rFonts w:hint="default" w:ascii="Times New Roman" w:hAnsi="Times New Roman" w:eastAsia="宋体" w:cs="Times New Roman"/>
          <w:b w:val="0"/>
          <w:bCs w:val="0"/>
          <w:color w:val="000000" w:themeColor="text1"/>
          <w:spacing w:val="-11"/>
          <w:kern w:val="0"/>
          <w:sz w:val="28"/>
          <w:szCs w:val="28"/>
          <w:highlight w:val="none"/>
          <w:lang w:eastAsia="zh-CN"/>
          <w14:textFill>
            <w14:solidFill>
              <w14:schemeClr w14:val="tx1"/>
            </w14:solidFill>
          </w14:textFill>
        </w:rPr>
        <w:t>青原区东井冈水电站</w:t>
      </w:r>
      <w:r>
        <w:rPr>
          <w:rFonts w:hint="eastAsia" w:ascii="Times New Roman" w:hAnsi="Times New Roman" w:eastAsia="宋体" w:cs="Times New Roman"/>
          <w:b w:val="0"/>
          <w:bCs w:val="0"/>
          <w:color w:val="000000" w:themeColor="text1"/>
          <w:spacing w:val="-11"/>
          <w:kern w:val="0"/>
          <w:sz w:val="28"/>
          <w:szCs w:val="28"/>
          <w:highlight w:val="none"/>
          <w:lang w:eastAsia="zh-CN"/>
          <w14:textFill>
            <w14:solidFill>
              <w14:schemeClr w14:val="tx1"/>
            </w14:solidFill>
          </w14:textFill>
        </w:rPr>
        <w:t>（</w:t>
      </w:r>
      <w:r>
        <w:rPr>
          <w:rFonts w:hint="eastAsia" w:ascii="宋体" w:eastAsia="宋体"/>
          <w:color w:val="000000" w:themeColor="text1"/>
          <w:sz w:val="28"/>
          <w14:textFill>
            <w14:solidFill>
              <w14:schemeClr w14:val="tx1"/>
            </w14:solidFill>
          </w14:textFill>
        </w:rPr>
        <w:t>盖</w:t>
      </w:r>
      <w:r>
        <w:rPr>
          <w:rFonts w:hint="eastAsia" w:ascii="宋体" w:eastAsia="宋体"/>
          <w:color w:val="000000" w:themeColor="text1"/>
          <w:spacing w:val="-16"/>
          <w:sz w:val="28"/>
          <w14:textFill>
            <w14:solidFill>
              <w14:schemeClr w14:val="tx1"/>
            </w14:solidFill>
          </w14:textFill>
        </w:rPr>
        <w:t>章</w:t>
      </w:r>
      <w:r>
        <w:rPr>
          <w:rFonts w:hint="eastAsia" w:ascii="宋体" w:eastAsia="宋体"/>
          <w:color w:val="000000" w:themeColor="text1"/>
          <w:spacing w:val="-16"/>
          <w:sz w:val="28"/>
          <w:lang w:eastAsia="zh-CN"/>
          <w14:textFill>
            <w14:solidFill>
              <w14:schemeClr w14:val="tx1"/>
            </w14:solidFill>
          </w14:textFill>
        </w:rPr>
        <w:t>）</w:t>
      </w:r>
    </w:p>
    <w:p>
      <w:pPr>
        <w:spacing w:before="0" w:line="434" w:lineRule="auto"/>
        <w:ind w:right="1083" w:firstLine="2520" w:firstLineChars="900"/>
        <w:jc w:val="left"/>
        <w:rPr>
          <w:rFonts w:hint="eastAsia" w:ascii="宋体" w:hAnsi="宋体" w:eastAsia="宋体" w:cs="宋体"/>
          <w:color w:val="000000" w:themeColor="text1"/>
          <w:spacing w:val="0"/>
          <w:w w:val="100"/>
          <w:kern w:val="0"/>
          <w:position w:val="0"/>
          <w:sz w:val="28"/>
          <w:szCs w:val="28"/>
          <w14:textFill>
            <w14:solidFill>
              <w14:schemeClr w14:val="tx1"/>
            </w14:solidFill>
          </w14:textFill>
        </w:rPr>
      </w:pPr>
      <w:r>
        <w:rPr>
          <w:rFonts w:hint="eastAsia" w:ascii="宋体" w:eastAsia="宋体"/>
          <w:color w:val="000000" w:themeColor="text1"/>
          <w:sz w:val="28"/>
          <w14:textFill>
            <w14:solidFill>
              <w14:schemeClr w14:val="tx1"/>
            </w14:solidFill>
          </w14:textFill>
        </w:rPr>
        <w:t>项目地址：</w:t>
      </w:r>
      <w:r>
        <w:rPr>
          <w:rFonts w:hint="eastAsia" w:ascii="宋体" w:hAnsi="宋体" w:eastAsia="宋体" w:cs="宋体"/>
          <w:color w:val="000000" w:themeColor="text1"/>
          <w:sz w:val="28"/>
          <w:szCs w:val="28"/>
          <w14:textFill>
            <w14:solidFill>
              <w14:schemeClr w14:val="tx1"/>
            </w14:solidFill>
          </w14:textFill>
        </w:rPr>
        <w:t>吉安市</w:t>
      </w:r>
      <w:r>
        <w:rPr>
          <w:rFonts w:hint="eastAsia" w:ascii="宋体" w:hAnsi="宋体" w:eastAsia="宋体" w:cs="宋体"/>
          <w:b w:val="0"/>
          <w:bCs w:val="0"/>
          <w:color w:val="000000" w:themeColor="text1"/>
          <w:spacing w:val="-11"/>
          <w:kern w:val="0"/>
          <w:sz w:val="28"/>
          <w:szCs w:val="28"/>
          <w:highlight w:val="none"/>
          <w:lang w:eastAsia="zh-CN"/>
          <w14:textFill>
            <w14:solidFill>
              <w14:schemeClr w14:val="tx1"/>
            </w14:solidFill>
          </w14:textFill>
        </w:rPr>
        <w:t>青原区</w:t>
      </w:r>
      <w:r>
        <w:rPr>
          <w:rFonts w:hint="eastAsia" w:ascii="宋体" w:hAnsi="宋体" w:eastAsia="宋体" w:cs="宋体"/>
          <w:color w:val="000000" w:themeColor="text1"/>
          <w:spacing w:val="0"/>
          <w:w w:val="100"/>
          <w:kern w:val="0"/>
          <w:position w:val="0"/>
          <w:sz w:val="28"/>
          <w:szCs w:val="28"/>
          <w14:textFill>
            <w14:solidFill>
              <w14:schemeClr w14:val="tx1"/>
            </w14:solidFill>
          </w14:textFill>
        </w:rPr>
        <w:t>东固畲族乡六渡村</w:t>
      </w:r>
    </w:p>
    <w:p>
      <w:pPr>
        <w:spacing w:before="0" w:line="434" w:lineRule="auto"/>
        <w:ind w:right="1083" w:firstLine="2520" w:firstLineChars="900"/>
        <w:jc w:val="left"/>
        <w:rPr>
          <w:rFonts w:hint="eastAsia" w:ascii="宋体" w:eastAsia="宋体"/>
          <w:color w:val="000000" w:themeColor="text1"/>
          <w:sz w:val="28"/>
          <w14:textFill>
            <w14:solidFill>
              <w14:schemeClr w14:val="tx1"/>
            </w14:solidFill>
          </w14:textFill>
        </w:rPr>
      </w:pPr>
      <w:r>
        <w:rPr>
          <w:rFonts w:hint="eastAsia" w:ascii="宋体" w:eastAsia="宋体"/>
          <w:color w:val="000000" w:themeColor="text1"/>
          <w:sz w:val="28"/>
          <w14:textFill>
            <w14:solidFill>
              <w14:schemeClr w14:val="tx1"/>
            </w14:solidFill>
          </w14:textFill>
        </w:rPr>
        <w:t>时间：2020年</w:t>
      </w:r>
      <w:r>
        <w:rPr>
          <w:rFonts w:hint="eastAsia" w:ascii="宋体" w:eastAsia="宋体"/>
          <w:color w:val="000000" w:themeColor="text1"/>
          <w:sz w:val="28"/>
          <w:lang w:val="en-US" w:eastAsia="zh-CN"/>
          <w14:textFill>
            <w14:solidFill>
              <w14:schemeClr w14:val="tx1"/>
            </w14:solidFill>
          </w14:textFill>
        </w:rPr>
        <w:t>9</w:t>
      </w:r>
      <w:r>
        <w:rPr>
          <w:rFonts w:hint="eastAsia" w:ascii="宋体" w:eastAsia="宋体"/>
          <w:color w:val="000000" w:themeColor="text1"/>
          <w:sz w:val="28"/>
          <w14:textFill>
            <w14:solidFill>
              <w14:schemeClr w14:val="tx1"/>
            </w14:solidFill>
          </w14:textFill>
        </w:rPr>
        <w:t>月</w:t>
      </w:r>
      <w:r>
        <w:rPr>
          <w:rFonts w:hint="eastAsia" w:ascii="宋体" w:eastAsia="宋体"/>
          <w:color w:val="000000" w:themeColor="text1"/>
          <w:sz w:val="28"/>
          <w:lang w:val="en-US" w:eastAsia="zh-CN"/>
          <w14:textFill>
            <w14:solidFill>
              <w14:schemeClr w14:val="tx1"/>
            </w14:solidFill>
          </w14:textFill>
        </w:rPr>
        <w:t>4</w:t>
      </w:r>
      <w:r>
        <w:rPr>
          <w:rFonts w:hint="eastAsia" w:ascii="宋体" w:eastAsia="宋体"/>
          <w:color w:val="000000" w:themeColor="text1"/>
          <w:sz w:val="28"/>
          <w14:textFill>
            <w14:solidFill>
              <w14:schemeClr w14:val="tx1"/>
            </w14:solidFill>
          </w14:textFill>
        </w:rPr>
        <w:t>日</w:t>
      </w:r>
    </w:p>
    <w:p>
      <w:pPr>
        <w:spacing w:after="0" w:line="434" w:lineRule="auto"/>
        <w:jc w:val="left"/>
        <w:rPr>
          <w:rFonts w:hint="eastAsia" w:ascii="宋体" w:eastAsia="宋体"/>
          <w:color w:val="000000" w:themeColor="text1"/>
          <w:sz w:val="28"/>
          <w14:textFill>
            <w14:solidFill>
              <w14:schemeClr w14:val="tx1"/>
            </w14:solidFill>
          </w14:textFill>
        </w:rPr>
        <w:sectPr>
          <w:footerReference r:id="rId12" w:type="default"/>
          <w:pgSz w:w="11910" w:h="16840"/>
          <w:pgMar w:top="1460" w:right="1040" w:bottom="880" w:left="1040" w:header="0" w:footer="683" w:gutter="0"/>
          <w:pgNumType w:start="53"/>
        </w:sectPr>
      </w:pPr>
    </w:p>
    <w:p>
      <w:pPr>
        <w:pStyle w:val="2"/>
        <w:ind w:left="760"/>
        <w:rPr>
          <w:rFonts w:hint="eastAsia" w:eastAsia="宋体"/>
          <w:sz w:val="20"/>
          <w:lang w:eastAsia="zh-CN"/>
        </w:rPr>
      </w:pPr>
      <w:bookmarkStart w:id="198" w:name="附件2万安县环境保护局《关于万安县宝田水电站工程环境影响报告书审查意见的函》（万"/>
      <w:bookmarkEnd w:id="198"/>
      <w:bookmarkStart w:id="199" w:name="_bookmark38"/>
      <w:bookmarkEnd w:id="199"/>
      <w:r>
        <w:rPr>
          <w:b/>
          <w:sz w:val="24"/>
        </w:rPr>
        <w:t xml:space="preserve">附件 </w:t>
      </w:r>
      <w:r>
        <w:rPr>
          <w:rFonts w:ascii="Times New Roman" w:eastAsia="Times New Roman"/>
          <w:b/>
          <w:sz w:val="24"/>
        </w:rPr>
        <w:t xml:space="preserve">2 </w:t>
      </w:r>
      <w:r>
        <w:rPr>
          <w:rFonts w:hint="eastAsia" w:ascii="Times New Roman" w:eastAsia="宋体"/>
          <w:b/>
          <w:sz w:val="24"/>
          <w:lang w:eastAsia="zh-CN"/>
        </w:rPr>
        <w:t>环评批复</w:t>
      </w:r>
    </w:p>
    <w:p>
      <w:pPr>
        <w:spacing w:after="0"/>
        <w:sectPr>
          <w:pgSz w:w="11910" w:h="16840"/>
          <w:pgMar w:top="1540" w:right="1040" w:bottom="880" w:left="1040" w:header="0" w:footer="683" w:gutter="0"/>
        </w:sectPr>
      </w:pPr>
      <w:r>
        <w:drawing>
          <wp:inline distT="0" distB="0" distL="114300" distR="114300">
            <wp:extent cx="6238875" cy="7665085"/>
            <wp:effectExtent l="0" t="0" r="9525"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1"/>
                    <a:stretch>
                      <a:fillRect/>
                    </a:stretch>
                  </pic:blipFill>
                  <pic:spPr>
                    <a:xfrm>
                      <a:off x="0" y="0"/>
                      <a:ext cx="6238875" cy="7665085"/>
                    </a:xfrm>
                    <a:prstGeom prst="rect">
                      <a:avLst/>
                    </a:prstGeom>
                    <a:noFill/>
                    <a:ln>
                      <a:noFill/>
                    </a:ln>
                  </pic:spPr>
                </pic:pic>
              </a:graphicData>
            </a:graphic>
          </wp:inline>
        </w:drawing>
      </w:r>
      <w:r>
        <w:drawing>
          <wp:inline distT="0" distB="0" distL="114300" distR="114300">
            <wp:extent cx="6237605" cy="8493760"/>
            <wp:effectExtent l="0" t="0" r="10795" b="254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2"/>
                    <a:stretch>
                      <a:fillRect/>
                    </a:stretch>
                  </pic:blipFill>
                  <pic:spPr>
                    <a:xfrm>
                      <a:off x="0" y="0"/>
                      <a:ext cx="6237605" cy="8493760"/>
                    </a:xfrm>
                    <a:prstGeom prst="rect">
                      <a:avLst/>
                    </a:prstGeom>
                    <a:noFill/>
                    <a:ln>
                      <a:noFill/>
                    </a:ln>
                  </pic:spPr>
                </pic:pic>
              </a:graphicData>
            </a:graphic>
          </wp:inline>
        </w:drawing>
      </w:r>
      <w:r>
        <w:drawing>
          <wp:inline distT="0" distB="0" distL="114300" distR="114300">
            <wp:extent cx="6236335" cy="8371840"/>
            <wp:effectExtent l="0" t="0" r="12065" b="1016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3"/>
                    <a:stretch>
                      <a:fillRect/>
                    </a:stretch>
                  </pic:blipFill>
                  <pic:spPr>
                    <a:xfrm>
                      <a:off x="0" y="0"/>
                      <a:ext cx="6236335" cy="8371840"/>
                    </a:xfrm>
                    <a:prstGeom prst="rect">
                      <a:avLst/>
                    </a:prstGeom>
                    <a:noFill/>
                    <a:ln>
                      <a:noFill/>
                    </a:ln>
                  </pic:spPr>
                </pic:pic>
              </a:graphicData>
            </a:graphic>
          </wp:inline>
        </w:drawing>
      </w:r>
      <w:r>
        <w:drawing>
          <wp:inline distT="0" distB="0" distL="114300" distR="114300">
            <wp:extent cx="6238875" cy="8090535"/>
            <wp:effectExtent l="0" t="0" r="9525" b="571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6238875" cy="8090535"/>
                    </a:xfrm>
                    <a:prstGeom prst="rect">
                      <a:avLst/>
                    </a:prstGeom>
                    <a:noFill/>
                    <a:ln>
                      <a:noFill/>
                    </a:ln>
                  </pic:spPr>
                </pic:pic>
              </a:graphicData>
            </a:graphic>
          </wp:inline>
        </w:drawing>
      </w:r>
      <w:r>
        <w:drawing>
          <wp:inline distT="0" distB="0" distL="114300" distR="114300">
            <wp:extent cx="6239510" cy="8149590"/>
            <wp:effectExtent l="0" t="0" r="8890" b="381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5"/>
                    <a:stretch>
                      <a:fillRect/>
                    </a:stretch>
                  </pic:blipFill>
                  <pic:spPr>
                    <a:xfrm>
                      <a:off x="0" y="0"/>
                      <a:ext cx="6239510" cy="8149590"/>
                    </a:xfrm>
                    <a:prstGeom prst="rect">
                      <a:avLst/>
                    </a:prstGeom>
                    <a:noFill/>
                    <a:ln>
                      <a:noFill/>
                    </a:ln>
                  </pic:spPr>
                </pic:pic>
              </a:graphicData>
            </a:graphic>
          </wp:inline>
        </w:drawing>
      </w:r>
    </w:p>
    <w:p>
      <w:pPr>
        <w:spacing w:after="0" w:line="434" w:lineRule="auto"/>
        <w:jc w:val="left"/>
        <w:rPr>
          <w:rFonts w:hint="eastAsia" w:ascii="宋体" w:eastAsia="宋体"/>
          <w:sz w:val="28"/>
        </w:rPr>
        <w:sectPr>
          <w:footerReference r:id="rId13" w:type="default"/>
          <w:type w:val="continuous"/>
          <w:pgSz w:w="11910" w:h="16840"/>
          <w:pgMar w:top="1460" w:right="1040" w:bottom="880" w:left="1040" w:header="0" w:footer="683" w:gutter="0"/>
          <w:pgNumType w:start="53"/>
        </w:sectPr>
      </w:pPr>
      <w:bookmarkStart w:id="200" w:name="_bookmark39"/>
      <w:bookmarkEnd w:id="200"/>
      <w:bookmarkStart w:id="201" w:name="附件3工况证明"/>
      <w:bookmarkEnd w:id="201"/>
    </w:p>
    <w:p>
      <w:pPr>
        <w:spacing w:before="52"/>
        <w:ind w:left="760" w:right="0" w:firstLine="0"/>
        <w:jc w:val="left"/>
        <w:rPr>
          <w:b/>
          <w:spacing w:val="-21"/>
          <w:sz w:val="24"/>
        </w:rPr>
      </w:pPr>
    </w:p>
    <w:p>
      <w:pPr>
        <w:spacing w:before="52"/>
        <w:ind w:right="0"/>
        <w:jc w:val="left"/>
        <w:rPr>
          <w:b/>
          <w:spacing w:val="-21"/>
          <w:sz w:val="24"/>
        </w:rPr>
      </w:pPr>
    </w:p>
    <w:p>
      <w:pPr>
        <w:spacing w:before="52"/>
        <w:ind w:left="760" w:right="0" w:firstLine="0"/>
        <w:jc w:val="left"/>
        <w:rPr>
          <w:b/>
          <w:sz w:val="42"/>
        </w:rPr>
      </w:pPr>
      <w:r>
        <w:rPr>
          <w:b/>
          <w:spacing w:val="-21"/>
          <w:sz w:val="24"/>
        </w:rPr>
        <w:t xml:space="preserve">附件 </w:t>
      </w:r>
      <w:r>
        <w:rPr>
          <w:rFonts w:ascii="Times New Roman" w:eastAsia="Times New Roman"/>
          <w:b/>
          <w:sz w:val="24"/>
        </w:rPr>
        <w:t xml:space="preserve">3 </w:t>
      </w:r>
      <w:r>
        <w:rPr>
          <w:b/>
          <w:spacing w:val="-5"/>
          <w:sz w:val="24"/>
        </w:rPr>
        <w:t>工况证明</w:t>
      </w:r>
    </w:p>
    <w:p>
      <w:pPr>
        <w:spacing w:before="0"/>
        <w:ind w:left="629" w:right="0" w:firstLine="0"/>
        <w:jc w:val="left"/>
        <w:rPr>
          <w:rFonts w:hint="eastAsia" w:ascii="宋体" w:eastAsia="宋体"/>
          <w:sz w:val="36"/>
        </w:rPr>
      </w:pPr>
    </w:p>
    <w:p>
      <w:pPr>
        <w:pStyle w:val="2"/>
        <w:spacing w:before="1"/>
        <w:jc w:val="center"/>
        <w:rPr>
          <w:rFonts w:ascii="宋体"/>
          <w:sz w:val="14"/>
        </w:rPr>
      </w:pPr>
      <w:r>
        <w:rPr>
          <w:rFonts w:hint="eastAsia" w:ascii="宋体" w:eastAsia="宋体"/>
          <w:sz w:val="36"/>
        </w:rPr>
        <w:t>验收监测期间生产工况说明</w:t>
      </w:r>
    </w:p>
    <w:p>
      <w:pPr>
        <w:spacing w:before="62"/>
        <w:ind w:right="0"/>
        <w:jc w:val="left"/>
        <w:rPr>
          <w:rFonts w:hint="eastAsia" w:ascii="宋体" w:eastAsia="宋体"/>
          <w:color w:val="000000" w:themeColor="text1"/>
          <w:sz w:val="28"/>
          <w14:textFill>
            <w14:solidFill>
              <w14:schemeClr w14:val="tx1"/>
            </w14:solidFill>
          </w14:textFill>
        </w:rPr>
      </w:pPr>
      <w:r>
        <w:rPr>
          <w:rFonts w:hint="eastAsia" w:ascii="宋体" w:eastAsia="宋体"/>
          <w:color w:val="000000" w:themeColor="text1"/>
          <w:sz w:val="28"/>
          <w14:textFill>
            <w14:solidFill>
              <w14:schemeClr w14:val="tx1"/>
            </w14:solidFill>
          </w14:textFill>
        </w:rPr>
        <w:t>江西</w:t>
      </w:r>
      <w:r>
        <w:rPr>
          <w:rFonts w:hint="eastAsia" w:ascii="宋体" w:eastAsia="宋体"/>
          <w:color w:val="000000" w:themeColor="text1"/>
          <w:sz w:val="28"/>
          <w:lang w:eastAsia="zh-CN"/>
          <w14:textFill>
            <w14:solidFill>
              <w14:schemeClr w14:val="tx1"/>
            </w14:solidFill>
          </w14:textFill>
        </w:rPr>
        <w:t>中明环境检测</w:t>
      </w:r>
      <w:r>
        <w:rPr>
          <w:rFonts w:hint="eastAsia" w:ascii="宋体" w:eastAsia="宋体"/>
          <w:color w:val="000000" w:themeColor="text1"/>
          <w:sz w:val="28"/>
          <w14:textFill>
            <w14:solidFill>
              <w14:schemeClr w14:val="tx1"/>
            </w14:solidFill>
          </w14:textFill>
        </w:rPr>
        <w:t>有限公司：</w:t>
      </w:r>
    </w:p>
    <w:p>
      <w:pPr>
        <w:pStyle w:val="2"/>
        <w:spacing w:before="12"/>
        <w:rPr>
          <w:rFonts w:ascii="宋体"/>
          <w:sz w:val="22"/>
        </w:rPr>
      </w:pPr>
    </w:p>
    <w:p>
      <w:pPr>
        <w:spacing w:before="0"/>
        <w:ind w:right="0" w:firstLine="560" w:firstLineChars="200"/>
        <w:jc w:val="left"/>
        <w:rPr>
          <w:rFonts w:hint="eastAsia" w:ascii="宋体" w:eastAsia="宋体"/>
          <w:sz w:val="28"/>
        </w:rPr>
      </w:pPr>
      <w:r>
        <w:rPr>
          <w:rFonts w:hint="eastAsia" w:ascii="宋体" w:eastAsia="宋体"/>
          <w:sz w:val="28"/>
        </w:rPr>
        <w:t>我单位对监测期间生产工况说明做如下说明：</w:t>
      </w:r>
    </w:p>
    <w:p>
      <w:pPr>
        <w:pStyle w:val="2"/>
        <w:rPr>
          <w:rFonts w:ascii="宋体"/>
          <w:sz w:val="28"/>
        </w:rPr>
      </w:pPr>
    </w:p>
    <w:p>
      <w:pPr>
        <w:spacing w:before="227"/>
        <w:ind w:left="4470" w:right="3913" w:firstLine="0"/>
        <w:jc w:val="center"/>
        <w:rPr>
          <w:rFonts w:hint="eastAsia" w:ascii="宋体" w:eastAsia="宋体"/>
          <w:b/>
          <w:sz w:val="28"/>
        </w:rPr>
      </w:pPr>
      <w:r>
        <w:rPr>
          <w:rFonts w:hint="eastAsia" w:ascii="宋体" w:eastAsia="宋体"/>
          <w:b/>
          <w:sz w:val="28"/>
        </w:rPr>
        <w:t>生产负荷表</w:t>
      </w:r>
    </w:p>
    <w:p>
      <w:pPr>
        <w:pStyle w:val="2"/>
        <w:spacing w:before="5"/>
        <w:rPr>
          <w:rFonts w:ascii="宋体"/>
          <w:b/>
          <w:sz w:val="11"/>
        </w:rPr>
      </w:pPr>
    </w:p>
    <w:tbl>
      <w:tblPr>
        <w:tblStyle w:val="13"/>
        <w:tblW w:w="0" w:type="auto"/>
        <w:tblInd w:w="1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54"/>
        <w:gridCol w:w="1433"/>
        <w:gridCol w:w="1995"/>
        <w:gridCol w:w="2010"/>
        <w:gridCol w:w="15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7" w:hRule="atLeast"/>
        </w:trPr>
        <w:tc>
          <w:tcPr>
            <w:tcW w:w="2554" w:type="dxa"/>
          </w:tcPr>
          <w:p>
            <w:pPr>
              <w:pStyle w:val="19"/>
              <w:rPr>
                <w:rFonts w:ascii="宋体"/>
                <w:b/>
                <w:sz w:val="28"/>
              </w:rPr>
            </w:pPr>
          </w:p>
          <w:p>
            <w:pPr>
              <w:pStyle w:val="19"/>
              <w:spacing w:before="11"/>
              <w:rPr>
                <w:rFonts w:ascii="宋体"/>
                <w:b/>
                <w:sz w:val="30"/>
              </w:rPr>
            </w:pPr>
          </w:p>
          <w:p>
            <w:pPr>
              <w:pStyle w:val="19"/>
              <w:spacing w:before="1"/>
              <w:ind w:left="105" w:right="94"/>
              <w:jc w:val="center"/>
              <w:rPr>
                <w:rFonts w:hint="eastAsia" w:ascii="宋体" w:eastAsia="宋体"/>
                <w:sz w:val="28"/>
              </w:rPr>
            </w:pPr>
            <w:r>
              <w:rPr>
                <w:rFonts w:hint="eastAsia" w:ascii="宋体" w:eastAsia="宋体"/>
                <w:sz w:val="28"/>
              </w:rPr>
              <w:t>时间</w:t>
            </w:r>
          </w:p>
        </w:tc>
        <w:tc>
          <w:tcPr>
            <w:tcW w:w="1433" w:type="dxa"/>
          </w:tcPr>
          <w:p>
            <w:pPr>
              <w:pStyle w:val="19"/>
              <w:rPr>
                <w:rFonts w:ascii="宋体"/>
                <w:b/>
                <w:sz w:val="28"/>
              </w:rPr>
            </w:pPr>
          </w:p>
          <w:p>
            <w:pPr>
              <w:pStyle w:val="19"/>
              <w:spacing w:before="11"/>
              <w:rPr>
                <w:rFonts w:ascii="宋体"/>
                <w:b/>
                <w:sz w:val="30"/>
              </w:rPr>
            </w:pPr>
          </w:p>
          <w:p>
            <w:pPr>
              <w:pStyle w:val="19"/>
              <w:spacing w:before="1"/>
              <w:ind w:left="136" w:right="126"/>
              <w:jc w:val="center"/>
              <w:rPr>
                <w:rFonts w:hint="eastAsia" w:ascii="宋体" w:eastAsia="宋体"/>
                <w:sz w:val="28"/>
              </w:rPr>
            </w:pPr>
            <w:r>
              <w:rPr>
                <w:rFonts w:hint="eastAsia" w:ascii="宋体" w:eastAsia="宋体"/>
                <w:sz w:val="28"/>
              </w:rPr>
              <w:t>物料名称</w:t>
            </w:r>
          </w:p>
        </w:tc>
        <w:tc>
          <w:tcPr>
            <w:tcW w:w="1995" w:type="dxa"/>
          </w:tcPr>
          <w:p>
            <w:pPr>
              <w:pStyle w:val="19"/>
              <w:spacing w:before="5"/>
              <w:rPr>
                <w:rFonts w:ascii="宋体"/>
                <w:b/>
                <w:sz w:val="33"/>
              </w:rPr>
            </w:pPr>
          </w:p>
          <w:p>
            <w:pPr>
              <w:pStyle w:val="19"/>
              <w:ind w:left="24" w:right="15"/>
              <w:jc w:val="center"/>
              <w:rPr>
                <w:rFonts w:hint="eastAsia" w:ascii="宋体" w:eastAsia="宋体"/>
                <w:sz w:val="28"/>
              </w:rPr>
            </w:pPr>
            <w:r>
              <w:rPr>
                <w:rFonts w:hint="eastAsia" w:ascii="宋体" w:eastAsia="宋体"/>
                <w:sz w:val="28"/>
              </w:rPr>
              <w:t>设计产量</w:t>
            </w:r>
          </w:p>
          <w:p>
            <w:pPr>
              <w:pStyle w:val="19"/>
              <w:spacing w:before="10"/>
              <w:rPr>
                <w:rFonts w:ascii="宋体"/>
                <w:b/>
                <w:sz w:val="22"/>
              </w:rPr>
            </w:pPr>
          </w:p>
          <w:p>
            <w:pPr>
              <w:pStyle w:val="19"/>
              <w:ind w:left="89" w:right="15"/>
              <w:jc w:val="center"/>
              <w:rPr>
                <w:rFonts w:hint="eastAsia" w:ascii="宋体" w:hAnsi="宋体" w:eastAsia="宋体"/>
                <w:sz w:val="28"/>
              </w:rPr>
            </w:pPr>
            <w:r>
              <w:rPr>
                <w:rFonts w:hint="eastAsia" w:ascii="宋体" w:hAnsi="宋体" w:eastAsia="宋体"/>
                <w:sz w:val="28"/>
              </w:rPr>
              <w:t>（</w:t>
            </w:r>
            <w:r>
              <w:rPr>
                <w:rFonts w:hint="eastAsia" w:ascii="宋体" w:hAnsi="宋体" w:eastAsia="宋体"/>
                <w:spacing w:val="69"/>
                <w:sz w:val="28"/>
              </w:rPr>
              <w:t>万</w:t>
            </w:r>
            <w:r>
              <w:rPr>
                <w:rFonts w:ascii="Times New Roman" w:hAnsi="Times New Roman" w:eastAsia="Times New Roman"/>
                <w:sz w:val="28"/>
              </w:rPr>
              <w:t>kw·h/</w:t>
            </w:r>
            <w:r>
              <w:rPr>
                <w:rFonts w:hint="eastAsia" w:ascii="宋体" w:hAnsi="宋体" w:eastAsia="宋体"/>
                <w:spacing w:val="-3"/>
                <w:sz w:val="28"/>
              </w:rPr>
              <w:t>天</w:t>
            </w:r>
            <w:r>
              <w:rPr>
                <w:rFonts w:hint="eastAsia" w:ascii="宋体" w:hAnsi="宋体" w:eastAsia="宋体"/>
                <w:sz w:val="28"/>
              </w:rPr>
              <w:t>）</w:t>
            </w:r>
          </w:p>
        </w:tc>
        <w:tc>
          <w:tcPr>
            <w:tcW w:w="2010" w:type="dxa"/>
          </w:tcPr>
          <w:p>
            <w:pPr>
              <w:pStyle w:val="19"/>
              <w:spacing w:before="9"/>
              <w:rPr>
                <w:rFonts w:ascii="宋体"/>
                <w:b/>
                <w:sz w:val="28"/>
              </w:rPr>
            </w:pPr>
          </w:p>
          <w:p>
            <w:pPr>
              <w:pStyle w:val="19"/>
              <w:spacing w:before="1"/>
              <w:ind w:left="443"/>
              <w:rPr>
                <w:rFonts w:hint="eastAsia" w:ascii="宋体" w:eastAsia="宋体"/>
                <w:sz w:val="28"/>
              </w:rPr>
            </w:pPr>
            <w:r>
              <w:rPr>
                <w:rFonts w:hint="eastAsia" w:ascii="宋体" w:eastAsia="宋体"/>
                <w:sz w:val="28"/>
              </w:rPr>
              <w:t>实际产量</w:t>
            </w:r>
          </w:p>
          <w:p>
            <w:pPr>
              <w:pStyle w:val="19"/>
              <w:spacing w:before="9"/>
              <w:rPr>
                <w:rFonts w:ascii="宋体"/>
                <w:b/>
                <w:sz w:val="22"/>
              </w:rPr>
            </w:pPr>
          </w:p>
          <w:p>
            <w:pPr>
              <w:pStyle w:val="19"/>
              <w:ind w:left="107" w:right="-15"/>
              <w:rPr>
                <w:rFonts w:hint="eastAsia" w:ascii="宋体" w:hAnsi="宋体" w:eastAsia="宋体"/>
                <w:sz w:val="28"/>
              </w:rPr>
            </w:pPr>
            <w:r>
              <w:rPr>
                <w:rFonts w:hint="eastAsia" w:ascii="宋体" w:hAnsi="宋体" w:eastAsia="宋体"/>
                <w:sz w:val="28"/>
              </w:rPr>
              <w:t>（</w:t>
            </w:r>
            <w:r>
              <w:rPr>
                <w:rFonts w:hint="eastAsia" w:ascii="宋体" w:hAnsi="宋体" w:eastAsia="宋体"/>
                <w:spacing w:val="69"/>
                <w:sz w:val="28"/>
              </w:rPr>
              <w:t>万</w:t>
            </w:r>
            <w:r>
              <w:rPr>
                <w:rFonts w:ascii="Times New Roman" w:hAnsi="Times New Roman" w:eastAsia="Times New Roman"/>
                <w:sz w:val="28"/>
              </w:rPr>
              <w:t>kw·h</w:t>
            </w:r>
            <w:r>
              <w:rPr>
                <w:rFonts w:hint="eastAsia" w:ascii="宋体" w:hAnsi="宋体" w:eastAsia="宋体"/>
                <w:sz w:val="28"/>
              </w:rPr>
              <w:t>/天</w:t>
            </w:r>
            <w:r>
              <w:rPr>
                <w:rFonts w:hint="eastAsia" w:ascii="宋体" w:hAnsi="宋体" w:eastAsia="宋体"/>
                <w:spacing w:val="-13"/>
                <w:sz w:val="28"/>
              </w:rPr>
              <w:t>）</w:t>
            </w:r>
          </w:p>
        </w:tc>
        <w:tc>
          <w:tcPr>
            <w:tcW w:w="1588" w:type="dxa"/>
          </w:tcPr>
          <w:p>
            <w:pPr>
              <w:pStyle w:val="19"/>
              <w:spacing w:before="9"/>
              <w:rPr>
                <w:rFonts w:ascii="宋体"/>
                <w:b/>
                <w:sz w:val="28"/>
              </w:rPr>
            </w:pPr>
          </w:p>
          <w:p>
            <w:pPr>
              <w:pStyle w:val="19"/>
              <w:spacing w:before="1"/>
              <w:ind w:left="214" w:right="204"/>
              <w:jc w:val="center"/>
              <w:rPr>
                <w:rFonts w:hint="eastAsia" w:ascii="宋体" w:eastAsia="宋体"/>
                <w:sz w:val="28"/>
              </w:rPr>
            </w:pPr>
            <w:r>
              <w:rPr>
                <w:rFonts w:hint="eastAsia" w:ascii="宋体" w:eastAsia="宋体"/>
                <w:sz w:val="28"/>
              </w:rPr>
              <w:t>生产负荷</w:t>
            </w:r>
          </w:p>
          <w:p>
            <w:pPr>
              <w:pStyle w:val="19"/>
              <w:spacing w:before="9"/>
              <w:rPr>
                <w:rFonts w:ascii="宋体"/>
                <w:b/>
                <w:sz w:val="22"/>
              </w:rPr>
            </w:pPr>
          </w:p>
          <w:p>
            <w:pPr>
              <w:pStyle w:val="19"/>
              <w:ind w:left="214" w:right="202"/>
              <w:jc w:val="center"/>
              <w:rPr>
                <w:rFonts w:hint="eastAsia" w:ascii="宋体" w:eastAsia="宋体"/>
                <w:sz w:val="28"/>
              </w:rPr>
            </w:pPr>
            <w:r>
              <w:rPr>
                <w:rFonts w:hint="eastAsia" w:ascii="宋体" w:eastAsia="宋体"/>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06" w:hRule="atLeast"/>
        </w:trPr>
        <w:tc>
          <w:tcPr>
            <w:tcW w:w="2554" w:type="dxa"/>
          </w:tcPr>
          <w:p>
            <w:pPr>
              <w:pStyle w:val="19"/>
              <w:spacing w:before="4"/>
              <w:rPr>
                <w:rFonts w:ascii="宋体"/>
                <w:b/>
                <w:sz w:val="25"/>
              </w:rPr>
            </w:pPr>
          </w:p>
          <w:p>
            <w:pPr>
              <w:pStyle w:val="19"/>
              <w:spacing w:before="1"/>
              <w:ind w:left="105" w:right="96"/>
              <w:jc w:val="center"/>
              <w:rPr>
                <w:rFonts w:hint="eastAsia" w:ascii="宋体" w:eastAsia="宋体"/>
                <w:sz w:val="28"/>
              </w:rPr>
            </w:pPr>
            <w:r>
              <w:rPr>
                <w:rFonts w:hint="eastAsia" w:ascii="宋体" w:eastAsia="宋体"/>
                <w:sz w:val="28"/>
              </w:rPr>
              <w:t>2020</w:t>
            </w:r>
            <w:r>
              <w:rPr>
                <w:rFonts w:hint="eastAsia" w:ascii="宋体" w:eastAsia="宋体"/>
                <w:spacing w:val="-47"/>
                <w:sz w:val="28"/>
              </w:rPr>
              <w:t>年</w:t>
            </w:r>
            <w:r>
              <w:rPr>
                <w:rFonts w:hint="eastAsia" w:ascii="宋体" w:eastAsia="宋体"/>
                <w:spacing w:val="-47"/>
                <w:sz w:val="28"/>
                <w:lang w:val="en-US" w:eastAsia="zh-CN"/>
              </w:rPr>
              <w:t>9</w:t>
            </w:r>
            <w:r>
              <w:rPr>
                <w:rFonts w:hint="eastAsia" w:ascii="宋体" w:eastAsia="宋体"/>
                <w:spacing w:val="-48"/>
                <w:sz w:val="28"/>
              </w:rPr>
              <w:t>月</w:t>
            </w:r>
            <w:r>
              <w:rPr>
                <w:rFonts w:hint="eastAsia" w:ascii="宋体" w:eastAsia="宋体"/>
                <w:spacing w:val="-48"/>
                <w:sz w:val="28"/>
                <w:lang w:val="en-US" w:eastAsia="zh-CN"/>
              </w:rPr>
              <w:t>3</w:t>
            </w:r>
            <w:r>
              <w:rPr>
                <w:rFonts w:hint="eastAsia" w:ascii="宋体" w:eastAsia="宋体"/>
                <w:spacing w:val="-36"/>
                <w:sz w:val="28"/>
              </w:rPr>
              <w:t>日</w:t>
            </w:r>
          </w:p>
        </w:tc>
        <w:tc>
          <w:tcPr>
            <w:tcW w:w="1433" w:type="dxa"/>
          </w:tcPr>
          <w:p>
            <w:pPr>
              <w:pStyle w:val="19"/>
              <w:spacing w:before="4"/>
              <w:rPr>
                <w:rFonts w:ascii="宋体"/>
                <w:b/>
                <w:sz w:val="25"/>
              </w:rPr>
            </w:pPr>
          </w:p>
          <w:p>
            <w:pPr>
              <w:pStyle w:val="19"/>
              <w:spacing w:before="1"/>
              <w:ind w:left="10"/>
              <w:jc w:val="center"/>
              <w:rPr>
                <w:rFonts w:hint="eastAsia" w:ascii="宋体" w:eastAsia="宋体"/>
                <w:sz w:val="28"/>
              </w:rPr>
            </w:pPr>
            <w:r>
              <w:rPr>
                <w:rFonts w:hint="eastAsia" w:ascii="宋体" w:eastAsia="宋体"/>
                <w:w w:val="100"/>
                <w:sz w:val="28"/>
              </w:rPr>
              <w:t>电</w:t>
            </w:r>
          </w:p>
        </w:tc>
        <w:tc>
          <w:tcPr>
            <w:tcW w:w="1995" w:type="dxa"/>
          </w:tcPr>
          <w:p>
            <w:pPr>
              <w:pStyle w:val="19"/>
              <w:spacing w:before="4"/>
              <w:rPr>
                <w:rFonts w:ascii="宋体"/>
                <w:b/>
                <w:sz w:val="25"/>
              </w:rPr>
            </w:pPr>
          </w:p>
          <w:p>
            <w:pPr>
              <w:pStyle w:val="19"/>
              <w:spacing w:before="1"/>
              <w:ind w:left="26" w:right="15"/>
              <w:jc w:val="center"/>
              <w:rPr>
                <w:rFonts w:hint="default" w:ascii="宋体" w:eastAsia="仿宋"/>
                <w:sz w:val="28"/>
                <w:lang w:val="en-US" w:eastAsia="zh-CN"/>
              </w:rPr>
            </w:pPr>
            <w:r>
              <w:rPr>
                <w:rFonts w:hint="eastAsia" w:ascii="宋体"/>
                <w:sz w:val="28"/>
                <w:lang w:val="en-US" w:eastAsia="zh-CN"/>
              </w:rPr>
              <w:t>1.41</w:t>
            </w:r>
          </w:p>
        </w:tc>
        <w:tc>
          <w:tcPr>
            <w:tcW w:w="2010" w:type="dxa"/>
          </w:tcPr>
          <w:p>
            <w:pPr>
              <w:pStyle w:val="19"/>
              <w:spacing w:before="4"/>
              <w:rPr>
                <w:rFonts w:ascii="宋体"/>
                <w:b/>
                <w:sz w:val="25"/>
              </w:rPr>
            </w:pPr>
          </w:p>
          <w:p>
            <w:pPr>
              <w:pStyle w:val="19"/>
              <w:spacing w:before="1"/>
              <w:ind w:left="704" w:right="695"/>
              <w:jc w:val="center"/>
              <w:rPr>
                <w:rFonts w:hint="default" w:ascii="宋体" w:eastAsia="仿宋"/>
                <w:sz w:val="28"/>
                <w:lang w:val="en-US" w:eastAsia="zh-CN"/>
              </w:rPr>
            </w:pPr>
            <w:r>
              <w:rPr>
                <w:rFonts w:hint="eastAsia" w:ascii="宋体"/>
                <w:sz w:val="28"/>
                <w:lang w:val="en-US" w:eastAsia="zh-CN"/>
              </w:rPr>
              <w:t>1.41</w:t>
            </w:r>
          </w:p>
        </w:tc>
        <w:tc>
          <w:tcPr>
            <w:tcW w:w="1588" w:type="dxa"/>
          </w:tcPr>
          <w:p>
            <w:pPr>
              <w:pStyle w:val="19"/>
              <w:spacing w:before="4"/>
              <w:rPr>
                <w:rFonts w:ascii="宋体"/>
                <w:b/>
                <w:sz w:val="25"/>
              </w:rPr>
            </w:pPr>
          </w:p>
          <w:p>
            <w:pPr>
              <w:pStyle w:val="19"/>
              <w:spacing w:before="1"/>
              <w:ind w:right="501"/>
              <w:jc w:val="right"/>
              <w:rPr>
                <w:rFonts w:hint="default" w:ascii="宋体" w:eastAsia="仿宋"/>
                <w:sz w:val="28"/>
                <w:lang w:val="en-US" w:eastAsia="zh-CN"/>
              </w:rPr>
            </w:pPr>
            <w:r>
              <w:rPr>
                <w:rFonts w:hint="eastAsia" w:ascii="宋体"/>
                <w:sz w:val="28"/>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5" w:hRule="atLeast"/>
        </w:trPr>
        <w:tc>
          <w:tcPr>
            <w:tcW w:w="2554" w:type="dxa"/>
          </w:tcPr>
          <w:p>
            <w:pPr>
              <w:pStyle w:val="19"/>
              <w:spacing w:before="5"/>
              <w:rPr>
                <w:rFonts w:ascii="宋体"/>
                <w:b/>
                <w:sz w:val="28"/>
              </w:rPr>
            </w:pPr>
          </w:p>
          <w:p>
            <w:pPr>
              <w:pStyle w:val="19"/>
              <w:ind w:left="105" w:right="96"/>
              <w:jc w:val="center"/>
              <w:rPr>
                <w:rFonts w:hint="eastAsia" w:ascii="宋体" w:eastAsia="宋体"/>
                <w:sz w:val="28"/>
              </w:rPr>
            </w:pPr>
            <w:r>
              <w:rPr>
                <w:rFonts w:hint="eastAsia" w:ascii="宋体" w:eastAsia="宋体"/>
                <w:sz w:val="28"/>
              </w:rPr>
              <w:t>2020</w:t>
            </w:r>
            <w:r>
              <w:rPr>
                <w:rFonts w:hint="eastAsia" w:ascii="宋体" w:eastAsia="宋体"/>
                <w:spacing w:val="-47"/>
                <w:sz w:val="28"/>
              </w:rPr>
              <w:t>年</w:t>
            </w:r>
            <w:r>
              <w:rPr>
                <w:rFonts w:hint="eastAsia" w:ascii="宋体" w:eastAsia="宋体"/>
                <w:spacing w:val="-47"/>
                <w:sz w:val="28"/>
                <w:lang w:val="en-US" w:eastAsia="zh-CN"/>
              </w:rPr>
              <w:t>9</w:t>
            </w:r>
            <w:r>
              <w:rPr>
                <w:rFonts w:hint="eastAsia" w:ascii="宋体" w:eastAsia="宋体"/>
                <w:spacing w:val="-48"/>
                <w:sz w:val="28"/>
              </w:rPr>
              <w:t>月</w:t>
            </w:r>
            <w:r>
              <w:rPr>
                <w:rFonts w:hint="eastAsia" w:ascii="宋体" w:eastAsia="宋体"/>
                <w:spacing w:val="-48"/>
                <w:sz w:val="28"/>
                <w:lang w:val="en-US" w:eastAsia="zh-CN"/>
              </w:rPr>
              <w:t>4</w:t>
            </w:r>
            <w:r>
              <w:rPr>
                <w:rFonts w:hint="eastAsia" w:ascii="宋体" w:eastAsia="宋体"/>
                <w:spacing w:val="-36"/>
                <w:sz w:val="28"/>
              </w:rPr>
              <w:t>日</w:t>
            </w:r>
          </w:p>
        </w:tc>
        <w:tc>
          <w:tcPr>
            <w:tcW w:w="1433" w:type="dxa"/>
          </w:tcPr>
          <w:p>
            <w:pPr>
              <w:pStyle w:val="19"/>
              <w:spacing w:before="5"/>
              <w:rPr>
                <w:rFonts w:ascii="宋体"/>
                <w:b/>
                <w:sz w:val="28"/>
              </w:rPr>
            </w:pPr>
          </w:p>
          <w:p>
            <w:pPr>
              <w:pStyle w:val="19"/>
              <w:ind w:left="10"/>
              <w:jc w:val="center"/>
              <w:rPr>
                <w:rFonts w:hint="eastAsia" w:ascii="宋体" w:eastAsia="宋体"/>
                <w:sz w:val="28"/>
              </w:rPr>
            </w:pPr>
            <w:r>
              <w:rPr>
                <w:rFonts w:hint="eastAsia" w:ascii="宋体" w:eastAsia="宋体"/>
                <w:w w:val="100"/>
                <w:sz w:val="28"/>
              </w:rPr>
              <w:t>电</w:t>
            </w:r>
          </w:p>
        </w:tc>
        <w:tc>
          <w:tcPr>
            <w:tcW w:w="1995" w:type="dxa"/>
          </w:tcPr>
          <w:p>
            <w:pPr>
              <w:pStyle w:val="19"/>
              <w:spacing w:before="5"/>
              <w:rPr>
                <w:rFonts w:ascii="宋体"/>
                <w:b/>
                <w:sz w:val="28"/>
              </w:rPr>
            </w:pPr>
          </w:p>
          <w:p>
            <w:pPr>
              <w:pStyle w:val="19"/>
              <w:ind w:left="26" w:right="15"/>
              <w:jc w:val="center"/>
              <w:rPr>
                <w:rFonts w:hint="default" w:ascii="宋体" w:eastAsia="仿宋"/>
                <w:sz w:val="28"/>
                <w:lang w:val="en-US" w:eastAsia="zh-CN"/>
              </w:rPr>
            </w:pPr>
            <w:r>
              <w:rPr>
                <w:rFonts w:hint="eastAsia" w:ascii="宋体"/>
                <w:sz w:val="28"/>
                <w:lang w:val="en-US" w:eastAsia="zh-CN"/>
              </w:rPr>
              <w:t>1.41</w:t>
            </w:r>
          </w:p>
        </w:tc>
        <w:tc>
          <w:tcPr>
            <w:tcW w:w="2010" w:type="dxa"/>
          </w:tcPr>
          <w:p>
            <w:pPr>
              <w:pStyle w:val="19"/>
              <w:spacing w:before="5"/>
              <w:rPr>
                <w:rFonts w:ascii="宋体"/>
                <w:b/>
                <w:sz w:val="28"/>
              </w:rPr>
            </w:pPr>
          </w:p>
          <w:p>
            <w:pPr>
              <w:pStyle w:val="19"/>
              <w:ind w:left="704" w:right="695"/>
              <w:jc w:val="center"/>
              <w:rPr>
                <w:rFonts w:hint="default" w:ascii="宋体" w:eastAsia="仿宋"/>
                <w:sz w:val="28"/>
                <w:lang w:val="en-US" w:eastAsia="zh-CN"/>
              </w:rPr>
            </w:pPr>
            <w:r>
              <w:rPr>
                <w:rFonts w:hint="eastAsia" w:ascii="宋体"/>
                <w:sz w:val="28"/>
                <w:lang w:val="en-US" w:eastAsia="zh-CN"/>
              </w:rPr>
              <w:t>1.41</w:t>
            </w:r>
          </w:p>
        </w:tc>
        <w:tc>
          <w:tcPr>
            <w:tcW w:w="1588" w:type="dxa"/>
          </w:tcPr>
          <w:p>
            <w:pPr>
              <w:pStyle w:val="19"/>
              <w:spacing w:before="5"/>
              <w:rPr>
                <w:rFonts w:ascii="宋体"/>
                <w:b/>
                <w:sz w:val="28"/>
              </w:rPr>
            </w:pPr>
          </w:p>
          <w:p>
            <w:pPr>
              <w:pStyle w:val="19"/>
              <w:ind w:right="501"/>
              <w:jc w:val="right"/>
              <w:rPr>
                <w:rFonts w:hint="default" w:ascii="宋体" w:eastAsia="仿宋"/>
                <w:sz w:val="28"/>
                <w:lang w:val="en-US" w:eastAsia="zh-CN"/>
              </w:rPr>
            </w:pPr>
            <w:r>
              <w:rPr>
                <w:rFonts w:hint="eastAsia" w:ascii="宋体"/>
                <w:sz w:val="28"/>
                <w:lang w:val="en-US" w:eastAsia="zh-CN"/>
              </w:rPr>
              <w:t>100</w:t>
            </w:r>
          </w:p>
        </w:tc>
      </w:tr>
    </w:tbl>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rPr>
          <w:rFonts w:ascii="宋体"/>
          <w:b/>
          <w:sz w:val="28"/>
        </w:rPr>
      </w:pPr>
    </w:p>
    <w:p>
      <w:pPr>
        <w:pStyle w:val="2"/>
        <w:spacing w:before="8"/>
        <w:rPr>
          <w:rFonts w:ascii="宋体"/>
          <w:b/>
          <w:sz w:val="21"/>
        </w:rPr>
      </w:pPr>
    </w:p>
    <w:p>
      <w:pPr>
        <w:spacing w:before="0"/>
        <w:ind w:left="5893" w:right="0" w:firstLine="0"/>
        <w:jc w:val="left"/>
        <w:rPr>
          <w:rFonts w:hint="default" w:ascii="宋体" w:eastAsia="宋体"/>
          <w:sz w:val="28"/>
          <w:lang w:val="en-US" w:eastAsia="zh-CN"/>
        </w:rPr>
      </w:pPr>
      <w:r>
        <w:rPr>
          <w:rFonts w:hint="eastAsia" w:ascii="宋体" w:eastAsia="宋体"/>
          <w:sz w:val="28"/>
        </w:rPr>
        <w:t>日期：2020.0</w:t>
      </w:r>
      <w:r>
        <w:rPr>
          <w:rFonts w:hint="eastAsia" w:ascii="宋体" w:eastAsia="宋体"/>
          <w:sz w:val="28"/>
          <w:lang w:val="en-US" w:eastAsia="zh-CN"/>
        </w:rPr>
        <w:t>9.04</w:t>
      </w:r>
    </w:p>
    <w:p>
      <w:pPr>
        <w:pStyle w:val="2"/>
        <w:spacing w:before="10"/>
        <w:rPr>
          <w:rFonts w:ascii="宋体"/>
          <w:sz w:val="22"/>
        </w:rPr>
      </w:pPr>
    </w:p>
    <w:p>
      <w:pPr>
        <w:spacing w:before="0"/>
        <w:ind w:left="6313" w:right="0" w:firstLine="0"/>
        <w:jc w:val="left"/>
        <w:rPr>
          <w:rFonts w:hint="eastAsia" w:ascii="宋体" w:eastAsia="宋体"/>
          <w:sz w:val="28"/>
        </w:rPr>
      </w:pPr>
      <w:r>
        <w:rPr>
          <w:rFonts w:hint="eastAsia" w:ascii="宋体" w:eastAsia="宋体"/>
          <w:sz w:val="28"/>
        </w:rPr>
        <w:t>（建设单位盖章）</w:t>
      </w:r>
    </w:p>
    <w:p>
      <w:pPr>
        <w:spacing w:after="0"/>
        <w:jc w:val="left"/>
        <w:rPr>
          <w:rFonts w:hint="eastAsia" w:ascii="宋体" w:eastAsia="宋体"/>
          <w:sz w:val="28"/>
        </w:rPr>
        <w:sectPr>
          <w:type w:val="continuous"/>
          <w:pgSz w:w="11910" w:h="16840"/>
          <w:pgMar w:top="1580" w:right="1040" w:bottom="280" w:left="1040" w:header="720" w:footer="720" w:gutter="0"/>
        </w:sectPr>
      </w:pPr>
    </w:p>
    <w:p>
      <w:pPr>
        <w:jc w:val="both"/>
        <w:rPr>
          <w:rFonts w:hint="default" w:ascii="Times New Roman" w:hAnsi="Times New Roman" w:cs="Times New Roman"/>
          <w:b/>
          <w:bCs/>
          <w:color w:val="000000"/>
          <w:sz w:val="72"/>
          <w:szCs w:val="72"/>
        </w:rPr>
      </w:pPr>
      <w:bookmarkStart w:id="202" w:name="附件4检测报告"/>
      <w:bookmarkEnd w:id="202"/>
      <w:bookmarkStart w:id="203" w:name="_bookmark40"/>
      <w:bookmarkEnd w:id="203"/>
      <w:r>
        <w:rPr>
          <w:b/>
          <w:sz w:val="24"/>
        </w:rPr>
        <w:t xml:space="preserve">附件 </w:t>
      </w:r>
      <w:r>
        <w:rPr>
          <w:rFonts w:ascii="Times New Roman" w:eastAsia="Times New Roman"/>
          <w:b/>
          <w:sz w:val="24"/>
        </w:rPr>
        <w:t xml:space="preserve">4 </w:t>
      </w:r>
      <w:r>
        <w:rPr>
          <w:b/>
          <w:sz w:val="24"/>
        </w:rPr>
        <w:t>检测报告</w:t>
      </w:r>
    </w:p>
    <w:p>
      <w:pPr>
        <w:spacing w:before="52"/>
        <w:ind w:left="760" w:right="0" w:firstLine="0"/>
        <w:jc w:val="left"/>
        <w:rPr>
          <w:b/>
          <w:sz w:val="24"/>
        </w:rPr>
      </w:pPr>
      <w:r>
        <w:drawing>
          <wp:inline distT="0" distB="0" distL="114300" distR="114300">
            <wp:extent cx="5733415" cy="8286750"/>
            <wp:effectExtent l="0" t="0" r="635"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6"/>
                    <a:stretch>
                      <a:fillRect/>
                    </a:stretch>
                  </pic:blipFill>
                  <pic:spPr>
                    <a:xfrm>
                      <a:off x="0" y="0"/>
                      <a:ext cx="5733415" cy="8286750"/>
                    </a:xfrm>
                    <a:prstGeom prst="rect">
                      <a:avLst/>
                    </a:prstGeom>
                    <a:noFill/>
                    <a:ln>
                      <a:noFill/>
                    </a:ln>
                  </pic:spPr>
                </pic:pic>
              </a:graphicData>
            </a:graphic>
          </wp:inline>
        </w:drawing>
      </w:r>
    </w:p>
    <w:p>
      <w:pPr>
        <w:spacing w:after="0"/>
        <w:jc w:val="left"/>
      </w:pPr>
      <w:r>
        <w:drawing>
          <wp:inline distT="0" distB="0" distL="114300" distR="114300">
            <wp:extent cx="6076950" cy="8324850"/>
            <wp:effectExtent l="0" t="0" r="0"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27"/>
                    <a:stretch>
                      <a:fillRect/>
                    </a:stretch>
                  </pic:blipFill>
                  <pic:spPr>
                    <a:xfrm>
                      <a:off x="0" y="0"/>
                      <a:ext cx="6076950" cy="8324850"/>
                    </a:xfrm>
                    <a:prstGeom prst="rect">
                      <a:avLst/>
                    </a:prstGeom>
                    <a:noFill/>
                    <a:ln>
                      <a:noFill/>
                    </a:ln>
                  </pic:spPr>
                </pic:pic>
              </a:graphicData>
            </a:graphic>
          </wp:inline>
        </w:drawing>
      </w:r>
      <w:r>
        <w:drawing>
          <wp:inline distT="0" distB="0" distL="114300" distR="114300">
            <wp:extent cx="6105525" cy="8286750"/>
            <wp:effectExtent l="0" t="0" r="9525"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8"/>
                    <a:stretch>
                      <a:fillRect/>
                    </a:stretch>
                  </pic:blipFill>
                  <pic:spPr>
                    <a:xfrm>
                      <a:off x="0" y="0"/>
                      <a:ext cx="6105525" cy="8286750"/>
                    </a:xfrm>
                    <a:prstGeom prst="rect">
                      <a:avLst/>
                    </a:prstGeom>
                    <a:noFill/>
                    <a:ln>
                      <a:noFill/>
                    </a:ln>
                  </pic:spPr>
                </pic:pic>
              </a:graphicData>
            </a:graphic>
          </wp:inline>
        </w:drawing>
      </w:r>
      <w:r>
        <w:drawing>
          <wp:inline distT="0" distB="0" distL="114300" distR="114300">
            <wp:extent cx="6057900" cy="8305800"/>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9"/>
                    <a:stretch>
                      <a:fillRect/>
                    </a:stretch>
                  </pic:blipFill>
                  <pic:spPr>
                    <a:xfrm>
                      <a:off x="0" y="0"/>
                      <a:ext cx="6057900" cy="8305800"/>
                    </a:xfrm>
                    <a:prstGeom prst="rect">
                      <a:avLst/>
                    </a:prstGeom>
                    <a:noFill/>
                    <a:ln>
                      <a:noFill/>
                    </a:ln>
                  </pic:spPr>
                </pic:pic>
              </a:graphicData>
            </a:graphic>
          </wp:inline>
        </w:drawing>
      </w:r>
      <w:r>
        <w:t>附件</w:t>
      </w:r>
      <w:r>
        <w:rPr>
          <w:spacing w:val="-54"/>
        </w:rPr>
        <w:t xml:space="preserve"> </w:t>
      </w:r>
      <w:r>
        <w:rPr>
          <w:rFonts w:ascii="Times New Roman" w:eastAsia="Times New Roman"/>
        </w:rPr>
        <w:t>5</w:t>
      </w:r>
      <w:r>
        <w:t>：项目</w:t>
      </w:r>
      <w:r>
        <w:rPr>
          <w:rFonts w:hint="eastAsia"/>
          <w:lang w:eastAsia="zh-CN"/>
        </w:rPr>
        <w:t>危险废物协议</w:t>
      </w:r>
      <w:r>
        <w:drawing>
          <wp:inline distT="0" distB="0" distL="114300" distR="114300">
            <wp:extent cx="6086475" cy="8229600"/>
            <wp:effectExtent l="0" t="0" r="9525"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30"/>
                    <a:stretch>
                      <a:fillRect/>
                    </a:stretch>
                  </pic:blipFill>
                  <pic:spPr>
                    <a:xfrm>
                      <a:off x="0" y="0"/>
                      <a:ext cx="6086475" cy="8229600"/>
                    </a:xfrm>
                    <a:prstGeom prst="rect">
                      <a:avLst/>
                    </a:prstGeom>
                    <a:noFill/>
                    <a:ln>
                      <a:noFill/>
                    </a:ln>
                  </pic:spPr>
                </pic:pic>
              </a:graphicData>
            </a:graphic>
          </wp:inline>
        </w:drawing>
      </w:r>
      <w:r>
        <w:drawing>
          <wp:inline distT="0" distB="0" distL="114300" distR="114300">
            <wp:extent cx="6048375" cy="8305800"/>
            <wp:effectExtent l="0" t="0" r="9525" b="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31"/>
                    <a:stretch>
                      <a:fillRect/>
                    </a:stretch>
                  </pic:blipFill>
                  <pic:spPr>
                    <a:xfrm>
                      <a:off x="0" y="0"/>
                      <a:ext cx="6048375" cy="8305800"/>
                    </a:xfrm>
                    <a:prstGeom prst="rect">
                      <a:avLst/>
                    </a:prstGeom>
                    <a:noFill/>
                    <a:ln>
                      <a:noFill/>
                    </a:ln>
                  </pic:spPr>
                </pic:pic>
              </a:graphicData>
            </a:graphic>
          </wp:inline>
        </w:drawing>
      </w:r>
      <w:r>
        <w:drawing>
          <wp:inline distT="0" distB="0" distL="114300" distR="114300">
            <wp:extent cx="6048375" cy="8277225"/>
            <wp:effectExtent l="0" t="0" r="9525" b="952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32"/>
                    <a:stretch>
                      <a:fillRect/>
                    </a:stretch>
                  </pic:blipFill>
                  <pic:spPr>
                    <a:xfrm>
                      <a:off x="0" y="0"/>
                      <a:ext cx="6048375" cy="8277225"/>
                    </a:xfrm>
                    <a:prstGeom prst="rect">
                      <a:avLst/>
                    </a:prstGeom>
                    <a:noFill/>
                    <a:ln>
                      <a:noFill/>
                    </a:ln>
                  </pic:spPr>
                </pic:pic>
              </a:graphicData>
            </a:graphic>
          </wp:inline>
        </w:drawing>
      </w:r>
    </w:p>
    <w:p>
      <w:pPr>
        <w:sectPr>
          <w:footerReference r:id="rId14" w:type="default"/>
          <w:pgSz w:w="11910" w:h="16840"/>
          <w:pgMar w:top="1460" w:right="1040" w:bottom="1000" w:left="1040" w:header="0" w:footer="683" w:gutter="0"/>
        </w:sectPr>
      </w:pPr>
    </w:p>
    <w:p>
      <w:pPr>
        <w:pStyle w:val="2"/>
        <w:rPr>
          <w:b/>
          <w:bCs/>
        </w:rPr>
      </w:pPr>
      <w:r>
        <w:rPr>
          <w:b/>
          <w:bCs/>
        </w:rPr>
        <w:t>附件</w:t>
      </w:r>
      <w:r>
        <w:rPr>
          <w:b/>
          <w:bCs/>
          <w:spacing w:val="-54"/>
        </w:rPr>
        <w:t xml:space="preserve"> </w:t>
      </w:r>
      <w:r>
        <w:rPr>
          <w:rFonts w:ascii="Times New Roman" w:eastAsia="Times New Roman"/>
          <w:b/>
          <w:bCs/>
        </w:rPr>
        <w:t>5</w:t>
      </w:r>
      <w:r>
        <w:rPr>
          <w:b/>
          <w:bCs/>
        </w:rPr>
        <w:t>：项目</w:t>
      </w:r>
      <w:r>
        <w:rPr>
          <w:rFonts w:hint="eastAsia"/>
          <w:b/>
          <w:bCs/>
          <w:lang w:eastAsia="zh-CN"/>
        </w:rPr>
        <w:t>危险废物协议</w:t>
      </w:r>
    </w:p>
    <w:p>
      <w:r>
        <w:drawing>
          <wp:inline distT="0" distB="0" distL="114300" distR="114300">
            <wp:extent cx="6240145" cy="8785860"/>
            <wp:effectExtent l="0" t="0" r="8255" b="1524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3"/>
                    <a:stretch>
                      <a:fillRect/>
                    </a:stretch>
                  </pic:blipFill>
                  <pic:spPr>
                    <a:xfrm>
                      <a:off x="0" y="0"/>
                      <a:ext cx="6240145" cy="8785860"/>
                    </a:xfrm>
                    <a:prstGeom prst="rect">
                      <a:avLst/>
                    </a:prstGeom>
                    <a:noFill/>
                    <a:ln>
                      <a:noFill/>
                    </a:ln>
                  </pic:spPr>
                </pic:pic>
              </a:graphicData>
            </a:graphic>
          </wp:inline>
        </w:drawing>
      </w:r>
      <w:r>
        <w:drawing>
          <wp:inline distT="0" distB="0" distL="114300" distR="114300">
            <wp:extent cx="6240145" cy="8665845"/>
            <wp:effectExtent l="0" t="0" r="8255" b="190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4"/>
                    <a:stretch>
                      <a:fillRect/>
                    </a:stretch>
                  </pic:blipFill>
                  <pic:spPr>
                    <a:xfrm>
                      <a:off x="0" y="0"/>
                      <a:ext cx="6240145" cy="8665845"/>
                    </a:xfrm>
                    <a:prstGeom prst="rect">
                      <a:avLst/>
                    </a:prstGeom>
                    <a:noFill/>
                    <a:ln>
                      <a:noFill/>
                    </a:ln>
                  </pic:spPr>
                </pic:pic>
              </a:graphicData>
            </a:graphic>
          </wp:inline>
        </w:drawing>
      </w:r>
      <w:r>
        <w:drawing>
          <wp:inline distT="0" distB="0" distL="114300" distR="114300">
            <wp:extent cx="6235700" cy="8669655"/>
            <wp:effectExtent l="0" t="0" r="12700" b="17145"/>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35"/>
                    <a:stretch>
                      <a:fillRect/>
                    </a:stretch>
                  </pic:blipFill>
                  <pic:spPr>
                    <a:xfrm>
                      <a:off x="0" y="0"/>
                      <a:ext cx="6235700" cy="8669655"/>
                    </a:xfrm>
                    <a:prstGeom prst="rect">
                      <a:avLst/>
                    </a:prstGeom>
                    <a:noFill/>
                    <a:ln>
                      <a:noFill/>
                    </a:ln>
                  </pic:spPr>
                </pic:pic>
              </a:graphicData>
            </a:graphic>
          </wp:inline>
        </w:drawing>
      </w:r>
    </w:p>
    <w:p>
      <w:pPr>
        <w:pStyle w:val="2"/>
      </w:pPr>
    </w:p>
    <w:p>
      <w:pPr>
        <w:sectPr>
          <w:footerReference r:id="rId15" w:type="default"/>
          <w:pgSz w:w="11910" w:h="16840"/>
          <w:pgMar w:top="1460" w:right="1040" w:bottom="1000" w:left="1040" w:header="0" w:footer="683" w:gutter="0"/>
        </w:sectPr>
      </w:pPr>
    </w:p>
    <w:p>
      <w:pPr>
        <w:pStyle w:val="2"/>
      </w:pPr>
    </w:p>
    <w:p>
      <w:pPr>
        <w:spacing w:before="46"/>
        <w:ind w:left="560" w:right="0" w:firstLine="0"/>
        <w:jc w:val="left"/>
        <w:rPr>
          <w:b/>
          <w:sz w:val="24"/>
        </w:rPr>
      </w:pPr>
      <w:bookmarkStart w:id="204" w:name="_bookmark42"/>
      <w:bookmarkEnd w:id="204"/>
      <w:bookmarkStart w:id="205" w:name="附图1项目地理位置图"/>
      <w:bookmarkEnd w:id="205"/>
      <w:bookmarkStart w:id="206" w:name="附件5：项目被淹没农田不属于基本农田证明     "/>
      <w:bookmarkEnd w:id="206"/>
      <w:bookmarkStart w:id="207" w:name="_bookmark41"/>
      <w:bookmarkEnd w:id="207"/>
      <w:r>
        <w:rPr>
          <w:b/>
          <w:sz w:val="24"/>
        </w:rPr>
        <w:t xml:space="preserve">附图 </w:t>
      </w:r>
      <w:r>
        <w:rPr>
          <w:rFonts w:ascii="Times New Roman" w:eastAsia="Times New Roman"/>
          <w:b/>
          <w:sz w:val="24"/>
        </w:rPr>
        <w:t xml:space="preserve">1 </w:t>
      </w:r>
      <w:r>
        <w:rPr>
          <w:b/>
          <w:sz w:val="24"/>
        </w:rPr>
        <w:t>项目地理位置图</w:t>
      </w:r>
    </w:p>
    <w:p>
      <w:pPr>
        <w:pStyle w:val="12"/>
        <w:ind w:left="0" w:leftChars="0" w:firstLine="0" w:firstLineChars="0"/>
      </w:pPr>
      <w:r>
        <w:drawing>
          <wp:inline distT="0" distB="0" distL="114300" distR="114300">
            <wp:extent cx="10029825" cy="5358130"/>
            <wp:effectExtent l="0" t="0" r="9525" b="1397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36"/>
                    <a:stretch>
                      <a:fillRect/>
                    </a:stretch>
                  </pic:blipFill>
                  <pic:spPr>
                    <a:xfrm>
                      <a:off x="0" y="0"/>
                      <a:ext cx="10029825" cy="5358130"/>
                    </a:xfrm>
                    <a:prstGeom prst="rect">
                      <a:avLst/>
                    </a:prstGeom>
                    <a:noFill/>
                    <a:ln>
                      <a:noFill/>
                    </a:ln>
                  </pic:spPr>
                </pic:pic>
              </a:graphicData>
            </a:graphic>
          </wp:inline>
        </w:drawing>
      </w:r>
    </w:p>
    <w:p>
      <w:pPr>
        <w:pStyle w:val="2"/>
        <w:rPr>
          <w:b/>
          <w:sz w:val="20"/>
        </w:rPr>
      </w:pPr>
    </w:p>
    <w:p>
      <w:pPr>
        <w:pStyle w:val="2"/>
        <w:spacing w:before="10"/>
        <w:rPr>
          <w:b/>
          <w:sz w:val="11"/>
        </w:rPr>
      </w:pPr>
    </w:p>
    <w:p>
      <w:pPr>
        <w:spacing w:after="0"/>
        <w:rPr>
          <w:sz w:val="11"/>
        </w:rPr>
        <w:sectPr>
          <w:footerReference r:id="rId16" w:type="default"/>
          <w:pgSz w:w="16840" w:h="11910" w:orient="landscape"/>
          <w:pgMar w:top="880" w:right="560" w:bottom="960" w:left="460" w:header="0" w:footer="771" w:gutter="0"/>
          <w:pgNumType w:start="66"/>
        </w:sectPr>
      </w:pPr>
    </w:p>
    <w:p>
      <w:pPr>
        <w:spacing w:before="46"/>
        <w:ind w:right="0"/>
        <w:jc w:val="left"/>
        <w:rPr>
          <w:b/>
          <w:sz w:val="24"/>
        </w:rPr>
      </w:pPr>
      <w:bookmarkStart w:id="208" w:name="_bookmark43"/>
      <w:bookmarkEnd w:id="208"/>
      <w:bookmarkStart w:id="209" w:name="附图2项目工程总体平面布置图"/>
      <w:bookmarkEnd w:id="209"/>
      <w:r>
        <w:rPr>
          <w:b/>
          <w:sz w:val="24"/>
        </w:rPr>
        <w:t xml:space="preserve">附图 </w:t>
      </w:r>
      <w:r>
        <w:rPr>
          <w:rFonts w:ascii="Times New Roman" w:eastAsia="Times New Roman"/>
          <w:b/>
          <w:sz w:val="24"/>
        </w:rPr>
        <w:t xml:space="preserve">2 </w:t>
      </w:r>
      <w:r>
        <w:rPr>
          <w:b/>
          <w:sz w:val="24"/>
        </w:rPr>
        <w:t>项目工程总体平面布置图</w:t>
      </w:r>
    </w:p>
    <w:p>
      <w:pPr>
        <w:pStyle w:val="2"/>
        <w:spacing w:before="10"/>
        <w:rPr>
          <w:b/>
          <w:sz w:val="11"/>
        </w:rPr>
      </w:pPr>
      <w:r>
        <w:drawing>
          <wp:inline distT="0" distB="0" distL="114300" distR="114300">
            <wp:extent cx="5876925" cy="7019925"/>
            <wp:effectExtent l="0" t="0" r="9525" b="952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37"/>
                    <a:stretch>
                      <a:fillRect/>
                    </a:stretch>
                  </pic:blipFill>
                  <pic:spPr>
                    <a:xfrm>
                      <a:off x="0" y="0"/>
                      <a:ext cx="5876925" cy="7019925"/>
                    </a:xfrm>
                    <a:prstGeom prst="rect">
                      <a:avLst/>
                    </a:prstGeom>
                    <a:noFill/>
                    <a:ln>
                      <a:noFill/>
                    </a:ln>
                  </pic:spPr>
                </pic:pic>
              </a:graphicData>
            </a:graphic>
          </wp:inline>
        </w:drawing>
      </w:r>
    </w:p>
    <w:p>
      <w:pPr>
        <w:spacing w:after="0"/>
        <w:rPr>
          <w:sz w:val="11"/>
        </w:rPr>
        <w:sectPr>
          <w:footerReference r:id="rId17" w:type="default"/>
          <w:pgSz w:w="11910" w:h="16840"/>
          <w:pgMar w:top="560" w:right="960" w:bottom="460" w:left="880" w:header="0" w:footer="771" w:gutter="0"/>
        </w:sectPr>
      </w:pPr>
    </w:p>
    <w:p>
      <w:pPr>
        <w:spacing w:before="46"/>
        <w:ind w:left="106" w:right="0" w:firstLine="0"/>
        <w:jc w:val="left"/>
        <w:rPr>
          <w:b/>
          <w:sz w:val="24"/>
        </w:rPr>
      </w:pPr>
      <w:bookmarkStart w:id="210" w:name="_bookmark44"/>
      <w:bookmarkEnd w:id="210"/>
      <w:bookmarkStart w:id="211" w:name="附图3项目周边敏感点分布图"/>
      <w:bookmarkEnd w:id="211"/>
      <w:r>
        <w:rPr>
          <w:b/>
          <w:sz w:val="24"/>
        </w:rPr>
        <w:t xml:space="preserve">附图 </w:t>
      </w:r>
      <w:r>
        <w:rPr>
          <w:rFonts w:ascii="Times New Roman" w:eastAsia="Times New Roman"/>
          <w:b/>
          <w:sz w:val="24"/>
        </w:rPr>
        <w:t xml:space="preserve">3 </w:t>
      </w:r>
      <w:r>
        <w:rPr>
          <w:b/>
          <w:sz w:val="24"/>
        </w:rPr>
        <w:t>项目周边敏感点分布图</w:t>
      </w:r>
    </w:p>
    <w:p>
      <w:pPr>
        <w:pStyle w:val="2"/>
        <w:rPr>
          <w:b/>
          <w:sz w:val="20"/>
        </w:rPr>
      </w:pPr>
      <w:r>
        <w:drawing>
          <wp:inline distT="0" distB="0" distL="114300" distR="114300">
            <wp:extent cx="10036810" cy="5883275"/>
            <wp:effectExtent l="0" t="0" r="2540" b="317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38"/>
                    <a:stretch>
                      <a:fillRect/>
                    </a:stretch>
                  </pic:blipFill>
                  <pic:spPr>
                    <a:xfrm>
                      <a:off x="0" y="0"/>
                      <a:ext cx="10036810" cy="5883275"/>
                    </a:xfrm>
                    <a:prstGeom prst="rect">
                      <a:avLst/>
                    </a:prstGeom>
                    <a:noFill/>
                    <a:ln>
                      <a:noFill/>
                    </a:ln>
                  </pic:spPr>
                </pic:pic>
              </a:graphicData>
            </a:graphic>
          </wp:inline>
        </w:drawing>
      </w:r>
    </w:p>
    <w:p>
      <w:pPr>
        <w:pStyle w:val="2"/>
        <w:spacing w:before="2"/>
        <w:rPr>
          <w:b/>
          <w:sz w:val="19"/>
        </w:rPr>
      </w:pPr>
    </w:p>
    <w:p>
      <w:pPr>
        <w:spacing w:after="0"/>
        <w:rPr>
          <w:rFonts w:ascii="Times New Roman"/>
          <w:sz w:val="4"/>
        </w:rPr>
        <w:sectPr>
          <w:pgSz w:w="16840" w:h="11910" w:orient="landscape"/>
          <w:pgMar w:top="880" w:right="560" w:bottom="1000" w:left="460" w:header="0" w:footer="771" w:gutter="0"/>
        </w:sectPr>
      </w:pPr>
    </w:p>
    <w:p>
      <w:pPr>
        <w:spacing w:before="46"/>
        <w:ind w:left="560" w:right="0" w:firstLine="0"/>
        <w:jc w:val="left"/>
        <w:rPr>
          <w:b/>
          <w:sz w:val="24"/>
        </w:rPr>
      </w:pPr>
      <w:bookmarkStart w:id="212" w:name="附图4项目土地利用规划图"/>
      <w:bookmarkEnd w:id="212"/>
      <w:bookmarkStart w:id="213" w:name="_bookmark45"/>
      <w:bookmarkEnd w:id="213"/>
      <w:r>
        <w:rPr>
          <w:b/>
          <w:sz w:val="24"/>
        </w:rPr>
        <w:t xml:space="preserve">附图 </w:t>
      </w:r>
      <w:r>
        <w:rPr>
          <w:rFonts w:ascii="Times New Roman" w:eastAsia="Times New Roman"/>
          <w:b/>
          <w:sz w:val="24"/>
        </w:rPr>
        <w:t xml:space="preserve">4 </w:t>
      </w:r>
      <w:r>
        <w:rPr>
          <w:b/>
          <w:sz w:val="24"/>
        </w:rPr>
        <w:t>项目土地利用规划图</w:t>
      </w:r>
    </w:p>
    <w:p>
      <w:pPr>
        <w:pStyle w:val="2"/>
        <w:rPr>
          <w:b/>
          <w:sz w:val="15"/>
        </w:rPr>
      </w:pPr>
      <w:r>
        <w:drawing>
          <wp:inline distT="0" distB="0" distL="114300" distR="114300">
            <wp:extent cx="6105525" cy="7172325"/>
            <wp:effectExtent l="0" t="0" r="9525" b="952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39"/>
                    <a:stretch>
                      <a:fillRect/>
                    </a:stretch>
                  </pic:blipFill>
                  <pic:spPr>
                    <a:xfrm>
                      <a:off x="0" y="0"/>
                      <a:ext cx="6105525" cy="7172325"/>
                    </a:xfrm>
                    <a:prstGeom prst="rect">
                      <a:avLst/>
                    </a:prstGeom>
                    <a:noFill/>
                    <a:ln>
                      <a:noFill/>
                    </a:ln>
                  </pic:spPr>
                </pic:pic>
              </a:graphicData>
            </a:graphic>
          </wp:inline>
        </w:drawing>
      </w:r>
    </w:p>
    <w:p>
      <w:pPr>
        <w:spacing w:after="0"/>
        <w:rPr>
          <w:sz w:val="15"/>
        </w:rPr>
        <w:sectPr>
          <w:pgSz w:w="11910" w:h="16840"/>
          <w:pgMar w:top="560" w:right="1000" w:bottom="460" w:left="880" w:header="0" w:footer="771" w:gutter="0"/>
        </w:sectPr>
      </w:pPr>
    </w:p>
    <w:p>
      <w:pPr>
        <w:spacing w:before="52"/>
        <w:ind w:left="217" w:right="0" w:firstLine="0"/>
        <w:jc w:val="left"/>
        <w:rPr>
          <w:b/>
          <w:sz w:val="24"/>
        </w:rPr>
      </w:pPr>
      <w:bookmarkStart w:id="214" w:name="_bookmark46"/>
      <w:bookmarkEnd w:id="214"/>
      <w:bookmarkStart w:id="215" w:name="附图5项目所在地现状图"/>
      <w:bookmarkEnd w:id="215"/>
      <w:r>
        <w:rPr>
          <w:b/>
          <w:sz w:val="24"/>
        </w:rPr>
        <w:t xml:space="preserve">附图 </w:t>
      </w:r>
      <w:r>
        <w:rPr>
          <w:rFonts w:ascii="Times New Roman" w:eastAsia="Times New Roman"/>
          <w:b/>
          <w:sz w:val="24"/>
        </w:rPr>
        <w:t xml:space="preserve">5 </w:t>
      </w:r>
      <w:r>
        <w:rPr>
          <w:b/>
          <w:sz w:val="24"/>
        </w:rPr>
        <w:t>项目所在地</w:t>
      </w:r>
      <w:r>
        <w:rPr>
          <w:rFonts w:hint="eastAsia"/>
          <w:b/>
          <w:bCs/>
          <w:sz w:val="24"/>
          <w:szCs w:val="24"/>
          <w:lang w:val="en-US" w:eastAsia="zh-CN"/>
        </w:rPr>
        <w:t>青原区生态空间红线保护图</w:t>
      </w:r>
      <w:r>
        <w:drawing>
          <wp:inline distT="0" distB="0" distL="114300" distR="114300">
            <wp:extent cx="5305425" cy="7486650"/>
            <wp:effectExtent l="0" t="0" r="9525" b="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40"/>
                    <a:stretch>
                      <a:fillRect/>
                    </a:stretch>
                  </pic:blipFill>
                  <pic:spPr>
                    <a:xfrm>
                      <a:off x="0" y="0"/>
                      <a:ext cx="5305425" cy="7486650"/>
                    </a:xfrm>
                    <a:prstGeom prst="rect">
                      <a:avLst/>
                    </a:prstGeom>
                    <a:noFill/>
                    <a:ln>
                      <a:noFill/>
                    </a:ln>
                  </pic:spPr>
                </pic:pic>
              </a:graphicData>
            </a:graphic>
          </wp:inline>
        </w:drawing>
      </w:r>
    </w:p>
    <w:p>
      <w:pPr>
        <w:pStyle w:val="2"/>
        <w:spacing w:before="1"/>
        <w:rPr>
          <w:b/>
          <w:sz w:val="7"/>
        </w:rPr>
      </w:pPr>
    </w:p>
    <w:p>
      <w:pPr>
        <w:spacing w:after="0"/>
        <w:jc w:val="center"/>
        <w:rPr>
          <w:rFonts w:hint="eastAsia" w:ascii="宋体" w:eastAsia="宋体"/>
          <w:sz w:val="21"/>
        </w:rPr>
        <w:sectPr>
          <w:footerReference r:id="rId18" w:type="default"/>
          <w:pgSz w:w="11910" w:h="16840"/>
          <w:pgMar w:top="1460" w:right="1560" w:bottom="880" w:left="1580" w:header="0" w:footer="683" w:gutter="0"/>
          <w:pgNumType w:start="70"/>
        </w:sectPr>
      </w:pPr>
    </w:p>
    <w:p>
      <w:pPr>
        <w:pStyle w:val="2"/>
        <w:spacing w:before="1"/>
        <w:rPr>
          <w:rFonts w:hint="eastAsia" w:ascii="宋体" w:eastAsia="宋体"/>
          <w:sz w:val="21"/>
        </w:rPr>
      </w:pPr>
      <w:bookmarkStart w:id="216" w:name="附件：验收专家意见及签到表"/>
      <w:bookmarkEnd w:id="216"/>
      <w:r>
        <w:rPr>
          <w:b/>
          <w:sz w:val="24"/>
        </w:rPr>
        <w:t xml:space="preserve">附图 </w:t>
      </w:r>
      <w:r>
        <w:rPr>
          <w:rFonts w:hint="eastAsia" w:ascii="Times New Roman" w:eastAsia="宋体"/>
          <w:b/>
          <w:sz w:val="24"/>
          <w:lang w:val="en-US" w:eastAsia="zh-CN"/>
        </w:rPr>
        <w:t>6</w:t>
      </w:r>
      <w:r>
        <w:rPr>
          <w:rFonts w:ascii="Times New Roman" w:eastAsia="Times New Roman"/>
          <w:b/>
          <w:sz w:val="24"/>
        </w:rPr>
        <w:t xml:space="preserve"> </w:t>
      </w:r>
      <w:r>
        <w:rPr>
          <w:b/>
          <w:sz w:val="24"/>
        </w:rPr>
        <w:t>项目</w:t>
      </w:r>
      <w:r>
        <w:rPr>
          <w:rFonts w:hint="eastAsia"/>
          <w:b/>
          <w:sz w:val="24"/>
          <w:lang w:eastAsia="zh-CN"/>
        </w:rPr>
        <w:t>现状</w:t>
      </w:r>
      <w:r>
        <w:rPr>
          <w:rFonts w:hint="eastAsia"/>
          <w:b/>
          <w:bCs/>
          <w:sz w:val="24"/>
          <w:szCs w:val="24"/>
          <w:lang w:val="en-US" w:eastAsia="zh-CN"/>
        </w:rPr>
        <w:t>图</w:t>
      </w:r>
    </w:p>
    <w:p>
      <w:pPr>
        <w:pStyle w:val="2"/>
      </w:pPr>
      <w:r>
        <w:drawing>
          <wp:inline distT="0" distB="0" distL="114300" distR="114300">
            <wp:extent cx="2441575" cy="3180080"/>
            <wp:effectExtent l="0" t="0" r="15875" b="127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1"/>
                    <a:stretch>
                      <a:fillRect/>
                    </a:stretch>
                  </pic:blipFill>
                  <pic:spPr>
                    <a:xfrm>
                      <a:off x="0" y="0"/>
                      <a:ext cx="2441575" cy="3180080"/>
                    </a:xfrm>
                    <a:prstGeom prst="rect">
                      <a:avLst/>
                    </a:prstGeom>
                    <a:noFill/>
                    <a:ln>
                      <a:noFill/>
                    </a:ln>
                  </pic:spPr>
                </pic:pic>
              </a:graphicData>
            </a:graphic>
          </wp:inline>
        </w:drawing>
      </w:r>
      <w:r>
        <w:drawing>
          <wp:inline distT="0" distB="0" distL="114300" distR="114300">
            <wp:extent cx="2788285" cy="3195955"/>
            <wp:effectExtent l="0" t="0" r="12065" b="444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42"/>
                    <a:stretch>
                      <a:fillRect/>
                    </a:stretch>
                  </pic:blipFill>
                  <pic:spPr>
                    <a:xfrm>
                      <a:off x="0" y="0"/>
                      <a:ext cx="2788285" cy="3195955"/>
                    </a:xfrm>
                    <a:prstGeom prst="rect">
                      <a:avLst/>
                    </a:prstGeom>
                    <a:noFill/>
                    <a:ln>
                      <a:noFill/>
                    </a:ln>
                  </pic:spPr>
                </pic:pic>
              </a:graphicData>
            </a:graphic>
          </wp:inline>
        </w:drawing>
      </w:r>
    </w:p>
    <w:p>
      <w:pPr>
        <w:ind w:firstLine="720" w:firstLineChars="300"/>
        <w:rPr>
          <w:sz w:val="24"/>
          <w:szCs w:val="24"/>
        </w:rPr>
      </w:pPr>
      <w:r>
        <w:rPr>
          <w:rFonts w:hint="eastAsia"/>
          <w:sz w:val="24"/>
          <w:szCs w:val="24"/>
        </w:rPr>
        <w:t>东井冈下泄口及监控</w:t>
      </w:r>
      <w:r>
        <w:rPr>
          <w:rFonts w:hint="eastAsia"/>
          <w:sz w:val="24"/>
          <w:szCs w:val="24"/>
          <w:lang w:val="en-US" w:eastAsia="zh-CN"/>
        </w:rPr>
        <w:t xml:space="preserve">                        </w:t>
      </w:r>
      <w:r>
        <w:rPr>
          <w:rFonts w:hint="eastAsia"/>
          <w:sz w:val="24"/>
          <w:szCs w:val="24"/>
        </w:rPr>
        <w:t>东井冈站房</w:t>
      </w:r>
    </w:p>
    <w:p>
      <w:pPr>
        <w:pStyle w:val="2"/>
        <w:rPr>
          <w:rFonts w:hint="eastAsia"/>
          <w:sz w:val="24"/>
          <w:szCs w:val="24"/>
        </w:rPr>
        <w:sectPr>
          <w:footerReference r:id="rId19" w:type="default"/>
          <w:pgSz w:w="11910" w:h="16840"/>
          <w:pgMar w:top="1460" w:right="1560" w:bottom="880" w:left="1580" w:header="0" w:footer="683" w:gutter="0"/>
          <w:pgNumType w:start="70"/>
        </w:sectPr>
      </w:pPr>
    </w:p>
    <w:p>
      <w:pPr>
        <w:spacing w:before="52"/>
        <w:ind w:left="217" w:right="0" w:firstLine="0"/>
        <w:jc w:val="left"/>
        <w:rPr>
          <w:b/>
          <w:sz w:val="24"/>
        </w:rPr>
      </w:pPr>
      <w:r>
        <w:rPr>
          <w:b/>
          <w:sz w:val="24"/>
        </w:rPr>
        <w:t>附件：验收专家意见及签到表</w:t>
      </w:r>
    </w:p>
    <w:p>
      <w:pPr>
        <w:pStyle w:val="20"/>
        <w:spacing w:before="0" w:beforeAutospacing="0" w:after="0" w:afterAutospacing="0"/>
        <w:jc w:val="center"/>
        <w:outlineLvl w:val="0"/>
        <w:rPr>
          <w:rFonts w:ascii="Times New Roman" w:hAnsi="Times New Roman" w:eastAsia="黑体" w:cs="黑体"/>
          <w:sz w:val="28"/>
          <w:szCs w:val="28"/>
        </w:rPr>
      </w:pPr>
      <w:r>
        <w:rPr>
          <w:rFonts w:hint="eastAsia" w:ascii="宋体" w:hAnsi="宋体" w:eastAsia="宋体" w:cs="宋体"/>
          <w:b/>
          <w:bCs w:val="0"/>
          <w:kern w:val="0"/>
          <w:sz w:val="28"/>
          <w:szCs w:val="28"/>
          <w:lang w:eastAsia="zh-CN"/>
        </w:rPr>
        <w:t>青原区东固东井冈水电站</w:t>
      </w:r>
      <w:r>
        <w:rPr>
          <w:rFonts w:hint="eastAsia" w:ascii="宋体" w:hAnsi="宋体" w:eastAsia="宋体" w:cs="宋体"/>
          <w:b/>
          <w:bCs w:val="0"/>
          <w:sz w:val="28"/>
          <w:szCs w:val="28"/>
        </w:rPr>
        <w:t>项目竣工环境保护验收意见</w:t>
      </w:r>
    </w:p>
    <w:p>
      <w:pPr>
        <w:pStyle w:val="20"/>
        <w:spacing w:before="0" w:beforeAutospacing="0" w:after="0" w:afterAutospacing="0" w:line="360" w:lineRule="exact"/>
        <w:ind w:firstLine="420" w:firstLineChars="200"/>
        <w:jc w:val="both"/>
        <w:outlineLvl w:val="0"/>
        <w:rPr>
          <w:rFonts w:ascii="Times New Roman" w:hAnsi="Times New Roman" w:cs="Times New Roman"/>
          <w:color w:val="000000" w:themeColor="text1"/>
          <w:sz w:val="21"/>
          <w:szCs w:val="21"/>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2020年9月</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根据《</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项目项目竣工环境保护验收调查报告表》，并对照《建设项目竣工环境保护验收技术规范－生态环境影响类》(HJ/T 394-2007)，严格依照国家有关法律法规、建设项目竣工环境保护验收技术指南、本项目环境影响评价报告表和审批部门审批决定等要求对本项目进行自主验收，参加会议的有</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建设单位）、江西中明环境检测有限公司（报告编制单位）等单位代表及专家共计</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人，会议成立了验收组（名单附后）。验收组与会议代表听取了建设单位关于该项目环境保护制度执行情况的报告和验收监测单位关于该项目竣工环境保护验收调查报告的汇报，现场检查防治生态影响和环境污染措施、防范环境风险措施的落实情况，查阅并核实有关资料。经认真讨论，形成验收意见如下：</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一、工程建设基本情况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（一）建设地点、规模、主要建设内容</w:t>
      </w:r>
    </w:p>
    <w:p>
      <w:pPr>
        <w:keepNext w:val="0"/>
        <w:keepLines w:val="0"/>
        <w:pageBreakBefore w:val="0"/>
        <w:widowControl/>
        <w:kinsoku/>
        <w:wordWrap/>
        <w:overflowPunct w:val="0"/>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pacing w:val="-15"/>
          <w:sz w:val="24"/>
          <w:szCs w:val="24"/>
          <w14:textFill>
            <w14:solidFill>
              <w14:schemeClr w14:val="tx1"/>
            </w14:solidFill>
          </w14:textFill>
        </w:rPr>
      </w:pPr>
      <w:r>
        <w:rPr>
          <w:rFonts w:hint="eastAsia" w:ascii="宋体" w:hAnsi="宋体" w:eastAsia="宋体" w:cs="宋体"/>
          <w:b w:val="0"/>
          <w:bCs w:val="0"/>
          <w:color w:val="000000" w:themeColor="text1"/>
          <w:sz w:val="24"/>
          <w:szCs w:val="24"/>
          <w:lang w:eastAsia="zh-CN"/>
          <w14:textFill>
            <w14:solidFill>
              <w14:schemeClr w14:val="tx1"/>
            </w14:solidFill>
          </w14:textFill>
        </w:rPr>
        <w:t>吉安市</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青原区东井冈</w:t>
      </w:r>
      <w:r>
        <w:rPr>
          <w:rFonts w:hint="eastAsia" w:ascii="宋体" w:hAnsi="宋体" w:eastAsia="宋体" w:cs="宋体"/>
          <w:b w:val="0"/>
          <w:bCs w:val="0"/>
          <w:color w:val="000000" w:themeColor="text1"/>
          <w:spacing w:val="0"/>
          <w:w w:val="100"/>
          <w:kern w:val="0"/>
          <w:position w:val="0"/>
          <w:sz w:val="24"/>
          <w14:textFill>
            <w14:solidFill>
              <w14:schemeClr w14:val="tx1"/>
            </w14:solidFill>
          </w14:textFill>
        </w:rPr>
        <w:t>水电站增效扩容改造</w:t>
      </w:r>
      <w:r>
        <w:rPr>
          <w:rFonts w:hint="eastAsia" w:ascii="宋体" w:hAnsi="宋体" w:eastAsia="宋体" w:cs="宋体"/>
          <w:b w:val="0"/>
          <w:bCs w:val="0"/>
          <w:color w:val="000000" w:themeColor="text1"/>
          <w:spacing w:val="0"/>
          <w:w w:val="100"/>
          <w:kern w:val="0"/>
          <w:position w:val="0"/>
          <w:sz w:val="24"/>
          <w:lang w:eastAsia="zh-CN"/>
          <w14:textFill>
            <w14:solidFill>
              <w14:schemeClr w14:val="tx1"/>
            </w14:solidFill>
          </w14:textFill>
        </w:rPr>
        <w:t>工程项目</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位于</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青原区东固乡</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，设一座大坝、一处厂房和一座办公楼，坝址坐落在</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青原区东固乡六渡村</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，位于</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富田水流域东固水主流</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上，坝址中心地理位置为</w:t>
      </w:r>
      <w:r>
        <w:rPr>
          <w:rFonts w:hint="eastAsia" w:ascii="宋体" w:hAnsi="宋体" w:eastAsia="宋体" w:cs="宋体"/>
          <w:color w:val="000000" w:themeColor="text1"/>
          <w:spacing w:val="0"/>
          <w:w w:val="100"/>
          <w:kern w:val="0"/>
          <w:position w:val="0"/>
          <w:sz w:val="24"/>
          <w:szCs w:val="24"/>
          <w:lang w:bidi="ar"/>
          <w14:textFill>
            <w14:solidFill>
              <w14:schemeClr w14:val="tx1"/>
            </w14:solidFill>
          </w14:textFill>
        </w:rPr>
        <w:t>东经115°22′49″，北纬26°39′1″，电站位于坝址下游约</w:t>
      </w:r>
      <w:r>
        <w:rPr>
          <w:rFonts w:hint="eastAsia" w:ascii="宋体" w:hAnsi="宋体" w:eastAsia="宋体" w:cs="宋体"/>
          <w:color w:val="000000" w:themeColor="text1"/>
          <w:spacing w:val="0"/>
          <w:w w:val="100"/>
          <w:kern w:val="0"/>
          <w:position w:val="0"/>
          <w:sz w:val="24"/>
          <w:szCs w:val="24"/>
          <w:lang w:val="en-US" w:eastAsia="zh-CN" w:bidi="ar"/>
          <w14:textFill>
            <w14:solidFill>
              <w14:schemeClr w14:val="tx1"/>
            </w14:solidFill>
          </w14:textFill>
        </w:rPr>
        <w:t>2.6</w:t>
      </w:r>
      <w:r>
        <w:rPr>
          <w:rFonts w:hint="eastAsia" w:ascii="宋体" w:hAnsi="宋体" w:eastAsia="宋体" w:cs="宋体"/>
          <w:color w:val="000000" w:themeColor="text1"/>
          <w:spacing w:val="0"/>
          <w:w w:val="100"/>
          <w:kern w:val="0"/>
          <w:position w:val="0"/>
          <w:sz w:val="24"/>
          <w:szCs w:val="24"/>
          <w:lang w:bidi="ar"/>
          <w14:textFill>
            <w14:solidFill>
              <w14:schemeClr w14:val="tx1"/>
            </w14:solidFill>
          </w14:textFill>
        </w:rPr>
        <w:t>km处的</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东固乡六渡村桐梓坑</w:t>
      </w:r>
      <w:r>
        <w:rPr>
          <w:rFonts w:hint="eastAsia" w:ascii="宋体" w:hAnsi="宋体" w:eastAsia="宋体" w:cs="宋体"/>
          <w:color w:val="000000" w:themeColor="text1"/>
          <w:spacing w:val="0"/>
          <w:w w:val="100"/>
          <w:kern w:val="0"/>
          <w:position w:val="0"/>
          <w:sz w:val="24"/>
          <w:szCs w:val="24"/>
          <w:lang w:bidi="ar"/>
          <w14:textFill>
            <w14:solidFill>
              <w14:schemeClr w14:val="tx1"/>
            </w14:solidFill>
          </w14:textFill>
        </w:rPr>
        <w:t>，</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地理位置为东经115°22′34″，北纬26°40′7″，</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青原区东井冈水电站</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的枢纽工程属Ⅴ等工程，电站装机容量</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1</w:t>
      </w:r>
      <w:r>
        <w:rPr>
          <w:rFonts w:hint="eastAsia" w:ascii="宋体" w:hAnsi="宋体" w:eastAsia="宋体" w:cs="宋体"/>
          <w:color w:val="000000" w:themeColor="text1"/>
          <w:spacing w:val="0"/>
          <w:w w:val="100"/>
          <w:kern w:val="0"/>
          <w:position w:val="0"/>
          <w:sz w:val="24"/>
          <w:szCs w:val="24"/>
          <w:lang w:val="en-US" w:eastAsia="zh-CN"/>
          <w14:textFill>
            <w14:solidFill>
              <w14:schemeClr w14:val="tx1"/>
            </w14:solidFill>
          </w14:textFill>
        </w:rPr>
        <w:t>6</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00kW</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w:t>
      </w:r>
      <w:r>
        <w:rPr>
          <w:rFonts w:hint="eastAsia" w:ascii="宋体" w:hAnsi="宋体" w:eastAsia="宋体" w:cs="宋体"/>
          <w:color w:val="000000" w:themeColor="text1"/>
          <w:spacing w:val="0"/>
          <w:w w:val="100"/>
          <w:kern w:val="0"/>
          <w:position w:val="0"/>
          <w:sz w:val="24"/>
          <w:szCs w:val="24"/>
          <w:lang w:val="en-US" w:eastAsia="zh-CN"/>
          <w14:textFill>
            <w14:solidFill>
              <w14:schemeClr w14:val="tx1"/>
            </w14:solidFill>
          </w14:textFill>
        </w:rPr>
        <w:t>2</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w:t>
      </w:r>
      <w:r>
        <w:rPr>
          <w:rFonts w:hint="eastAsia" w:ascii="宋体" w:hAnsi="宋体" w:eastAsia="宋体" w:cs="宋体"/>
          <w:color w:val="000000" w:themeColor="text1"/>
          <w:spacing w:val="0"/>
          <w:w w:val="100"/>
          <w:kern w:val="0"/>
          <w:position w:val="0"/>
          <w:sz w:val="24"/>
          <w:szCs w:val="24"/>
          <w:lang w:val="en-US" w:eastAsia="zh-CN"/>
          <w14:textFill>
            <w14:solidFill>
              <w14:schemeClr w14:val="tx1"/>
            </w14:solidFill>
          </w14:textFill>
        </w:rPr>
        <w:t>80</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0)，多年平均发电量</w:t>
      </w:r>
      <w:r>
        <w:rPr>
          <w:rFonts w:hint="eastAsia" w:ascii="宋体" w:hAnsi="宋体" w:eastAsia="宋体" w:cs="宋体"/>
          <w:color w:val="000000" w:themeColor="text1"/>
          <w:spacing w:val="0"/>
          <w:w w:val="100"/>
          <w:kern w:val="0"/>
          <w:position w:val="0"/>
          <w:sz w:val="24"/>
          <w:szCs w:val="24"/>
          <w:lang w:val="en-US" w:eastAsia="zh-CN"/>
          <w14:textFill>
            <w14:solidFill>
              <w14:schemeClr w14:val="tx1"/>
            </w14:solidFill>
          </w14:textFill>
        </w:rPr>
        <w:t>515</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万</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kW</w:t>
      </w:r>
      <w:r>
        <w:rPr>
          <w:rFonts w:hint="eastAsia" w:ascii="宋体" w:hAnsi="宋体" w:eastAsia="宋体" w:cs="宋体"/>
          <w:color w:val="000000" w:themeColor="text1"/>
          <w:spacing w:val="0"/>
          <w:w w:val="100"/>
          <w:kern w:val="0"/>
          <w:position w:val="0"/>
          <w:sz w:val="24"/>
          <w:szCs w:val="24"/>
          <w14:textFill>
            <w14:solidFill>
              <w14:schemeClr w14:val="tx1"/>
            </w14:solidFill>
          </w14:textFill>
        </w:rPr>
        <w:t>·h，是一座引水式无调节性能以发电为主的小(2)型水电站</w:t>
      </w:r>
      <w:r>
        <w:rPr>
          <w:rFonts w:hint="eastAsia" w:ascii="宋体" w:hAnsi="宋体" w:eastAsia="宋体" w:cs="宋体"/>
          <w:color w:val="000000" w:themeColor="text1"/>
          <w:spacing w:val="-15"/>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（二）建设过程及环保审批情况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项目为补办环评。</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pacing w:val="-15"/>
          <w:sz w:val="24"/>
          <w:szCs w:val="24"/>
          <w14:textFill>
            <w14:solidFill>
              <w14:schemeClr w14:val="tx1"/>
            </w14:solidFill>
          </w14:textFill>
        </w:rPr>
        <w:t>于20</w:t>
      </w:r>
      <w:r>
        <w:rPr>
          <w:rFonts w:hint="eastAsia" w:ascii="宋体" w:hAnsi="宋体" w:eastAsia="宋体" w:cs="宋体"/>
          <w:color w:val="000000" w:themeColor="text1"/>
          <w:spacing w:val="-15"/>
          <w:sz w:val="24"/>
          <w:szCs w:val="24"/>
          <w:lang w:val="en-US" w:eastAsia="zh-CN"/>
          <w14:textFill>
            <w14:solidFill>
              <w14:schemeClr w14:val="tx1"/>
            </w14:solidFill>
          </w14:textFill>
        </w:rPr>
        <w:t>20</w:t>
      </w:r>
      <w:r>
        <w:rPr>
          <w:rFonts w:hint="eastAsia" w:ascii="宋体" w:hAnsi="宋体" w:eastAsia="宋体" w:cs="宋体"/>
          <w:color w:val="000000" w:themeColor="text1"/>
          <w:spacing w:val="-15"/>
          <w:sz w:val="24"/>
          <w:szCs w:val="24"/>
          <w14:textFill>
            <w14:solidFill>
              <w14:schemeClr w14:val="tx1"/>
            </w14:solidFill>
          </w14:textFill>
        </w:rPr>
        <w:t>年</w:t>
      </w:r>
      <w:r>
        <w:rPr>
          <w:rFonts w:hint="eastAsia" w:ascii="宋体" w:hAnsi="宋体" w:eastAsia="宋体" w:cs="宋体"/>
          <w:color w:val="000000" w:themeColor="text1"/>
          <w:spacing w:val="-15"/>
          <w:sz w:val="24"/>
          <w:szCs w:val="24"/>
          <w:lang w:val="en-US" w:eastAsia="zh-CN"/>
          <w14:textFill>
            <w14:solidFill>
              <w14:schemeClr w14:val="tx1"/>
            </w14:solidFill>
          </w14:textFill>
        </w:rPr>
        <w:t>4</w:t>
      </w:r>
      <w:r>
        <w:rPr>
          <w:rFonts w:hint="eastAsia" w:ascii="宋体" w:hAnsi="宋体" w:eastAsia="宋体" w:cs="宋体"/>
          <w:color w:val="000000" w:themeColor="text1"/>
          <w:spacing w:val="-15"/>
          <w:sz w:val="24"/>
          <w:szCs w:val="24"/>
          <w14:textFill>
            <w14:solidFill>
              <w14:schemeClr w14:val="tx1"/>
            </w14:solidFill>
          </w14:textFill>
        </w:rPr>
        <w:t>月</w:t>
      </w:r>
      <w:r>
        <w:rPr>
          <w:rFonts w:hint="eastAsia" w:ascii="宋体" w:hAnsi="宋体" w:eastAsia="宋体" w:cs="宋体"/>
          <w:color w:val="000000" w:themeColor="text1"/>
          <w:sz w:val="24"/>
          <w:szCs w:val="24"/>
          <w14:textFill>
            <w14:solidFill>
              <w14:schemeClr w14:val="tx1"/>
            </w14:solidFill>
          </w14:textFill>
        </w:rPr>
        <w:t>委托</w:t>
      </w:r>
      <w:r>
        <w:rPr>
          <w:rFonts w:hint="eastAsia" w:ascii="宋体" w:hAnsi="宋体" w:eastAsia="宋体" w:cs="宋体"/>
          <w:b w:val="0"/>
          <w:bCs w:val="0"/>
          <w:color w:val="000000" w:themeColor="text1"/>
          <w:sz w:val="24"/>
          <w:szCs w:val="24"/>
          <w:highlight w:val="none"/>
          <w:lang w:eastAsia="zh-CN"/>
          <w14:textFill>
            <w14:solidFill>
              <w14:schemeClr w14:val="tx1"/>
            </w14:solidFill>
          </w14:textFill>
        </w:rPr>
        <w:t>江西晨晓环保</w:t>
      </w: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有限公司</w:t>
      </w:r>
      <w:r>
        <w:rPr>
          <w:rFonts w:hint="eastAsia" w:ascii="宋体" w:hAnsi="宋体" w:eastAsia="宋体" w:cs="宋体"/>
          <w:color w:val="000000" w:themeColor="text1"/>
          <w:sz w:val="24"/>
          <w:szCs w:val="24"/>
          <w14:textFill>
            <w14:solidFill>
              <w14:schemeClr w14:val="tx1"/>
            </w14:solidFill>
          </w14:textFill>
        </w:rPr>
        <w:t>编制完成《</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工程项目环境影响报告</w:t>
      </w:r>
      <w:r>
        <w:rPr>
          <w:rFonts w:hint="eastAsia" w:ascii="宋体" w:hAnsi="宋体" w:eastAsia="宋体" w:cs="宋体"/>
          <w:color w:val="000000" w:themeColor="text1"/>
          <w:sz w:val="24"/>
          <w:szCs w:val="24"/>
          <w:lang w:eastAsia="zh-CN"/>
          <w14:textFill>
            <w14:solidFill>
              <w14:schemeClr w14:val="tx1"/>
            </w14:solidFill>
          </w14:textFill>
        </w:rPr>
        <w:t>书</w:t>
      </w:r>
      <w:r>
        <w:rPr>
          <w:rFonts w:hint="eastAsia" w:ascii="宋体" w:hAnsi="宋体" w:eastAsia="宋体" w:cs="宋体"/>
          <w:color w:val="000000" w:themeColor="text1"/>
          <w:sz w:val="24"/>
          <w:szCs w:val="24"/>
          <w14:textFill>
            <w14:solidFill>
              <w14:schemeClr w14:val="tx1"/>
            </w14:solidFill>
          </w14:textFill>
        </w:rPr>
        <w:t>》，并于20</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27</w:t>
      </w:r>
      <w:r>
        <w:rPr>
          <w:rFonts w:hint="eastAsia" w:ascii="宋体" w:hAnsi="宋体" w:eastAsia="宋体" w:cs="宋体"/>
          <w:color w:val="000000" w:themeColor="text1"/>
          <w:sz w:val="24"/>
          <w:szCs w:val="24"/>
          <w14:textFill>
            <w14:solidFill>
              <w14:schemeClr w14:val="tx1"/>
            </w14:solidFill>
          </w14:textFill>
        </w:rPr>
        <w:t>日取得</w:t>
      </w:r>
      <w:r>
        <w:rPr>
          <w:rFonts w:hint="eastAsia" w:ascii="宋体" w:hAnsi="宋体" w:eastAsia="宋体" w:cs="宋体"/>
          <w:color w:val="000000" w:themeColor="text1"/>
          <w:sz w:val="24"/>
          <w:szCs w:val="24"/>
          <w:lang w:eastAsia="zh-CN"/>
          <w14:textFill>
            <w14:solidFill>
              <w14:schemeClr w14:val="tx1"/>
            </w14:solidFill>
          </w14:textFill>
        </w:rPr>
        <w:t>吉安市青原区环境保护</w:t>
      </w:r>
      <w:r>
        <w:rPr>
          <w:rFonts w:hint="eastAsia" w:ascii="宋体" w:hAnsi="宋体" w:eastAsia="宋体" w:cs="宋体"/>
          <w:color w:val="000000" w:themeColor="text1"/>
          <w:sz w:val="24"/>
          <w:szCs w:val="24"/>
          <w14:textFill>
            <w14:solidFill>
              <w14:schemeClr w14:val="tx1"/>
            </w14:solidFill>
          </w14:textFill>
        </w:rPr>
        <w:t>局《关于</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项目环境影响报告</w:t>
      </w:r>
      <w:r>
        <w:rPr>
          <w:rFonts w:hint="eastAsia" w:ascii="宋体" w:hAnsi="宋体" w:eastAsia="宋体" w:cs="宋体"/>
          <w:color w:val="000000" w:themeColor="text1"/>
          <w:sz w:val="24"/>
          <w:szCs w:val="24"/>
          <w:lang w:eastAsia="zh-CN"/>
          <w14:textFill>
            <w14:solidFill>
              <w14:schemeClr w14:val="tx1"/>
            </w14:solidFill>
          </w14:textFill>
        </w:rPr>
        <w:t>书</w:t>
      </w:r>
      <w:r>
        <w:rPr>
          <w:rFonts w:hint="eastAsia" w:ascii="宋体" w:hAnsi="宋体" w:eastAsia="宋体" w:cs="宋体"/>
          <w:color w:val="000000" w:themeColor="text1"/>
          <w:sz w:val="24"/>
          <w:szCs w:val="24"/>
          <w14:textFill>
            <w14:solidFill>
              <w14:schemeClr w14:val="tx1"/>
            </w14:solidFill>
          </w14:textFill>
        </w:rPr>
        <w:t>的批复》（</w:t>
      </w:r>
      <w:r>
        <w:rPr>
          <w:rFonts w:hint="eastAsia" w:ascii="宋体" w:hAnsi="宋体" w:eastAsia="宋体" w:cs="宋体"/>
          <w:color w:val="000000" w:themeColor="text1"/>
          <w:sz w:val="24"/>
          <w:szCs w:val="24"/>
          <w:lang w:eastAsia="zh-CN"/>
          <w14:textFill>
            <w14:solidFill>
              <w14:schemeClr w14:val="tx1"/>
            </w14:solidFill>
          </w14:textFill>
        </w:rPr>
        <w:t>吉市</w:t>
      </w:r>
      <w:r>
        <w:rPr>
          <w:rFonts w:hint="eastAsia" w:ascii="宋体" w:hAnsi="宋体" w:eastAsia="宋体" w:cs="宋体"/>
          <w:color w:val="000000" w:themeColor="text1"/>
          <w:sz w:val="24"/>
          <w:szCs w:val="24"/>
          <w14:textFill>
            <w14:solidFill>
              <w14:schemeClr w14:val="tx1"/>
            </w14:solidFill>
          </w14:textFill>
        </w:rPr>
        <w:t>环评字[20</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76</w:t>
      </w:r>
      <w:r>
        <w:rPr>
          <w:rFonts w:hint="eastAsia" w:ascii="宋体" w:hAnsi="宋体" w:eastAsia="宋体" w:cs="宋体"/>
          <w:color w:val="000000" w:themeColor="text1"/>
          <w:sz w:val="24"/>
          <w:szCs w:val="24"/>
          <w14:textFill>
            <w14:solidFill>
              <w14:schemeClr w14:val="tx1"/>
            </w14:solidFill>
          </w14:textFill>
        </w:rPr>
        <w:t>号）。目前该项目所涉及的各项环保设施运行正常，</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申请该项目的竣工保护验收。</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（三）投资情况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本项目总投资</w:t>
      </w:r>
      <w:r>
        <w:rPr>
          <w:rFonts w:hint="eastAsia" w:ascii="宋体" w:hAnsi="宋体" w:eastAsia="宋体" w:cs="宋体"/>
          <w:color w:val="000000" w:themeColor="text1"/>
          <w:sz w:val="24"/>
          <w:szCs w:val="24"/>
          <w:lang w:val="en-US" w:eastAsia="zh-CN"/>
          <w14:textFill>
            <w14:solidFill>
              <w14:schemeClr w14:val="tx1"/>
            </w14:solidFill>
          </w14:textFill>
        </w:rPr>
        <w:t>328.6</w:t>
      </w:r>
      <w:r>
        <w:rPr>
          <w:rFonts w:hint="eastAsia" w:ascii="宋体" w:hAnsi="宋体" w:eastAsia="宋体" w:cs="宋体"/>
          <w:color w:val="000000" w:themeColor="text1"/>
          <w:sz w:val="24"/>
          <w:szCs w:val="24"/>
          <w14:textFill>
            <w14:solidFill>
              <w14:schemeClr w14:val="tx1"/>
            </w14:solidFill>
          </w14:textFill>
        </w:rPr>
        <w:t>万元，环保投资为</w:t>
      </w:r>
      <w:r>
        <w:rPr>
          <w:rFonts w:hint="eastAsia" w:ascii="宋体" w:hAnsi="宋体" w:eastAsia="宋体" w:cs="宋体"/>
          <w:color w:val="000000" w:themeColor="text1"/>
          <w:sz w:val="24"/>
          <w:szCs w:val="24"/>
          <w:lang w:val="en-US" w:eastAsia="zh-CN"/>
          <w14:textFill>
            <w14:solidFill>
              <w14:schemeClr w14:val="tx1"/>
            </w14:solidFill>
          </w14:textFill>
        </w:rPr>
        <w:t>40</w:t>
      </w:r>
      <w:r>
        <w:rPr>
          <w:rFonts w:hint="eastAsia" w:ascii="宋体" w:hAnsi="宋体" w:eastAsia="宋体" w:cs="宋体"/>
          <w:color w:val="000000" w:themeColor="text1"/>
          <w:sz w:val="24"/>
          <w:szCs w:val="24"/>
          <w14:textFill>
            <w14:solidFill>
              <w14:schemeClr w14:val="tx1"/>
            </w14:solidFill>
          </w14:textFill>
        </w:rPr>
        <w:t>万元，所占比例为</w:t>
      </w:r>
      <w:r>
        <w:rPr>
          <w:rFonts w:hint="eastAsia" w:ascii="宋体" w:hAnsi="宋体" w:eastAsia="宋体" w:cs="宋体"/>
          <w:color w:val="000000" w:themeColor="text1"/>
          <w:sz w:val="24"/>
          <w:szCs w:val="24"/>
          <w:lang w:val="en-US" w:eastAsia="zh-CN"/>
          <w14:textFill>
            <w14:solidFill>
              <w14:schemeClr w14:val="tx1"/>
            </w14:solidFill>
          </w14:textFill>
        </w:rPr>
        <w:t>15.2</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（四）验收范围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本次验收的范围为</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项目及其配套建设的环保设施。</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（五）验收时间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根据项目环保管理相关规定，建设单位于2020年8月委托江西中明环境检测技术有限公司承担了该项目竣工环保验收工作。江西中明环境检测技术有限公司于2020年9月</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2020年9月</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日对该项目防治生态影响和环境污染措施、防范环境风险措施以及环境管理情况进行了全面检查和现场监测，在此基础上编制完成了本项目竣工环境保护验收</w:t>
      </w:r>
      <w:r>
        <w:rPr>
          <w:rFonts w:hint="eastAsia" w:ascii="宋体" w:hAnsi="宋体" w:eastAsia="宋体" w:cs="宋体"/>
          <w:color w:val="000000" w:themeColor="text1"/>
          <w:sz w:val="24"/>
          <w:szCs w:val="24"/>
          <w:lang w:eastAsia="zh-CN"/>
          <w14:textFill>
            <w14:solidFill>
              <w14:schemeClr w14:val="tx1"/>
            </w14:solidFill>
          </w14:textFill>
        </w:rPr>
        <w:t>调查</w:t>
      </w:r>
      <w:r>
        <w:rPr>
          <w:rFonts w:hint="eastAsia" w:ascii="宋体" w:hAnsi="宋体" w:eastAsia="宋体" w:cs="宋体"/>
          <w:color w:val="000000" w:themeColor="text1"/>
          <w:sz w:val="24"/>
          <w:szCs w:val="24"/>
          <w14:textFill>
            <w14:solidFill>
              <w14:schemeClr w14:val="tx1"/>
            </w14:solidFill>
          </w14:textFill>
        </w:rPr>
        <w:t>报告表。验收调查期间生产和环保设施运行正常，生产负荷符合验收监测要求。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二、工程变动情况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本项目的建设性质、规模、地点、生产工艺和环境保护措施五个因素与环评阶段对比均未发生重大变动。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三、环境保护设施建设情况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（一）废水</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本项目生活污水经化粪池预处理后用于周边林地灌溉，不外排。</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（二）废气</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电站内未设置员工食堂，无废气产生。</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（三）噪声</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本项目噪声主要来源于发电机组发电产生噪声，通过采用低噪设备、合理布局，关闭门窗生产降低噪声强度、减轻噪声污染，厂界噪声满足《工业企业厂界环境噪声排放标准》（GB12348-2008）中</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 xml:space="preserve">类标准。 </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（四）固体废物</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本项目固体废弃物主要是</w:t>
      </w:r>
      <w:r>
        <w:rPr>
          <w:rFonts w:hint="eastAsia" w:ascii="宋体" w:hAnsi="宋体" w:eastAsia="宋体" w:cs="宋体"/>
          <w:color w:val="000000" w:themeColor="text1"/>
          <w:spacing w:val="-6"/>
          <w:sz w:val="24"/>
          <w:szCs w:val="24"/>
          <w14:textFill>
            <w14:solidFill>
              <w14:schemeClr w14:val="tx1"/>
            </w14:solidFill>
          </w14:textFill>
        </w:rPr>
        <w:t>栅栏拦</w:t>
      </w:r>
      <w:r>
        <w:rPr>
          <w:rFonts w:hint="eastAsia" w:ascii="宋体" w:hAnsi="宋体" w:eastAsia="宋体" w:cs="宋体"/>
          <w:color w:val="000000" w:themeColor="text1"/>
          <w:spacing w:val="-7"/>
          <w:sz w:val="24"/>
          <w:szCs w:val="24"/>
          <w14:textFill>
            <w14:solidFill>
              <w14:schemeClr w14:val="tx1"/>
            </w14:solidFill>
          </w14:textFill>
        </w:rPr>
        <w:t>截的浮渣、</w:t>
      </w:r>
      <w:r>
        <w:rPr>
          <w:rFonts w:hint="eastAsia" w:ascii="宋体" w:hAnsi="宋体" w:eastAsia="宋体" w:cs="宋体"/>
          <w:color w:val="000000" w:themeColor="text1"/>
          <w:sz w:val="24"/>
          <w:szCs w:val="24"/>
          <w14:textFill>
            <w14:solidFill>
              <w14:schemeClr w14:val="tx1"/>
            </w14:solidFill>
          </w14:textFill>
        </w:rPr>
        <w:t>机组维修废机油、含油废抹布及其包装物和员工生活垃圾等。机组维修废机油在设备修理后由修理人员即时带走处理；</w:t>
      </w:r>
      <w:r>
        <w:rPr>
          <w:rFonts w:hint="eastAsia" w:ascii="宋体" w:hAnsi="宋体" w:eastAsia="宋体" w:cs="宋体"/>
          <w:color w:val="000000" w:themeColor="text1"/>
          <w:spacing w:val="-6"/>
          <w:sz w:val="24"/>
          <w:szCs w:val="24"/>
          <w14:textFill>
            <w14:solidFill>
              <w14:schemeClr w14:val="tx1"/>
            </w14:solidFill>
          </w14:textFill>
        </w:rPr>
        <w:t>栅栏拦</w:t>
      </w:r>
      <w:r>
        <w:rPr>
          <w:rFonts w:hint="eastAsia" w:ascii="宋体" w:hAnsi="宋体" w:eastAsia="宋体" w:cs="宋体"/>
          <w:color w:val="000000" w:themeColor="text1"/>
          <w:spacing w:val="-7"/>
          <w:sz w:val="24"/>
          <w:szCs w:val="24"/>
          <w14:textFill>
            <w14:solidFill>
              <w14:schemeClr w14:val="tx1"/>
            </w14:solidFill>
          </w14:textFill>
        </w:rPr>
        <w:t>截的浮渣、</w:t>
      </w:r>
      <w:r>
        <w:rPr>
          <w:rFonts w:hint="eastAsia" w:ascii="宋体" w:hAnsi="宋体" w:eastAsia="宋体" w:cs="宋体"/>
          <w:color w:val="000000" w:themeColor="text1"/>
          <w:sz w:val="24"/>
          <w:szCs w:val="24"/>
          <w14:textFill>
            <w14:solidFill>
              <w14:schemeClr w14:val="tx1"/>
            </w14:solidFill>
          </w14:textFill>
        </w:rPr>
        <w:t xml:space="preserve">含油废抹布及员工生活垃圾统一收集后与附近居民生活垃圾一起处理。 </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四、防治生态影响和环境污染措施、防范环境风险措施的落实情况</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根据《</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目竣工环境保护验收调查报告</w:t>
      </w:r>
      <w:r>
        <w:rPr>
          <w:rFonts w:hint="eastAsia" w:ascii="宋体" w:hAnsi="宋体" w:eastAsia="宋体" w:cs="宋体"/>
          <w:color w:val="000000" w:themeColor="text1"/>
          <w:sz w:val="24"/>
          <w:szCs w:val="24"/>
          <w:lang w:eastAsia="zh-CN"/>
          <w14:textFill>
            <w14:solidFill>
              <w14:schemeClr w14:val="tx1"/>
            </w14:solidFill>
          </w14:textFill>
        </w:rPr>
        <w:t>书</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1、废水</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本项目无生活污水和生产废水排放。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2、废气</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本项目无废气排放。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3、厂界噪声</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验收监测期间，项目厂界噪声监测点位昼间噪声均能够满足《工业企业厂界环境噪声排放标准》（GB 12348-2008）中</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类标准要求。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4、污染物排放总量</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本项目生活污水不外排，经过化粪池处理后回灌于周围农田，不进行废水污染物排放总量分析。</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5、生态流量下泄</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项目企业内部已设置明确的生态环境管理机制和制度；本次在大坝处设置生态流量下泄口，</w:t>
      </w:r>
      <w:r>
        <w:rPr>
          <w:rFonts w:hint="eastAsia" w:ascii="宋体" w:hAnsi="宋体" w:eastAsia="宋体" w:cs="宋体"/>
          <w:color w:val="000000" w:themeColor="text1"/>
          <w:spacing w:val="7"/>
          <w:sz w:val="24"/>
          <w:szCs w:val="24"/>
          <w14:textFill>
            <w14:solidFill>
              <w14:schemeClr w14:val="tx1"/>
            </w14:solidFill>
          </w14:textFill>
        </w:rPr>
        <w:t>最枯水期优先保障减水河段的生态用水需求，</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保障生态基流的调度措施，保证电站上游来水水量小于生态基流时，来水全部下泄，不再蓄水发电，在下泄生态流量口安装电磁流量计和摄像采集前端。</w:t>
      </w:r>
      <w:r>
        <w:rPr>
          <w:rFonts w:hint="eastAsia" w:ascii="宋体" w:hAnsi="宋体" w:eastAsia="宋体" w:cs="宋体"/>
          <w:color w:val="000000" w:themeColor="text1"/>
          <w:spacing w:val="0"/>
          <w:w w:val="100"/>
          <w:kern w:val="0"/>
          <w:position w:val="0"/>
          <w:sz w:val="24"/>
          <w:szCs w:val="24"/>
          <w:lang w:val="en-US" w:eastAsia="en-US"/>
          <w14:textFill>
            <w14:solidFill>
              <w14:schemeClr w14:val="tx1"/>
            </w14:solidFill>
          </w14:textFill>
        </w:rPr>
        <w:t>实现联网在线监测</w:t>
      </w:r>
      <w:r>
        <w:rPr>
          <w:rFonts w:hint="eastAsia" w:ascii="宋体" w:hAnsi="宋体" w:eastAsia="宋体" w:cs="宋体"/>
          <w:color w:val="000000" w:themeColor="text1"/>
          <w:sz w:val="24"/>
          <w:szCs w:val="24"/>
          <w14:textFill>
            <w14:solidFill>
              <w14:schemeClr w14:val="tx1"/>
            </w14:solidFill>
          </w14:textFill>
        </w:rPr>
        <w:t>。下泄流量过程满足生态环境要求并纳入水库调度和发电调度运行方案，确保下游生态环境用水，未造成河段脱水</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运营期应加强梯级电站联合生态调度工作，有规律的、周期性的制造人工洪峰，以尽可能地增加河流中鱼类的繁殖成功率。为鱼类产卵繁殖创造有利条件，下泄 0.0</w:t>
      </w:r>
      <w:r>
        <w:rPr>
          <w:rFonts w:hint="eastAsia" w:ascii="宋体" w:hAnsi="宋体" w:eastAsia="宋体" w:cs="宋体"/>
          <w:color w:val="000000" w:themeColor="text1"/>
          <w:spacing w:val="0"/>
          <w:w w:val="100"/>
          <w:kern w:val="0"/>
          <w:position w:val="0"/>
          <w:sz w:val="24"/>
          <w:szCs w:val="20"/>
          <w:lang w:val="en-US" w:eastAsia="zh-CN" w:bidi="ar-SA"/>
          <w14:textFill>
            <w14:solidFill>
              <w14:schemeClr w14:val="tx1"/>
            </w14:solidFill>
          </w14:textFill>
        </w:rPr>
        <w:t>54</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m</w:t>
      </w:r>
      <w:r>
        <w:rPr>
          <w:rFonts w:hint="eastAsia" w:ascii="宋体" w:hAnsi="宋体" w:eastAsia="宋体" w:cs="宋体"/>
          <w:color w:val="000000" w:themeColor="text1"/>
          <w:spacing w:val="0"/>
          <w:w w:val="100"/>
          <w:kern w:val="0"/>
          <w:position w:val="0"/>
          <w:sz w:val="24"/>
          <w:szCs w:val="20"/>
          <w:vertAlign w:val="superscript"/>
          <w:lang w:val="en-US" w:bidi="ar-SA"/>
          <w14:textFill>
            <w14:solidFill>
              <w14:schemeClr w14:val="tx1"/>
            </w14:solidFill>
          </w14:textFill>
        </w:rPr>
        <w:t>3</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/s(闸址处多年平均流量的10%)</w:t>
      </w:r>
      <w:r>
        <w:rPr>
          <w:rFonts w:hint="eastAsia" w:ascii="宋体" w:hAnsi="宋体" w:eastAsia="宋体" w:cs="宋体"/>
          <w:color w:val="000000" w:themeColor="text1"/>
          <w:spacing w:val="0"/>
          <w:w w:val="100"/>
          <w:kern w:val="0"/>
          <w:position w:val="0"/>
          <w:sz w:val="24"/>
          <w:szCs w:val="20"/>
          <w:lang w:val="en-US" w:eastAsia="zh-CN" w:bidi="ar-SA"/>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6、水生生态保护</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项目水电站的建设时间已比较久远，建设时未考虑过鱼设施，现水电站已运营多年，不适合施工建设过鱼设施，因此未设置洄游通道，且周边环境均已恢复，无需修复。</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7、水环境保护</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生活污水经化粪池处理后，用于周边林地灌溉，不外排，同时，本工程大坝为重力坝，属河道型水库，无法承担下游防洪任务。其洪水调度以保证大坝安全为前提，起调水位为正常蓄水位，采用控泄与敞泄相结合的方式。洪水调节时，不考虑机组参与泄洪。</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8、地下水保护</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项目周边植被葱郁，且无可能发生坍塌、滑坡的岸坡，项目定期开展周边地下水监测。</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9、环境保护管理制度</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项目水电站重视环境保护工作，电站制定了完整的安全环保管理制度，电站厂长作为环保工作的第一责任人，负责日常的环保管理工作。</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10、环境风险和应急措施</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本项目按照环评报告表及环评审批意见要求落实了各项环境风险防范指施，制定了切实可行的环境风险应急预案，完善并严格落实相关风险防范措施，其环境风险可控。</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五、工程建设对环境的影响</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根据验收调查结果，项目噪声达到验收执行标准，固体废物得到妥善处置，对周围生态环境影响较小。</w:t>
      </w:r>
      <w:r>
        <w:rPr>
          <w:rFonts w:hint="eastAsia" w:ascii="宋体" w:hAnsi="宋体" w:eastAsia="宋体" w:cs="宋体"/>
          <w:color w:val="000000" w:themeColor="text1"/>
          <w:spacing w:val="7"/>
          <w:sz w:val="24"/>
          <w:szCs w:val="24"/>
          <w14:textFill>
            <w14:solidFill>
              <w14:schemeClr w14:val="tx1"/>
            </w14:solidFill>
          </w14:textFill>
        </w:rPr>
        <w:t>最枯水期优先保障减水河段的生态用水需求，</w:t>
      </w:r>
      <w:r>
        <w:rPr>
          <w:rFonts w:hint="eastAsia" w:ascii="宋体" w:hAnsi="宋体" w:eastAsia="宋体" w:cs="宋体"/>
          <w:color w:val="000000" w:themeColor="text1"/>
          <w:spacing w:val="0"/>
          <w:w w:val="100"/>
          <w:kern w:val="0"/>
          <w:position w:val="0"/>
          <w:sz w:val="24"/>
          <w:szCs w:val="24"/>
          <w:lang w:eastAsia="zh-CN"/>
          <w14:textFill>
            <w14:solidFill>
              <w14:schemeClr w14:val="tx1"/>
            </w14:solidFill>
          </w14:textFill>
        </w:rPr>
        <w:t>保障生态基流的调度措施，保证电站上游来水水量小于生态基流时，来水全部下泄，不再蓄水发电，在下泄生态流量口安装电磁流量计和摄像采集前端。</w:t>
      </w:r>
      <w:r>
        <w:rPr>
          <w:rFonts w:hint="eastAsia" w:ascii="宋体" w:hAnsi="宋体" w:eastAsia="宋体" w:cs="宋体"/>
          <w:color w:val="000000" w:themeColor="text1"/>
          <w:spacing w:val="0"/>
          <w:w w:val="100"/>
          <w:kern w:val="0"/>
          <w:position w:val="0"/>
          <w:sz w:val="24"/>
          <w:szCs w:val="24"/>
          <w:lang w:val="en-US" w:eastAsia="en-US"/>
          <w14:textFill>
            <w14:solidFill>
              <w14:schemeClr w14:val="tx1"/>
            </w14:solidFill>
          </w14:textFill>
        </w:rPr>
        <w:t>实现联网在线监测</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运营期应加强梯级电站联合生态调度工作，有规律的、周期性的制造人工洪峰，以尽可能地增加河流中鱼类的繁殖成功率。为鱼类产卵繁殖创造有利条件，下泄0.0</w:t>
      </w:r>
      <w:r>
        <w:rPr>
          <w:rFonts w:hint="eastAsia" w:ascii="宋体" w:hAnsi="宋体" w:eastAsia="宋体" w:cs="宋体"/>
          <w:color w:val="000000" w:themeColor="text1"/>
          <w:spacing w:val="0"/>
          <w:w w:val="100"/>
          <w:kern w:val="0"/>
          <w:position w:val="0"/>
          <w:sz w:val="24"/>
          <w:szCs w:val="20"/>
          <w:lang w:val="en-US" w:eastAsia="zh-CN" w:bidi="ar-SA"/>
          <w14:textFill>
            <w14:solidFill>
              <w14:schemeClr w14:val="tx1"/>
            </w14:solidFill>
          </w14:textFill>
        </w:rPr>
        <w:t>54</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m</w:t>
      </w:r>
      <w:r>
        <w:rPr>
          <w:rFonts w:hint="eastAsia" w:ascii="宋体" w:hAnsi="宋体" w:eastAsia="宋体" w:cs="宋体"/>
          <w:color w:val="000000" w:themeColor="text1"/>
          <w:spacing w:val="0"/>
          <w:w w:val="100"/>
          <w:kern w:val="0"/>
          <w:position w:val="0"/>
          <w:sz w:val="24"/>
          <w:szCs w:val="20"/>
          <w:vertAlign w:val="superscript"/>
          <w:lang w:val="en-US" w:bidi="ar-SA"/>
          <w14:textFill>
            <w14:solidFill>
              <w14:schemeClr w14:val="tx1"/>
            </w14:solidFill>
          </w14:textFill>
        </w:rPr>
        <w:t>3</w:t>
      </w:r>
      <w:r>
        <w:rPr>
          <w:rFonts w:hint="eastAsia" w:ascii="宋体" w:hAnsi="宋体" w:eastAsia="宋体" w:cs="宋体"/>
          <w:color w:val="000000" w:themeColor="text1"/>
          <w:spacing w:val="0"/>
          <w:w w:val="100"/>
          <w:kern w:val="0"/>
          <w:position w:val="0"/>
          <w:sz w:val="24"/>
          <w:szCs w:val="20"/>
          <w:lang w:val="en-US" w:bidi="ar-SA"/>
          <w14:textFill>
            <w14:solidFill>
              <w14:schemeClr w14:val="tx1"/>
            </w14:solidFill>
          </w14:textFill>
        </w:rPr>
        <w:t>/s(闸址处多年平均流量的10%)</w:t>
      </w:r>
      <w:r>
        <w:rPr>
          <w:rFonts w:hint="eastAsia" w:ascii="宋体" w:hAnsi="宋体" w:eastAsia="宋体" w:cs="宋体"/>
          <w:color w:val="000000" w:themeColor="text1"/>
          <w:spacing w:val="0"/>
          <w:w w:val="100"/>
          <w:kern w:val="0"/>
          <w:position w:val="0"/>
          <w:sz w:val="24"/>
          <w:szCs w:val="20"/>
          <w:lang w:val="en-US" w:eastAsia="zh-CN" w:bidi="ar-SA"/>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六、验收结论</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验收组认真审阅了相关技术资料，结合本项目内容进行了现场踏勘，在充分讨论后认为该项目基本落实了环评及批复文件中的各项环保措施，达到了项目环境保护验收要求，对照《建设项目竣工环境保护验收暂行办法》，本项目不存在其中所规定的验收不合格情形，在完成验收组提出的整改意见前提下，同意该项目通过竣工环境保护自主验收。</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七、整改意见及后续要求</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1、建设单位应按照环评报告和批复要求进一步完善环境保护管理工作，严格落实防治生态影响和环境污染措施、防范环境风险措施，保证污染治理设施稳定正常运行，确保各项污染物达标排放。</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2、编制单位按照《建设项目竣工环境保护验收技术规范 生态影响类》（HJ/T394-2007）、《建设项目竣工环境保护验收技术规范 水利水电》（HJ 464-2009）等技术规范修改和完善《</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r>
        <w:rPr>
          <w:rFonts w:hint="eastAsia" w:ascii="宋体" w:hAnsi="宋体" w:eastAsia="宋体" w:cs="宋体"/>
          <w:color w:val="000000" w:themeColor="text1"/>
          <w:sz w:val="24"/>
          <w:szCs w:val="24"/>
          <w14:textFill>
            <w14:solidFill>
              <w14:schemeClr w14:val="tx1"/>
            </w14:solidFill>
          </w14:textFill>
        </w:rPr>
        <w:t>项目竣工环境保护验收调查报告</w:t>
      </w:r>
      <w:r>
        <w:rPr>
          <w:rFonts w:hint="eastAsia" w:ascii="宋体" w:hAnsi="宋体" w:eastAsia="宋体" w:cs="宋体"/>
          <w:color w:val="000000" w:themeColor="text1"/>
          <w:sz w:val="24"/>
          <w:szCs w:val="24"/>
          <w:lang w:eastAsia="zh-CN"/>
          <w14:textFill>
            <w14:solidFill>
              <w14:schemeClr w14:val="tx1"/>
            </w14:solidFill>
          </w14:textFill>
        </w:rPr>
        <w:t>书</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3、建设单位完善环境风险应急预案；定期开展突发环境事件应急演练，一旦发生突发环境事件，立即启动应急预案，防止造成环境污染和生态破坏，确保区域生态环境安全和饮用水供水安全；</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4、建设单位根据环评批复要求，项目运营中严格落实水库生态流量下泄措施、水生生态保护措施、水环境保护措施、地下水保护措施；</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5、按照国家技术规范要求，开展自行监测和信息公开，及时解决公众提出的环境问题，定期发布环境信息，主动接受社会监督；</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6、补充和规范环保设施等标示牌设置；</w:t>
      </w:r>
    </w:p>
    <w:p>
      <w:pPr>
        <w:keepNext w:val="0"/>
        <w:keepLines w:val="0"/>
        <w:pageBreakBefore w:val="0"/>
        <w:widowControl/>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7、建设单位必须根据国家法律法规和管理制度的相关要求，完善流域规划、水资源论证、水土保持、用地及林地、安全、防洪等方面的行政许可手续，接受相关管理部门的监督管理。</w:t>
      </w:r>
    </w:p>
    <w:p>
      <w:pPr>
        <w:rPr>
          <w:rFonts w:hint="eastAsia" w:ascii="宋体" w:hAnsi="宋体" w:eastAsia="宋体" w:cs="宋体"/>
          <w:color w:val="000000" w:themeColor="text1"/>
          <w:sz w:val="24"/>
          <w:szCs w:val="24"/>
          <w:lang w:eastAsia="zh-CN"/>
          <w14:textFill>
            <w14:solidFill>
              <w14:schemeClr w14:val="tx1"/>
            </w14:solidFill>
          </w14:textFill>
        </w:rPr>
      </w:pPr>
      <w:r>
        <w:rPr>
          <w:rFonts w:hint="eastAsia" w:asciiTheme="minorEastAsia" w:hAnsiTheme="minorEastAsia" w:eastAsiaTheme="minorEastAsia"/>
          <w:color w:val="000000" w:themeColor="text1"/>
          <w:sz w:val="21"/>
          <w:szCs w:val="21"/>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八、验收人员信息</w:t>
      </w:r>
    </w:p>
    <w:p>
      <w:pPr>
        <w:pStyle w:val="20"/>
        <w:spacing w:before="0" w:beforeAutospacing="0" w:after="0" w:afterAutospacing="0" w:line="320" w:lineRule="exact"/>
        <w:ind w:firstLine="480" w:firstLineChars="200"/>
        <w:jc w:val="both"/>
        <w:outlineLvl w:val="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参加验收的单位及人员名单</w:t>
      </w:r>
      <w:r>
        <w:rPr>
          <w:rFonts w:hint="eastAsia" w:ascii="宋体" w:hAnsi="宋体" w:eastAsia="宋体" w:cs="宋体"/>
          <w:color w:val="000000" w:themeColor="text1"/>
          <w:sz w:val="24"/>
          <w:szCs w:val="24"/>
          <w:lang w:eastAsia="zh-CN"/>
          <w14:textFill>
            <w14:solidFill>
              <w14:schemeClr w14:val="tx1"/>
            </w14:solidFill>
          </w14:textFill>
        </w:rPr>
        <w:t>详见附表</w:t>
      </w:r>
      <w:r>
        <w:rPr>
          <w:rFonts w:hint="eastAsia" w:ascii="宋体" w:hAnsi="宋体" w:eastAsia="宋体" w:cs="宋体"/>
          <w:color w:val="000000" w:themeColor="text1"/>
          <w:sz w:val="24"/>
          <w:szCs w:val="24"/>
          <w14:textFill>
            <w14:solidFill>
              <w14:schemeClr w14:val="tx1"/>
            </w14:solidFill>
          </w14:textFill>
        </w:rPr>
        <w:t>：</w:t>
      </w:r>
    </w:p>
    <w:p>
      <w:pPr>
        <w:pStyle w:val="20"/>
        <w:wordWrap w:val="0"/>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 </w:t>
      </w: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pStyle w:val="20"/>
        <w:wordWrap/>
        <w:spacing w:before="0" w:beforeAutospacing="0" w:after="0" w:afterAutospacing="0" w:line="312" w:lineRule="auto"/>
        <w:ind w:firstLine="480" w:firstLineChars="200"/>
        <w:jc w:val="right"/>
        <w:outlineLvl w:val="0"/>
        <w:rPr>
          <w:rFonts w:hint="eastAsia" w:ascii="宋体" w:hAnsi="宋体" w:eastAsia="宋体" w:cs="宋体"/>
          <w:color w:val="000000" w:themeColor="text1"/>
          <w:sz w:val="24"/>
          <w:szCs w:val="24"/>
          <w:lang w:val="en-US" w:eastAsia="zh-CN"/>
          <w14:textFill>
            <w14:solidFill>
              <w14:schemeClr w14:val="tx1"/>
            </w14:solidFill>
          </w14:textFill>
        </w:rPr>
      </w:pPr>
    </w:p>
    <w:p>
      <w:pP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b w:val="0"/>
          <w:bCs/>
          <w:color w:val="000000" w:themeColor="text1"/>
          <w:kern w:val="0"/>
          <w:sz w:val="24"/>
          <w:szCs w:val="24"/>
          <w:lang w:eastAsia="zh-CN"/>
          <w14:textFill>
            <w14:solidFill>
              <w14:schemeClr w14:val="tx1"/>
            </w14:solidFill>
          </w14:textFill>
        </w:rPr>
        <w:t>青原区东固东井冈水电站</w:t>
      </w:r>
    </w:p>
    <w:p>
      <w:pP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2020年9月</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日</w:t>
      </w:r>
    </w:p>
    <w:p>
      <w:pPr>
        <w:rPr>
          <w:rFonts w:hint="eastAsia" w:ascii="宋体" w:hAnsi="宋体" w:eastAsia="宋体" w:cs="宋体"/>
          <w:color w:val="000000" w:themeColor="text1"/>
          <w:sz w:val="24"/>
          <w:szCs w:val="24"/>
          <w14:textFill>
            <w14:solidFill>
              <w14:schemeClr w14:val="tx1"/>
            </w14:solidFill>
          </w14:textFill>
        </w:rPr>
      </w:pPr>
    </w:p>
    <w:p>
      <w:pPr>
        <w:pStyle w:val="2"/>
        <w:rPr>
          <w:rFonts w:hint="eastAsia"/>
          <w:color w:val="000000" w:themeColor="text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pStyle w:val="2"/>
        <w:spacing w:before="10"/>
        <w:rPr>
          <w:sz w:val="14"/>
        </w:rPr>
        <w:sectPr>
          <w:pgSz w:w="16840" w:h="11910" w:orient="landscape"/>
          <w:pgMar w:top="1580" w:right="1460" w:bottom="1560" w:left="1000" w:header="0" w:footer="683" w:gutter="0"/>
        </w:sectPr>
      </w:pPr>
      <w:r>
        <w:rPr>
          <w:color w:val="000000" w:themeColor="text1"/>
          <w14:textFill>
            <w14:solidFill>
              <w14:schemeClr w14:val="tx1"/>
            </w14:solidFill>
          </w14:textFill>
        </w:rPr>
        <w:drawing>
          <wp:inline distT="0" distB="0" distL="114300" distR="114300">
            <wp:extent cx="8858885" cy="5185410"/>
            <wp:effectExtent l="0" t="0" r="18415" b="152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3"/>
                    <a:stretch>
                      <a:fillRect/>
                    </a:stretch>
                  </pic:blipFill>
                  <pic:spPr>
                    <a:xfrm>
                      <a:off x="0" y="0"/>
                      <a:ext cx="8858885" cy="5185410"/>
                    </a:xfrm>
                    <a:prstGeom prst="rect">
                      <a:avLst/>
                    </a:prstGeom>
                    <a:noFill/>
                    <a:ln>
                      <a:noFill/>
                    </a:ln>
                  </pic:spPr>
                </pic:pic>
              </a:graphicData>
            </a:graphic>
          </wp:inline>
        </w:drawing>
      </w:r>
    </w:p>
    <w:p>
      <w:pPr>
        <w:pStyle w:val="2"/>
        <w:rPr>
          <w:sz w:val="20"/>
        </w:rPr>
      </w:pPr>
    </w:p>
    <w:sectPr>
      <w:pgSz w:w="11910" w:h="16840"/>
      <w:pgMar w:top="1560" w:right="1560" w:bottom="880" w:left="1580" w:header="0" w:footer="68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827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3" name="直线 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9.8pt;margin-top:782.55pt;height:0pt;width:415.6pt;mso-position-horizontal-relative:page;mso-position-vertical-relative:page;z-index:-25583820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g7y269kAAAAOAQAADwAAAAAAAAABACAAAAAiAAAA&#10;ZHJzL2Rvd25yZXYueG1sUEsBAhQAFAAAAAgAh07iQL0VsQ/NAQAAjQMAAA4AAAAAAAAAAQAgAAAA&#10;KA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9296" behindDoc="1" locked="0" layoutInCell="1" allowOverlap="1">
              <wp:simplePos x="0" y="0"/>
              <wp:positionH relativeFrom="page">
                <wp:posOffset>3840480</wp:posOffset>
              </wp:positionH>
              <wp:positionV relativeFrom="page">
                <wp:posOffset>9945370</wp:posOffset>
              </wp:positionV>
              <wp:extent cx="107950" cy="152400"/>
              <wp:effectExtent l="0" t="0" r="0" b="0"/>
              <wp:wrapNone/>
              <wp:docPr id="17" name="文本框 2"/>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2" o:spid="_x0000_s1026" o:spt="202" type="#_x0000_t202" style="position:absolute;left:0pt;margin-left:302.4pt;margin-top:783.1pt;height:12pt;width:8.5pt;mso-position-horizontal-relative:page;mso-position-vertical-relative:page;z-index:-255837184;mso-width-relative:page;mso-height-relative:page;" filled="f" stroked="f" coordsize="21600,21600" o:gfxdata="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LHuMfzZAAAADQEAAA8AAAAAAAAA&#10;AQAgAAAAIgAAAGRycy9kb3ducmV2LnhtbFBLAQIUABQAAAAIAIdO4kB0OZzcngEAACQDAAAOAAAA&#10;AAAAAAEAIAAAACgBAABkcnMvZTJvRG9jLnhtbFBLBQYAAAAABgAGAFkBAAA4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84416"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16" name="直线 24"/>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4" o:spid="_x0000_s1026" o:spt="20" style="position:absolute;left:0pt;margin-left:284.1pt;margin-top:792.1pt;height:0pt;width:27pt;mso-position-horizontal-relative:page;mso-position-vertical-relative:page;z-index:-255832064;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wmXlDYAAAADQEAAA8AAAAAAAAAAQAgAAAAIgAA&#10;AGRycy9kb3ducmV2LnhtbFBLAQIUABQAAAAIAIdO4kB6BWYKzwEAAI8DAAAOAAAAAAAAAAEAIAAA&#10;ACc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5440" behindDoc="1" locked="0" layoutInCell="1" allowOverlap="1">
              <wp:simplePos x="0" y="0"/>
              <wp:positionH relativeFrom="page">
                <wp:posOffset>3811905</wp:posOffset>
              </wp:positionH>
              <wp:positionV relativeFrom="page">
                <wp:posOffset>10067290</wp:posOffset>
              </wp:positionV>
              <wp:extent cx="166370" cy="152400"/>
              <wp:effectExtent l="0" t="0" r="0" b="0"/>
              <wp:wrapNone/>
              <wp:docPr id="117" name="文本框 2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wps:txbx>
                    <wps:bodyPr lIns="0" tIns="0" rIns="0" bIns="0" upright="1"/>
                  </wps:wsp>
                </a:graphicData>
              </a:graphic>
            </wp:anchor>
          </w:drawing>
        </mc:Choice>
        <mc:Fallback>
          <w:pict>
            <v:shape id="文本框 25" o:spid="_x0000_s1026" o:spt="202" type="#_x0000_t202" style="position:absolute;left:0pt;margin-left:300.15pt;margin-top:792.7pt;height:12pt;width:13.1pt;mso-position-horizontal-relative:page;mso-position-vertical-relative:page;z-index:-255831040;mso-width-relative:page;mso-height-relative:page;" filled="f" stroked="f" coordsize="21600,21600" o:gfxdata="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B5why2wAAAA0BAAAPAAAA&#10;AAAAAAEAIAAAACIAAABkcnMvZG93bnJldi54bWxQSwECFAAUAAAACACHTuJAO22FsqABAAAmAwAA&#10;DgAAAAAAAAABACAAAAAqAQAAZHJzL2Uyb0RvYy54bWxQSwUGAAAAAAYABgBZAQAAPA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506944" behindDoc="1" locked="0" layoutInCell="1" allowOverlap="1">
              <wp:simplePos x="0" y="0"/>
              <wp:positionH relativeFrom="page">
                <wp:posOffset>3608070</wp:posOffset>
              </wp:positionH>
              <wp:positionV relativeFrom="page">
                <wp:posOffset>10059670</wp:posOffset>
              </wp:positionV>
              <wp:extent cx="342900" cy="0"/>
              <wp:effectExtent l="0" t="0" r="0" b="0"/>
              <wp:wrapNone/>
              <wp:docPr id="8" name="直线 24"/>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4" o:spid="_x0000_s1026" o:spt="20" style="position:absolute;left:0pt;margin-left:284.1pt;margin-top:792.1pt;height:0pt;width:27pt;mso-position-horizontal-relative:page;mso-position-vertical-relative:page;z-index:-255809536;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&#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8Jl5Q2AAAAA0BAAAPAAAAAAAAAAEAIAAAACIAAABk&#10;cnMvZG93bnJldi54bWxQSwECFAAUAAAACACHTuJA5HfDGs0BAACNAwAADgAAAAAAAAABACAAAAAn&#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507968" behindDoc="1" locked="0" layoutInCell="1" allowOverlap="1">
              <wp:simplePos x="0" y="0"/>
              <wp:positionH relativeFrom="page">
                <wp:posOffset>3811905</wp:posOffset>
              </wp:positionH>
              <wp:positionV relativeFrom="page">
                <wp:posOffset>10067290</wp:posOffset>
              </wp:positionV>
              <wp:extent cx="166370" cy="152400"/>
              <wp:effectExtent l="0" t="0" r="0" b="0"/>
              <wp:wrapNone/>
              <wp:docPr id="9" name="文本框 2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wps:txbx>
                    <wps:bodyPr lIns="0" tIns="0" rIns="0" bIns="0" upright="1"/>
                  </wps:wsp>
                </a:graphicData>
              </a:graphic>
            </wp:anchor>
          </w:drawing>
        </mc:Choice>
        <mc:Fallback>
          <w:pict>
            <v:shape id="文本框 25" o:spid="_x0000_s1026" o:spt="202" type="#_x0000_t202" style="position:absolute;left:0pt;margin-left:300.15pt;margin-top:792.7pt;height:12pt;width:13.1pt;mso-position-horizontal-relative:page;mso-position-vertical-relative:page;z-index:-255808512;mso-width-relative:page;mso-height-relative:page;" filled="f" stroked="f" coordsize="21600,21600" o:gfxdata="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AHnCHLbAAAADQEAAA8AAAAA&#10;AAAAAQAgAAAAIgAAAGRycy9kb3ducmV2LnhtbFBLAQIUABQAAAAIAIdO4kBOnfuKnwEAACQDAAAO&#10;AAAAAAAAAAEAIAAAACo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55</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w:t>
                          </w:r>
                          <w:r>
                            <w:rPr>
                              <w:rFonts w:hint="eastAsia"/>
                              <w:lang w:eastAsia="zh-CN"/>
                            </w:rPr>
                            <w:fldChar w:fldCharType="end"/>
                          </w:r>
                          <w:r>
                            <w:rPr>
                              <w:rFonts w:hint="eastAsia"/>
                              <w:lang w:eastAsia="zh-CN"/>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OqXm5zwAAAAUBAAAP&#10;AAAAAAAAAAEAIAAAACIAAABkcnMvZG93bnJldi54bWxQSwECFAAUAAAACACHTuJAN/e7pK8BAABN&#10;AwAADgAAAAAAAAABACAAAAAeAQAAZHJzL2Uyb0RvYy54bWxQSwUGAAAAAAYABgBZAQAAPwUAAAAA&#10;">
              <v:fill on="f" focussize="0,0"/>
              <v:stroke on="f"/>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w:t>
                    </w:r>
                    <w:r>
                      <w:rPr>
                        <w:rFonts w:hint="eastAsia"/>
                        <w:lang w:eastAsia="zh-CN"/>
                      </w:rPr>
                      <w:fldChar w:fldCharType="end"/>
                    </w:r>
                    <w:r>
                      <w:rPr>
                        <w:rFonts w:hint="eastAsia"/>
                        <w:lang w:eastAsia="zh-CN"/>
                      </w:rPr>
                      <w:t xml:space="preserve"> 页</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w:t>
                          </w:r>
                          <w:r>
                            <w:rPr>
                              <w:rFonts w:hint="eastAsia"/>
                              <w:lang w:eastAsia="zh-CN"/>
                            </w:rPr>
                            <w:fldChar w:fldCharType="end"/>
                          </w:r>
                          <w:r>
                            <w:rPr>
                              <w:rFonts w:hint="eastAsia"/>
                              <w:lang w:eastAsia="zh-CN"/>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C9Wmv1rgEAAE0D&#10;AAAOAAAAAAAAAAEAIAAAAB4BAABkcnMvZTJvRG9jLnhtbFBLBQYAAAAABgAGAFkBAAA+BQAAAAA=&#10;">
              <v:fill on="f" focussize="0,0"/>
              <v:stroke on="f"/>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w:t>
                    </w:r>
                    <w:r>
                      <w:rPr>
                        <w:rFonts w:hint="eastAsia"/>
                        <w:lang w:eastAsia="zh-CN"/>
                      </w:rPr>
                      <w:fldChar w:fldCharType="end"/>
                    </w:r>
                    <w:r>
                      <w:rPr>
                        <w:rFonts w:hint="eastAsia"/>
                        <w:lang w:eastAsia="zh-CN"/>
                      </w:rPr>
                      <w:t xml:space="preserve"> 页</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505920" behindDoc="1" locked="0" layoutInCell="1" allowOverlap="1">
              <wp:simplePos x="0" y="0"/>
              <wp:positionH relativeFrom="page">
                <wp:posOffset>5174615</wp:posOffset>
              </wp:positionH>
              <wp:positionV relativeFrom="page">
                <wp:posOffset>6927850</wp:posOffset>
              </wp:positionV>
              <wp:extent cx="342900" cy="0"/>
              <wp:effectExtent l="0" t="0" r="0" b="0"/>
              <wp:wrapNone/>
              <wp:docPr id="11" name="直线 2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407.45pt;margin-top:545.5pt;height:0pt;width:27pt;mso-position-horizontal-relative:page;mso-position-vertical-relative:page;z-index:-255810560;mso-width-relative:page;mso-height-relative:page;" filled="f" stroked="t" coordsize="21600,21600" o:gfxdata="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&#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Une8n1wAAAA0BAAAPAAAAAAAAAAEAIAAAACIAAABk&#10;cnMvZG93bnJldi54bWxQSwECFAAUAAAACACHTuJAKdooO84BAACOAwAADgAAAAAAAAABACAAAAAm&#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506944" behindDoc="1" locked="0" layoutInCell="1" allowOverlap="1">
              <wp:simplePos x="0" y="0"/>
              <wp:positionH relativeFrom="page">
                <wp:posOffset>5376545</wp:posOffset>
              </wp:positionH>
              <wp:positionV relativeFrom="page">
                <wp:posOffset>6935470</wp:posOffset>
              </wp:positionV>
              <wp:extent cx="166370" cy="152400"/>
              <wp:effectExtent l="0" t="0" r="0" b="0"/>
              <wp:wrapNone/>
              <wp:docPr id="12" name="文本框 2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wps:txbx>
                    <wps:bodyPr lIns="0" tIns="0" rIns="0" bIns="0" upright="1"/>
                  </wps:wsp>
                </a:graphicData>
              </a:graphic>
            </wp:anchor>
          </w:drawing>
        </mc:Choice>
        <mc:Fallback>
          <w:pict>
            <v:shape id="文本框 29" o:spid="_x0000_s1026" o:spt="202" type="#_x0000_t202" style="position:absolute;left:0pt;margin-left:423.35pt;margin-top:546.1pt;height:12pt;width:13.1pt;mso-position-horizontal-relative:page;mso-position-vertical-relative:page;z-index:-255809536;mso-width-relative:page;mso-height-relative:page;" filled="f" stroked="f" coordsize="21600,21600" o:gfxdata="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JuKXi7bAAAADQEAAA8AAAAA&#10;AAAAAQAgAAAAIgAAAGRycy9kb3ducmV2LnhtbFBLAQIUABQAAAAIAIdO4kCifzZnnwEAACUDAAAO&#10;AAAAAAAAAAEAIAAAACo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8512" behindDoc="1" locked="0" layoutInCell="1" allowOverlap="1">
              <wp:simplePos x="0" y="0"/>
              <wp:positionH relativeFrom="page">
                <wp:posOffset>5174615</wp:posOffset>
              </wp:positionH>
              <wp:positionV relativeFrom="page">
                <wp:posOffset>6927850</wp:posOffset>
              </wp:positionV>
              <wp:extent cx="342900" cy="0"/>
              <wp:effectExtent l="0" t="0" r="0" b="0"/>
              <wp:wrapNone/>
              <wp:docPr id="120" name="直线 28"/>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407.45pt;margin-top:545.5pt;height:0pt;width:27pt;mso-position-horizontal-relative:page;mso-position-vertical-relative:page;z-index:-255827968;mso-width-relative:page;mso-height-relative:page;" filled="f" stroked="t" coordsize="21600,21600" o:gfxdata="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&#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Une8n1wAAAA0BAAAPAAAAAAAAAAEAIAAAACIAAABk&#10;cnMvZG93bnJldi54bWxQSwECFAAUAAAACACHTuJAxA6SuM4BAACPAwAADgAAAAAAAAABACAAAAAm&#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9536" behindDoc="1" locked="0" layoutInCell="1" allowOverlap="1">
              <wp:simplePos x="0" y="0"/>
              <wp:positionH relativeFrom="page">
                <wp:posOffset>5376545</wp:posOffset>
              </wp:positionH>
              <wp:positionV relativeFrom="page">
                <wp:posOffset>6935470</wp:posOffset>
              </wp:positionV>
              <wp:extent cx="166370" cy="152400"/>
              <wp:effectExtent l="0" t="0" r="0" b="0"/>
              <wp:wrapNone/>
              <wp:docPr id="121" name="文本框 2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wps:txbx>
                    <wps:bodyPr lIns="0" tIns="0" rIns="0" bIns="0" upright="1"/>
                  </wps:wsp>
                </a:graphicData>
              </a:graphic>
            </wp:anchor>
          </w:drawing>
        </mc:Choice>
        <mc:Fallback>
          <w:pict>
            <v:shape id="文本框 29" o:spid="_x0000_s1026" o:spt="202" type="#_x0000_t202" style="position:absolute;left:0pt;margin-left:423.35pt;margin-top:546.1pt;height:12pt;width:13.1pt;mso-position-horizontal-relative:page;mso-position-vertical-relative:page;z-index:-255826944;mso-width-relative:page;mso-height-relative:page;" filled="f" stroked="f" coordsize="21600,21600" o:gfxdata="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bil4u2wAAAA0BAAAPAAAA&#10;AAAAAAEAIAAAACIAAABkcnMvZG93bnJldi54bWxQSwECFAAUAAAACACHTuJAVgwufaABAAAmAwAA&#10;DgAAAAAAAAABACAAAAAqAQAAZHJzL2Uyb0RvYy54bWxQSwUGAAAAAAYABgBZAQAAPA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67</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490560"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22" name="直线 30"/>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0" o:spid="_x0000_s1026" o:spt="20" style="position:absolute;left:0pt;margin-left:284.1pt;margin-top:792.1pt;height:0pt;width:27pt;mso-position-horizontal-relative:page;mso-position-vertical-relative:page;z-index:-255825920;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&#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8Jl5Q2AAAAA0BAAAPAAAAAAAAAAEAIAAAACIAAABk&#10;cnMvZG93bnJldi54bWxQSwECFAAUAAAACACHTuJAUrqa+M0BAACPAwAADgAAAAAAAAABACAAAAAn&#10;AQAAZHJzL2Uyb0RvYy54bWxQSwUGAAAAAAYABgBZAQAAZg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91584" behindDoc="1" locked="0" layoutInCell="1" allowOverlap="1">
              <wp:simplePos x="0" y="0"/>
              <wp:positionH relativeFrom="page">
                <wp:posOffset>3811905</wp:posOffset>
              </wp:positionH>
              <wp:positionV relativeFrom="page">
                <wp:posOffset>10067290</wp:posOffset>
              </wp:positionV>
              <wp:extent cx="166370" cy="152400"/>
              <wp:effectExtent l="0" t="0" r="0" b="0"/>
              <wp:wrapNone/>
              <wp:docPr id="123" name="文本框 3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wps:txbx>
                    <wps:bodyPr lIns="0" tIns="0" rIns="0" bIns="0" upright="1"/>
                  </wps:wsp>
                </a:graphicData>
              </a:graphic>
            </wp:anchor>
          </w:drawing>
        </mc:Choice>
        <mc:Fallback>
          <w:pict>
            <v:shape id="文本框 31" o:spid="_x0000_s1026" o:spt="202" type="#_x0000_t202" style="position:absolute;left:0pt;margin-left:300.15pt;margin-top:792.7pt;height:12pt;width:13.1pt;mso-position-horizontal-relative:page;mso-position-vertical-relative:page;z-index:-255824896;mso-width-relative:page;mso-height-relative:page;" filled="f" stroked="f" coordsize="21600,21600" o:gfxdata="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B5why2wAAAA0BAAAPAAAA&#10;AAAAAAEAIAAAACIAAABkcnMvZG93bnJldi54bWxQSwECFAAUAAAACACHTuJAu0ZVDKABAAAmAwAA&#10;DgAAAAAAAAABACAAAAAqAQAAZHJzL2Uyb0RvYy54bWxQSwUGAAAAAAYABgBZAQAAPA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2"/>
      </w:rPr>
    </w:pPr>
    <w:r>
      <mc:AlternateContent>
        <mc:Choice Requires="wps">
          <w:drawing>
            <wp:anchor distT="0" distB="0" distL="114300" distR="114300" simplePos="0" relativeHeight="247507968" behindDoc="1" locked="0" layoutInCell="1" allowOverlap="1">
              <wp:simplePos x="0" y="0"/>
              <wp:positionH relativeFrom="page">
                <wp:posOffset>3608070</wp:posOffset>
              </wp:positionH>
              <wp:positionV relativeFrom="page">
                <wp:posOffset>10059670</wp:posOffset>
              </wp:positionV>
              <wp:extent cx="342900" cy="0"/>
              <wp:effectExtent l="0" t="0" r="0" b="0"/>
              <wp:wrapNone/>
              <wp:docPr id="1" name="直线 30"/>
              <wp:cNvGraphicFramePr/>
              <a:graphic xmlns:a="http://schemas.openxmlformats.org/drawingml/2006/main">
                <a:graphicData uri="http://schemas.microsoft.com/office/word/2010/wordprocessingShape">
                  <wps:wsp>
                    <wps:cNvCnPr/>
                    <wps:spPr>
                      <a:xfrm>
                        <a:off x="0" y="0"/>
                        <a:ext cx="34290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0" o:spid="_x0000_s1026" o:spt="20" style="position:absolute;left:0pt;margin-left:284.1pt;margin-top:792.1pt;height:0pt;width:27pt;mso-position-horizontal-relative:page;mso-position-vertical-relative:page;z-index:-255808512;mso-width-relative:page;mso-height-relative:page;" filled="f" stroked="t" coordsize="21600,21600" o:gfxdata="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vCZeUNgAAAANAQAADwAAAAAAAAABACAAAAAiAAAAZHJz&#10;L2Rvd25yZXYueG1sUEsBAhQAFAAAAAgAh07iQFQD/E3LAQAAjQMAAA4AAAAAAAAAAQAgAAAAJwEA&#10;AGRycy9lMm9Eb2MueG1sUEsFBgAAAAAGAAYAWQEAAGQ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508992" behindDoc="1" locked="0" layoutInCell="1" allowOverlap="1">
              <wp:simplePos x="0" y="0"/>
              <wp:positionH relativeFrom="page">
                <wp:posOffset>3811905</wp:posOffset>
              </wp:positionH>
              <wp:positionV relativeFrom="page">
                <wp:posOffset>10067290</wp:posOffset>
              </wp:positionV>
              <wp:extent cx="166370" cy="1524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wps:txbx>
                    <wps:bodyPr lIns="0" tIns="0" rIns="0" bIns="0" upright="1"/>
                  </wps:wsp>
                </a:graphicData>
              </a:graphic>
            </wp:anchor>
          </w:drawing>
        </mc:Choice>
        <mc:Fallback>
          <w:pict>
            <v:shape id="_x0000_s1026" o:spid="_x0000_s1026" o:spt="202" type="#_x0000_t202" style="position:absolute;left:0pt;margin-left:300.15pt;margin-top:792.7pt;height:12pt;width:13.1pt;mso-position-horizontal-relative:page;mso-position-vertical-relative:page;z-index:-255807488;mso-width-relative:page;mso-height-relative:page;" filled="f" stroked="f" coordsize="21600,21600" o:gfxdata="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AHnCHLbAAAADQEAAA8AAAAA&#10;AAAAAQAgAAAAIgAAAGRycy9kb3ducmV2LnhtbFBLAQIUABQAAAAIAIdO4kAxo8QfnwEAACUDAAAO&#10;AAAAAAAAAAEAIAAAACo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086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3" name="直线 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9.8pt;margin-top:782.55pt;height:0pt;width:415.6pt;mso-position-horizontal-relative:page;mso-position-vertical-relative:page;z-index:-25585561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DFD5oLzgEAAI4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1888" behindDoc="1" locked="0" layoutInCell="1" allowOverlap="1">
              <wp:simplePos x="0" y="0"/>
              <wp:positionH relativeFrom="page">
                <wp:posOffset>3840480</wp:posOffset>
              </wp:positionH>
              <wp:positionV relativeFrom="page">
                <wp:posOffset>9945370</wp:posOffset>
              </wp:positionV>
              <wp:extent cx="107950" cy="152400"/>
              <wp:effectExtent l="0" t="0" r="0" b="0"/>
              <wp:wrapNone/>
              <wp:docPr id="94" name="文本框 2"/>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wps:txbx>
                    <wps:bodyPr lIns="0" tIns="0" rIns="0" bIns="0" upright="1"/>
                  </wps:wsp>
                </a:graphicData>
              </a:graphic>
            </wp:anchor>
          </w:drawing>
        </mc:Choice>
        <mc:Fallback>
          <w:pict>
            <v:shape id="文本框 2" o:spid="_x0000_s1026" o:spt="202" type="#_x0000_t202" style="position:absolute;left:0pt;margin-left:302.4pt;margin-top:783.1pt;height:12pt;width:8.5pt;mso-position-horizontal-relative:page;mso-position-vertical-relative:page;z-index:-255854592;mso-width-relative:page;mso-height-relative:page;" filled="f" stroked="f" coordsize="21600,21600" o:gfxdata="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x7jH82QAAAA0BAAAPAAAAAAAA&#10;AAEAIAAAACIAAABkcnMvZG93bnJldi54bWxQSwECFAAUAAAACACHTuJAxjLtmp8BAAAkAwAADgAA&#10;AAAAAAABACAAAAAo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6291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95" name="直线 3"/>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89.8pt;margin-top:782.55pt;height:0pt;width:415.6pt;mso-position-horizontal-relative:page;mso-position-vertical-relative:page;z-index:-25585356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Sto4988BAACO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3936" behindDoc="1" locked="0" layoutInCell="1" allowOverlap="1">
              <wp:simplePos x="0" y="0"/>
              <wp:positionH relativeFrom="page">
                <wp:posOffset>3811905</wp:posOffset>
              </wp:positionH>
              <wp:positionV relativeFrom="page">
                <wp:posOffset>9945370</wp:posOffset>
              </wp:positionV>
              <wp:extent cx="166370" cy="152400"/>
              <wp:effectExtent l="0" t="0" r="0" b="0"/>
              <wp:wrapNone/>
              <wp:docPr id="96" name="文本框 4"/>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4" o:spid="_x0000_s1026" o:spt="202" type="#_x0000_t202" style="position:absolute;left:0pt;margin-left:300.15pt;margin-top:783.1pt;height:12pt;width:13.1pt;mso-position-horizontal-relative:page;mso-position-vertical-relative:page;z-index:-255852544;mso-width-relative:page;mso-height-relative:page;" filled="f" stroked="f" coordsize="21600,21600" o:gfxdata="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U2nnz2QAAAA0BAAAPAAAAAAAA&#10;AAEAIAAAACIAAABkcnMvZG93bnJldi54bWxQSwECFAAUAAAACACHTuJAgfjipZ8BAAAkAwAADgAA&#10;AAAAAAABACAAAAAo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16"/>
      </w:rPr>
    </w:pPr>
    <w:r>
      <mc:AlternateContent>
        <mc:Choice Requires="wps">
          <w:drawing>
            <wp:anchor distT="0" distB="0" distL="114300" distR="114300" simplePos="0" relativeHeight="247467008" behindDoc="1" locked="0" layoutInCell="1" allowOverlap="1">
              <wp:simplePos x="0" y="0"/>
              <wp:positionH relativeFrom="page">
                <wp:posOffset>1143000</wp:posOffset>
              </wp:positionH>
              <wp:positionV relativeFrom="page">
                <wp:posOffset>6806565</wp:posOffset>
              </wp:positionV>
              <wp:extent cx="8406130" cy="0"/>
              <wp:effectExtent l="0" t="0" r="0" b="0"/>
              <wp:wrapNone/>
              <wp:docPr id="99" name="直线 7"/>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7" o:spid="_x0000_s1026" o:spt="20" style="position:absolute;left:0pt;margin-left:90pt;margin-top:535.95pt;height:0pt;width:661.9pt;mso-position-horizontal-relative:page;mso-position-vertical-relative:page;z-index:-255849472;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2It6zNgAAAAOAQAADwAAAAAAAAABACAAAAAiAAAA&#10;ZHJzL2Rvd25yZXYueG1sUEsBAhQAFAAAAAgAh07iQORvYr/OAQAAjgMAAA4AAAAAAAAAAQAgAAAA&#10;JwEAAGRycy9lMm9Eb2MueG1sUEsFBgAAAAAGAAYAWQEAAGcFA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68032" behindDoc="1" locked="0" layoutInCell="1" allowOverlap="1">
              <wp:simplePos x="0" y="0"/>
              <wp:positionH relativeFrom="page">
                <wp:posOffset>5376545</wp:posOffset>
              </wp:positionH>
              <wp:positionV relativeFrom="page">
                <wp:posOffset>6813550</wp:posOffset>
              </wp:positionV>
              <wp:extent cx="166370" cy="152400"/>
              <wp:effectExtent l="0" t="0" r="0" b="0"/>
              <wp:wrapNone/>
              <wp:docPr id="100" name="文本框 8"/>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8" o:spid="_x0000_s1026" o:spt="202" type="#_x0000_t202" style="position:absolute;left:0pt;margin-left:423.35pt;margin-top:536.5pt;height:12pt;width:13.1pt;mso-position-horizontal-relative:page;mso-position-vertical-relative:page;z-index:-255848448;mso-width-relative:page;mso-height-relative:page;" filled="f" stroked="f" coordsize="21600,21600" o:gfxdata="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ZzLSs2gAAAA0BAAAPAAAAAAAA&#10;AAEAIAAAACIAAABkcnMvZG93bnJldi54bWxQSwECFAAUAAAACACHTuJA4xDtzp4BAAAlAwAADgAA&#10;AAAAAAABACAAAAApAQAAZHJzL2Uyb0RvYy54bWxQSwUGAAAAAAYABgBZAQAAOQ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1104"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03" name="直线 11"/>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1" o:spid="_x0000_s1026" o:spt="20" style="position:absolute;left:0pt;margin-left:89.8pt;margin-top:782.55pt;height:0pt;width:415.6pt;mso-position-horizontal-relative:page;mso-position-vertical-relative:page;z-index:-255845376;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DvLbr2QAAAA4BAAAPAAAAAAAAAAEAIAAAACIA&#10;AABkcnMvZG93bnJldi54bWxQSwECFAAUAAAACACHTuJA3b0Ta8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2128" behindDoc="1" locked="0" layoutInCell="1" allowOverlap="1">
              <wp:simplePos x="0" y="0"/>
              <wp:positionH relativeFrom="page">
                <wp:posOffset>3811905</wp:posOffset>
              </wp:positionH>
              <wp:positionV relativeFrom="page">
                <wp:posOffset>9945370</wp:posOffset>
              </wp:positionV>
              <wp:extent cx="166370" cy="152400"/>
              <wp:effectExtent l="0" t="0" r="0" b="0"/>
              <wp:wrapNone/>
              <wp:docPr id="104" name="文本框 1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12" o:spid="_x0000_s1026" o:spt="202" type="#_x0000_t202" style="position:absolute;left:0pt;margin-left:300.15pt;margin-top:783.1pt;height:12pt;width:13.1pt;mso-position-horizontal-relative:page;mso-position-vertical-relative:page;z-index:-255844352;mso-width-relative:page;mso-height-relative:page;" filled="f" stroked="f" coordsize="21600,21600" o:gfxdata="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lNp589kAAAANAQAADwAAAAAA&#10;AAABACAAAAAiAAAAZHJzL2Rvd25yZXYueG1sUEsBAhQAFAAAAAgAh07iQB3xefS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4176" behindDoc="1" locked="0" layoutInCell="1" allowOverlap="1">
              <wp:simplePos x="0" y="0"/>
              <wp:positionH relativeFrom="page">
                <wp:posOffset>1143000</wp:posOffset>
              </wp:positionH>
              <wp:positionV relativeFrom="page">
                <wp:posOffset>6806565</wp:posOffset>
              </wp:positionV>
              <wp:extent cx="8406130" cy="0"/>
              <wp:effectExtent l="0" t="0" r="0" b="0"/>
              <wp:wrapNone/>
              <wp:docPr id="106" name="直线 14"/>
              <wp:cNvGraphicFramePr/>
              <a:graphic xmlns:a="http://schemas.openxmlformats.org/drawingml/2006/main">
                <a:graphicData uri="http://schemas.microsoft.com/office/word/2010/wordprocessingShape">
                  <wps:wsp>
                    <wps:cNvCnPr/>
                    <wps:spPr>
                      <a:xfrm>
                        <a:off x="0" y="0"/>
                        <a:ext cx="840613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4" o:spid="_x0000_s1026" o:spt="20" style="position:absolute;left:0pt;margin-left:90pt;margin-top:535.95pt;height:0pt;width:661.9pt;mso-position-horizontal-relative:page;mso-position-vertical-relative:page;z-index:-255842304;mso-width-relative:page;mso-height-relative:page;" filled="f" stroked="t" coordsize="21600,21600" o:gfxdata="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Yi3rM2AAAAA4BAAAPAAAAAAAAAAEAIAAAACIA&#10;AABkcnMvZG93bnJldi54bWxQSwECFAAUAAAACACHTuJAM+o2KNABAACQAwAADgAAAAAAAAABACAA&#10;AAAn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5200" behindDoc="1" locked="0" layoutInCell="1" allowOverlap="1">
              <wp:simplePos x="0" y="0"/>
              <wp:positionH relativeFrom="page">
                <wp:posOffset>5389245</wp:posOffset>
              </wp:positionH>
              <wp:positionV relativeFrom="page">
                <wp:posOffset>6813550</wp:posOffset>
              </wp:positionV>
              <wp:extent cx="140970" cy="152400"/>
              <wp:effectExtent l="0" t="0" r="0" b="0"/>
              <wp:wrapNone/>
              <wp:docPr id="107" name="文本框 15"/>
              <wp:cNvGraphicFramePr/>
              <a:graphic xmlns:a="http://schemas.openxmlformats.org/drawingml/2006/main">
                <a:graphicData uri="http://schemas.microsoft.com/office/word/2010/wordprocessingShape">
                  <wps:wsp>
                    <wps:cNvSpPr txBox="1"/>
                    <wps:spPr>
                      <a:xfrm>
                        <a:off x="0" y="0"/>
                        <a:ext cx="140970" cy="152400"/>
                      </a:xfrm>
                      <a:prstGeom prst="rect">
                        <a:avLst/>
                      </a:prstGeom>
                      <a:noFill/>
                      <a:ln>
                        <a:noFill/>
                      </a:ln>
                    </wps:spPr>
                    <wps:txbx>
                      <w:txbxContent>
                        <w:p>
                          <w:pPr>
                            <w:spacing w:before="12"/>
                            <w:ind w:left="20" w:right="0" w:firstLine="0"/>
                            <w:jc w:val="left"/>
                            <w:rPr>
                              <w:rFonts w:ascii="Times New Roman"/>
                              <w:sz w:val="18"/>
                            </w:rPr>
                          </w:pPr>
                          <w:r>
                            <w:rPr>
                              <w:rFonts w:ascii="Times New Roman"/>
                              <w:sz w:val="18"/>
                            </w:rPr>
                            <w:t>36</w:t>
                          </w:r>
                        </w:p>
                      </w:txbxContent>
                    </wps:txbx>
                    <wps:bodyPr lIns="0" tIns="0" rIns="0" bIns="0" upright="1"/>
                  </wps:wsp>
                </a:graphicData>
              </a:graphic>
            </wp:anchor>
          </w:drawing>
        </mc:Choice>
        <mc:Fallback>
          <w:pict>
            <v:shape id="文本框 15" o:spid="_x0000_s1026" o:spt="202" type="#_x0000_t202" style="position:absolute;left:0pt;margin-left:424.35pt;margin-top:536.5pt;height:12pt;width:11.1pt;mso-position-horizontal-relative:page;mso-position-vertical-relative:page;z-index:-255841280;mso-width-relative:page;mso-height-relative:page;" filled="f" stroked="f" coordsize="21600,21600" o:gfxdata="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JoODaAAAADQEAAA8AAAAA&#10;AAAAAQAgAAAAIgAAAGRycy9kb3ducmV2LnhtbFBLAQIUABQAAAAIAIdO4kDtx9ZboAEAACYDAAAO&#10;AAAAAAAAAAEAIAAAACkBAABkcnMvZTJvRG9jLnhtbFBLBQYAAAAABgAGAFkBAAA7BQAAAAA=&#10;">
              <v:fill on="f" focussize="0,0"/>
              <v:stroke on="f"/>
              <v:imagedata o:title=""/>
              <o:lock v:ext="edit" aspectratio="f"/>
              <v:textbox inset="0mm,0mm,0mm,0mm">
                <w:txbxContent>
                  <w:p>
                    <w:pPr>
                      <w:spacing w:before="12"/>
                      <w:ind w:left="20" w:right="0" w:firstLine="0"/>
                      <w:jc w:val="left"/>
                      <w:rPr>
                        <w:rFonts w:ascii="Times New Roman"/>
                        <w:sz w:val="18"/>
                      </w:rPr>
                    </w:pPr>
                    <w:r>
                      <w:rPr>
                        <w:rFonts w:ascii="Times New Roman"/>
                        <w:sz w:val="18"/>
                      </w:rPr>
                      <w:t>36</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78272" behindDoc="1" locked="0" layoutInCell="1" allowOverlap="1">
              <wp:simplePos x="0" y="0"/>
              <wp:positionH relativeFrom="page">
                <wp:posOffset>1140460</wp:posOffset>
              </wp:positionH>
              <wp:positionV relativeFrom="page">
                <wp:posOffset>9938385</wp:posOffset>
              </wp:positionV>
              <wp:extent cx="5278120" cy="0"/>
              <wp:effectExtent l="0" t="0" r="0" b="0"/>
              <wp:wrapNone/>
              <wp:docPr id="110" name="直线 18"/>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18" o:spid="_x0000_s1026" o:spt="20" style="position:absolute;left:0pt;margin-left:89.8pt;margin-top:782.55pt;height:0pt;width:415.6pt;mso-position-horizontal-relative:page;mso-position-vertical-relative:page;z-index:-255838208;mso-width-relative:page;mso-height-relative:page;" filled="f" stroked="t" coordsize="21600,21600" o:gfxdata="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O8tuvZAAAADgEAAA8AAAAAAAAAAQAgAAAAIgAA&#10;AGRycy9kb3ducmV2LnhtbFBLAQIUABQAAAAIAIdO4kATgheIzgEAAJADAAAOAAAAAAAAAAEAIAAA&#10;ACgBAABkcnMvZTJvRG9jLnhtbFBLBQYAAAAABgAGAFkBAABoBQ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79296" behindDoc="1" locked="0" layoutInCell="1" allowOverlap="1">
              <wp:simplePos x="0" y="0"/>
              <wp:positionH relativeFrom="page">
                <wp:posOffset>3811905</wp:posOffset>
              </wp:positionH>
              <wp:positionV relativeFrom="page">
                <wp:posOffset>9945370</wp:posOffset>
              </wp:positionV>
              <wp:extent cx="166370" cy="152400"/>
              <wp:effectExtent l="0" t="0" r="0" b="0"/>
              <wp:wrapNone/>
              <wp:docPr id="111" name="文本框 1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19" o:spid="_x0000_s1026" o:spt="202" type="#_x0000_t202" style="position:absolute;left:0pt;margin-left:300.15pt;margin-top:783.1pt;height:12pt;width:13.1pt;mso-position-horizontal-relative:page;mso-position-vertical-relative:page;z-index:-255837184;mso-width-relative:page;mso-height-relative:page;" filled="f" stroked="f" coordsize="21600,21600" o:gfxdata="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lNp589kAAAANAQAADwAAAAAA&#10;AAABACAAAAAiAAAAZHJzL2Rvd25yZXYueG1sUEsBAhQAFAAAAAgAh07iQNISJZq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47482368" behindDoc="1" locked="0" layoutInCell="1" allowOverlap="1">
              <wp:simplePos x="0" y="0"/>
              <wp:positionH relativeFrom="page">
                <wp:posOffset>1140460</wp:posOffset>
              </wp:positionH>
              <wp:positionV relativeFrom="page">
                <wp:posOffset>9848850</wp:posOffset>
              </wp:positionV>
              <wp:extent cx="5278120" cy="0"/>
              <wp:effectExtent l="0" t="0" r="0" b="0"/>
              <wp:wrapNone/>
              <wp:docPr id="114" name="直线 22"/>
              <wp:cNvGraphicFramePr/>
              <a:graphic xmlns:a="http://schemas.openxmlformats.org/drawingml/2006/main">
                <a:graphicData uri="http://schemas.microsoft.com/office/word/2010/wordprocessingShape">
                  <wps:wsp>
                    <wps:cNvCnPr/>
                    <wps:spPr>
                      <a:xfrm>
                        <a:off x="0" y="0"/>
                        <a:ext cx="5278120" cy="0"/>
                      </a:xfrm>
                      <a:prstGeom prst="line">
                        <a:avLst/>
                      </a:prstGeom>
                      <a:ln w="6096" cap="flat" cmpd="sng">
                        <a:solidFill>
                          <a:srgbClr val="000000"/>
                        </a:solidFill>
                        <a:prstDash val="solid"/>
                        <a:headEnd type="none" w="med" len="med"/>
                        <a:tailEnd type="none" w="med" len="med"/>
                      </a:ln>
                    </wps:spPr>
                    <wps:bodyPr upright="1"/>
                  </wps:wsp>
                </a:graphicData>
              </a:graphic>
            </wp:anchor>
          </w:drawing>
        </mc:Choice>
        <mc:Fallback>
          <w:pict>
            <v:line id="直线 22" o:spid="_x0000_s1026" o:spt="20" style="position:absolute;left:0pt;margin-left:89.8pt;margin-top:775.5pt;height:0pt;width:415.6pt;mso-position-horizontal-relative:page;mso-position-vertical-relative:page;z-index:-255834112;mso-width-relative:page;mso-height-relative:page;" filled="f" stroked="t" coordsize="21600,21600" o:gfxdata="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1quZ02QAAAA4BAAAPAAAAAAAAAAEAIAAAACIA&#10;AABkcnMvZG93bnJldi54bWxQSwECFAAUAAAACACHTuJATgKy1s8BAACQAwAADgAAAAAAAAABACAA&#10;AAAoAQAAZHJzL2Uyb0RvYy54bWxQSwUGAAAAAAYABgBZAQAAaQUAAAAA&#10;">
              <v:fill on="f" focussize="0,0"/>
              <v:stroke weight="0.48pt" color="#000000" joinstyle="round"/>
              <v:imagedata o:title=""/>
              <o:lock v:ext="edit" aspectratio="f"/>
            </v:line>
          </w:pict>
        </mc:Fallback>
      </mc:AlternateContent>
    </w:r>
    <w:r>
      <mc:AlternateContent>
        <mc:Choice Requires="wps">
          <w:drawing>
            <wp:anchor distT="0" distB="0" distL="114300" distR="114300" simplePos="0" relativeHeight="247483392" behindDoc="1" locked="0" layoutInCell="1" allowOverlap="1">
              <wp:simplePos x="0" y="0"/>
              <wp:positionH relativeFrom="page">
                <wp:posOffset>3811905</wp:posOffset>
              </wp:positionH>
              <wp:positionV relativeFrom="page">
                <wp:posOffset>9855835</wp:posOffset>
              </wp:positionV>
              <wp:extent cx="166370" cy="152400"/>
              <wp:effectExtent l="0" t="0" r="0" b="0"/>
              <wp:wrapNone/>
              <wp:docPr id="115" name="文本框 23"/>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wps:txbx>
                    <wps:bodyPr lIns="0" tIns="0" rIns="0" bIns="0" upright="1"/>
                  </wps:wsp>
                </a:graphicData>
              </a:graphic>
            </wp:anchor>
          </w:drawing>
        </mc:Choice>
        <mc:Fallback>
          <w:pict>
            <v:shape id="文本框 23" o:spid="_x0000_s1026" o:spt="202" type="#_x0000_t202" style="position:absolute;left:0pt;margin-left:300.15pt;margin-top:776.05pt;height:12pt;width:13.1pt;mso-position-horizontal-relative:page;mso-position-vertical-relative:page;z-index:-255833088;mso-width-relative:page;mso-height-relative:page;" filled="f" stroked="f" coordsize="21600,21600" o:gfxdata="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lXCgdkAAAANAQAADwAAAAAA&#10;AAABACAAAAAiAAAAZHJzL2Rvd25yZXYueG1sUEsBAhQAFAAAAAgAh07iQAlPUUi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6"/>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2135" w:hanging="601"/>
      </w:pPr>
      <w:rPr>
        <w:rFonts w:hint="default"/>
        <w:lang w:val="zh-CN" w:eastAsia="zh-CN" w:bidi="zh-CN"/>
      </w:rPr>
    </w:lvl>
    <w:lvl w:ilvl="4" w:tentative="0">
      <w:start w:val="0"/>
      <w:numFmt w:val="bullet"/>
      <w:lvlText w:val="•"/>
      <w:lvlJc w:val="left"/>
      <w:pPr>
        <w:ind w:left="3071" w:hanging="601"/>
      </w:pPr>
      <w:rPr>
        <w:rFonts w:hint="default"/>
        <w:lang w:val="zh-CN" w:eastAsia="zh-CN" w:bidi="zh-CN"/>
      </w:rPr>
    </w:lvl>
    <w:lvl w:ilvl="5" w:tentative="0">
      <w:start w:val="0"/>
      <w:numFmt w:val="bullet"/>
      <w:lvlText w:val="•"/>
      <w:lvlJc w:val="left"/>
      <w:pPr>
        <w:ind w:left="4007" w:hanging="601"/>
      </w:pPr>
      <w:rPr>
        <w:rFonts w:hint="default"/>
        <w:lang w:val="zh-CN" w:eastAsia="zh-CN" w:bidi="zh-CN"/>
      </w:rPr>
    </w:lvl>
    <w:lvl w:ilvl="6" w:tentative="0">
      <w:start w:val="0"/>
      <w:numFmt w:val="bullet"/>
      <w:lvlText w:val="•"/>
      <w:lvlJc w:val="left"/>
      <w:pPr>
        <w:ind w:left="4943" w:hanging="601"/>
      </w:pPr>
      <w:rPr>
        <w:rFonts w:hint="default"/>
        <w:lang w:val="zh-CN" w:eastAsia="zh-CN" w:bidi="zh-CN"/>
      </w:rPr>
    </w:lvl>
    <w:lvl w:ilvl="7" w:tentative="0">
      <w:start w:val="0"/>
      <w:numFmt w:val="bullet"/>
      <w:lvlText w:val="•"/>
      <w:lvlJc w:val="left"/>
      <w:pPr>
        <w:ind w:left="5878" w:hanging="601"/>
      </w:pPr>
      <w:rPr>
        <w:rFonts w:hint="default"/>
        <w:lang w:val="zh-CN" w:eastAsia="zh-CN" w:bidi="zh-CN"/>
      </w:rPr>
    </w:lvl>
    <w:lvl w:ilvl="8" w:tentative="0">
      <w:start w:val="0"/>
      <w:numFmt w:val="bullet"/>
      <w:lvlText w:val="•"/>
      <w:lvlJc w:val="left"/>
      <w:pPr>
        <w:ind w:left="6814" w:hanging="601"/>
      </w:pPr>
      <w:rPr>
        <w:rFonts w:hint="default"/>
        <w:lang w:val="zh-CN" w:eastAsia="zh-CN" w:bidi="zh-CN"/>
      </w:rPr>
    </w:lvl>
  </w:abstractNum>
  <w:abstractNum w:abstractNumId="1">
    <w:nsid w:val="9288B902"/>
    <w:multiLevelType w:val="multilevel"/>
    <w:tmpl w:val="9288B902"/>
    <w:lvl w:ilvl="0" w:tentative="0">
      <w:start w:val="1"/>
      <w:numFmt w:val="decimal"/>
      <w:lvlText w:val="（%1）"/>
      <w:lvlJc w:val="left"/>
      <w:pPr>
        <w:ind w:left="13" w:hanging="601"/>
        <w:jc w:val="left"/>
      </w:pPr>
      <w:rPr>
        <w:rFonts w:hint="default" w:ascii="仿宋" w:hAnsi="仿宋" w:eastAsia="仿宋" w:cs="仿宋"/>
        <w:spacing w:val="-29"/>
        <w:w w:val="100"/>
        <w:sz w:val="22"/>
        <w:szCs w:val="22"/>
        <w:lang w:val="zh-CN" w:eastAsia="zh-CN" w:bidi="zh-CN"/>
      </w:rPr>
    </w:lvl>
    <w:lvl w:ilvl="1" w:tentative="0">
      <w:start w:val="0"/>
      <w:numFmt w:val="bullet"/>
      <w:lvlText w:val="•"/>
      <w:lvlJc w:val="left"/>
      <w:pPr>
        <w:ind w:left="597" w:hanging="601"/>
      </w:pPr>
      <w:rPr>
        <w:rFonts w:hint="default"/>
        <w:lang w:val="zh-CN" w:eastAsia="zh-CN" w:bidi="zh-CN"/>
      </w:rPr>
    </w:lvl>
    <w:lvl w:ilvl="2" w:tentative="0">
      <w:start w:val="0"/>
      <w:numFmt w:val="bullet"/>
      <w:lvlText w:val="•"/>
      <w:lvlJc w:val="left"/>
      <w:pPr>
        <w:ind w:left="1174" w:hanging="601"/>
      </w:pPr>
      <w:rPr>
        <w:rFonts w:hint="default"/>
        <w:lang w:val="zh-CN" w:eastAsia="zh-CN" w:bidi="zh-CN"/>
      </w:rPr>
    </w:lvl>
    <w:lvl w:ilvl="3" w:tentative="0">
      <w:start w:val="0"/>
      <w:numFmt w:val="bullet"/>
      <w:lvlText w:val="•"/>
      <w:lvlJc w:val="left"/>
      <w:pPr>
        <w:ind w:left="1752" w:hanging="601"/>
      </w:pPr>
      <w:rPr>
        <w:rFonts w:hint="default"/>
        <w:lang w:val="zh-CN" w:eastAsia="zh-CN" w:bidi="zh-CN"/>
      </w:rPr>
    </w:lvl>
    <w:lvl w:ilvl="4" w:tentative="0">
      <w:start w:val="0"/>
      <w:numFmt w:val="bullet"/>
      <w:lvlText w:val="•"/>
      <w:lvlJc w:val="left"/>
      <w:pPr>
        <w:ind w:left="2329" w:hanging="601"/>
      </w:pPr>
      <w:rPr>
        <w:rFonts w:hint="default"/>
        <w:lang w:val="zh-CN" w:eastAsia="zh-CN" w:bidi="zh-CN"/>
      </w:rPr>
    </w:lvl>
    <w:lvl w:ilvl="5" w:tentative="0">
      <w:start w:val="0"/>
      <w:numFmt w:val="bullet"/>
      <w:lvlText w:val="•"/>
      <w:lvlJc w:val="left"/>
      <w:pPr>
        <w:ind w:left="2907" w:hanging="601"/>
      </w:pPr>
      <w:rPr>
        <w:rFonts w:hint="default"/>
        <w:lang w:val="zh-CN" w:eastAsia="zh-CN" w:bidi="zh-CN"/>
      </w:rPr>
    </w:lvl>
    <w:lvl w:ilvl="6" w:tentative="0">
      <w:start w:val="0"/>
      <w:numFmt w:val="bullet"/>
      <w:lvlText w:val="•"/>
      <w:lvlJc w:val="left"/>
      <w:pPr>
        <w:ind w:left="3484" w:hanging="601"/>
      </w:pPr>
      <w:rPr>
        <w:rFonts w:hint="default"/>
        <w:lang w:val="zh-CN" w:eastAsia="zh-CN" w:bidi="zh-CN"/>
      </w:rPr>
    </w:lvl>
    <w:lvl w:ilvl="7" w:tentative="0">
      <w:start w:val="0"/>
      <w:numFmt w:val="bullet"/>
      <w:lvlText w:val="•"/>
      <w:lvlJc w:val="left"/>
      <w:pPr>
        <w:ind w:left="4061" w:hanging="601"/>
      </w:pPr>
      <w:rPr>
        <w:rFonts w:hint="default"/>
        <w:lang w:val="zh-CN" w:eastAsia="zh-CN" w:bidi="zh-CN"/>
      </w:rPr>
    </w:lvl>
    <w:lvl w:ilvl="8" w:tentative="0">
      <w:start w:val="0"/>
      <w:numFmt w:val="bullet"/>
      <w:lvlText w:val="•"/>
      <w:lvlJc w:val="left"/>
      <w:pPr>
        <w:ind w:left="4639" w:hanging="601"/>
      </w:pPr>
      <w:rPr>
        <w:rFonts w:hint="default"/>
        <w:lang w:val="zh-CN" w:eastAsia="zh-CN" w:bidi="zh-CN"/>
      </w:rPr>
    </w:lvl>
  </w:abstractNum>
  <w:abstractNum w:abstractNumId="2">
    <w:nsid w:val="B3A59149"/>
    <w:multiLevelType w:val="singleLevel"/>
    <w:tmpl w:val="B3A59149"/>
    <w:lvl w:ilvl="0" w:tentative="0">
      <w:start w:val="2"/>
      <w:numFmt w:val="decimal"/>
      <w:suff w:val="nothing"/>
      <w:lvlText w:val="%1、"/>
      <w:lvlJc w:val="left"/>
    </w:lvl>
  </w:abstractNum>
  <w:abstractNum w:abstractNumId="3">
    <w:nsid w:val="BE923771"/>
    <w:multiLevelType w:val="multilevel"/>
    <w:tmpl w:val="BE923771"/>
    <w:lvl w:ilvl="0" w:tentative="0">
      <w:start w:val="4"/>
      <w:numFmt w:val="decimal"/>
      <w:lvlText w:val="%1"/>
      <w:lvlJc w:val="left"/>
      <w:pPr>
        <w:ind w:left="740" w:hanging="603"/>
        <w:jc w:val="left"/>
      </w:pPr>
      <w:rPr>
        <w:rFonts w:hint="default"/>
        <w:lang w:val="zh-CN" w:eastAsia="zh-CN" w:bidi="zh-CN"/>
      </w:rPr>
    </w:lvl>
    <w:lvl w:ilvl="1" w:tentative="0">
      <w:start w:val="2"/>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3）"/>
      <w:lvlJc w:val="left"/>
      <w:pPr>
        <w:ind w:left="1192" w:hanging="601"/>
        <w:jc w:val="left"/>
      </w:pPr>
      <w:rPr>
        <w:rFonts w:hint="default" w:ascii="仿宋" w:hAnsi="仿宋" w:eastAsia="仿宋" w:cs="仿宋"/>
        <w:w w:val="100"/>
        <w:sz w:val="22"/>
        <w:szCs w:val="22"/>
        <w:lang w:val="zh-CN" w:eastAsia="zh-CN" w:bidi="zh-CN"/>
      </w:rPr>
    </w:lvl>
    <w:lvl w:ilvl="3" w:tentative="0">
      <w:start w:val="0"/>
      <w:numFmt w:val="bullet"/>
      <w:lvlText w:val="•"/>
      <w:lvlJc w:val="left"/>
      <w:pPr>
        <w:ind w:left="3085" w:hanging="601"/>
      </w:pPr>
      <w:rPr>
        <w:rFonts w:hint="default"/>
        <w:lang w:val="zh-CN" w:eastAsia="zh-CN" w:bidi="zh-CN"/>
      </w:rPr>
    </w:lvl>
    <w:lvl w:ilvl="4" w:tentative="0">
      <w:start w:val="0"/>
      <w:numFmt w:val="bullet"/>
      <w:lvlText w:val="•"/>
      <w:lvlJc w:val="left"/>
      <w:pPr>
        <w:ind w:left="4028" w:hanging="601"/>
      </w:pPr>
      <w:rPr>
        <w:rFonts w:hint="default"/>
        <w:lang w:val="zh-CN" w:eastAsia="zh-CN" w:bidi="zh-CN"/>
      </w:rPr>
    </w:lvl>
    <w:lvl w:ilvl="5" w:tentative="0">
      <w:start w:val="0"/>
      <w:numFmt w:val="bullet"/>
      <w:lvlText w:val="•"/>
      <w:lvlJc w:val="left"/>
      <w:pPr>
        <w:ind w:left="4971" w:hanging="601"/>
      </w:pPr>
      <w:rPr>
        <w:rFonts w:hint="default"/>
        <w:lang w:val="zh-CN" w:eastAsia="zh-CN" w:bidi="zh-CN"/>
      </w:rPr>
    </w:lvl>
    <w:lvl w:ilvl="6" w:tentative="0">
      <w:start w:val="0"/>
      <w:numFmt w:val="bullet"/>
      <w:lvlText w:val="•"/>
      <w:lvlJc w:val="left"/>
      <w:pPr>
        <w:ind w:left="5914" w:hanging="601"/>
      </w:pPr>
      <w:rPr>
        <w:rFonts w:hint="default"/>
        <w:lang w:val="zh-CN" w:eastAsia="zh-CN" w:bidi="zh-CN"/>
      </w:rPr>
    </w:lvl>
    <w:lvl w:ilvl="7" w:tentative="0">
      <w:start w:val="0"/>
      <w:numFmt w:val="bullet"/>
      <w:lvlText w:val="•"/>
      <w:lvlJc w:val="left"/>
      <w:pPr>
        <w:ind w:left="6857" w:hanging="601"/>
      </w:pPr>
      <w:rPr>
        <w:rFonts w:hint="default"/>
        <w:lang w:val="zh-CN" w:eastAsia="zh-CN" w:bidi="zh-CN"/>
      </w:rPr>
    </w:lvl>
    <w:lvl w:ilvl="8" w:tentative="0">
      <w:start w:val="0"/>
      <w:numFmt w:val="bullet"/>
      <w:lvlText w:val="•"/>
      <w:lvlJc w:val="left"/>
      <w:pPr>
        <w:ind w:left="7800" w:hanging="601"/>
      </w:pPr>
      <w:rPr>
        <w:rFonts w:hint="default"/>
        <w:lang w:val="zh-CN" w:eastAsia="zh-CN" w:bidi="zh-CN"/>
      </w:rPr>
    </w:lvl>
  </w:abstractNum>
  <w:abstractNum w:abstractNumId="4">
    <w:nsid w:val="CF092B84"/>
    <w:multiLevelType w:val="multilevel"/>
    <w:tmpl w:val="CF092B84"/>
    <w:lvl w:ilvl="0" w:tentative="0">
      <w:start w:val="1"/>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617"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498" w:hanging="601"/>
      </w:pPr>
      <w:rPr>
        <w:rFonts w:hint="default"/>
        <w:lang w:val="zh-CN" w:eastAsia="zh-CN" w:bidi="zh-CN"/>
      </w:rPr>
    </w:lvl>
    <w:lvl w:ilvl="5" w:tentative="0">
      <w:start w:val="0"/>
      <w:numFmt w:val="bullet"/>
      <w:lvlText w:val="•"/>
      <w:lvlJc w:val="left"/>
      <w:pPr>
        <w:ind w:left="3676" w:hanging="601"/>
      </w:pPr>
      <w:rPr>
        <w:rFonts w:hint="default"/>
        <w:lang w:val="zh-CN" w:eastAsia="zh-CN" w:bidi="zh-CN"/>
      </w:rPr>
    </w:lvl>
    <w:lvl w:ilvl="6" w:tentative="0">
      <w:start w:val="0"/>
      <w:numFmt w:val="bullet"/>
      <w:lvlText w:val="•"/>
      <w:lvlJc w:val="left"/>
      <w:pPr>
        <w:ind w:left="4854" w:hanging="601"/>
      </w:pPr>
      <w:rPr>
        <w:rFonts w:hint="default"/>
        <w:lang w:val="zh-CN" w:eastAsia="zh-CN" w:bidi="zh-CN"/>
      </w:rPr>
    </w:lvl>
    <w:lvl w:ilvl="7" w:tentative="0">
      <w:start w:val="0"/>
      <w:numFmt w:val="bullet"/>
      <w:lvlText w:val="•"/>
      <w:lvlJc w:val="left"/>
      <w:pPr>
        <w:ind w:left="6032" w:hanging="601"/>
      </w:pPr>
      <w:rPr>
        <w:rFonts w:hint="default"/>
        <w:lang w:val="zh-CN" w:eastAsia="zh-CN" w:bidi="zh-CN"/>
      </w:rPr>
    </w:lvl>
    <w:lvl w:ilvl="8" w:tentative="0">
      <w:start w:val="0"/>
      <w:numFmt w:val="bullet"/>
      <w:lvlText w:val="•"/>
      <w:lvlJc w:val="left"/>
      <w:pPr>
        <w:ind w:left="7210" w:hanging="601"/>
      </w:pPr>
      <w:rPr>
        <w:rFonts w:hint="default"/>
        <w:lang w:val="zh-CN" w:eastAsia="zh-CN" w:bidi="zh-CN"/>
      </w:rPr>
    </w:lvl>
  </w:abstractNum>
  <w:abstractNum w:abstractNumId="5">
    <w:nsid w:val="F4B5D9F5"/>
    <w:multiLevelType w:val="multilevel"/>
    <w:tmpl w:val="F4B5D9F5"/>
    <w:lvl w:ilvl="0" w:tentative="0">
      <w:start w:val="3"/>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b/>
        <w:bCs/>
        <w:spacing w:val="-2"/>
        <w:w w:val="100"/>
        <w:lang w:val="zh-CN" w:eastAsia="zh-CN" w:bidi="zh-CN"/>
      </w:rPr>
    </w:lvl>
    <w:lvl w:ilvl="3" w:tentative="0">
      <w:start w:val="1"/>
      <w:numFmt w:val="decimal"/>
      <w:lvlText w:val="%1.%2.%3.%4"/>
      <w:lvlJc w:val="left"/>
      <w:pPr>
        <w:ind w:left="1397" w:hanging="699"/>
        <w:jc w:val="left"/>
      </w:pPr>
      <w:rPr>
        <w:rFonts w:hint="default" w:ascii="Times New Roman" w:hAnsi="Times New Roman" w:eastAsia="Times New Roman" w:cs="Times New Roman"/>
        <w:w w:val="100"/>
        <w:sz w:val="24"/>
        <w:szCs w:val="24"/>
        <w:lang w:val="zh-CN" w:eastAsia="zh-CN" w:bidi="zh-CN"/>
      </w:rPr>
    </w:lvl>
    <w:lvl w:ilvl="4" w:tentative="0">
      <w:start w:val="1"/>
      <w:numFmt w:val="decimal"/>
      <w:lvlText w:val="(%5)"/>
      <w:lvlJc w:val="left"/>
      <w:pPr>
        <w:ind w:left="1017" w:hanging="699"/>
        <w:jc w:val="right"/>
      </w:pPr>
      <w:rPr>
        <w:rFonts w:hint="default" w:ascii="Times New Roman" w:hAnsi="Times New Roman" w:eastAsia="Times New Roman" w:cs="Times New Roman"/>
        <w:spacing w:val="-1"/>
        <w:w w:val="100"/>
        <w:sz w:val="22"/>
        <w:szCs w:val="22"/>
        <w:lang w:val="zh-CN" w:eastAsia="zh-CN" w:bidi="zh-CN"/>
      </w:rPr>
    </w:lvl>
    <w:lvl w:ilvl="5" w:tentative="0">
      <w:start w:val="0"/>
      <w:numFmt w:val="bullet"/>
      <w:lvlText w:val="•"/>
      <w:lvlJc w:val="left"/>
      <w:pPr>
        <w:ind w:left="1340" w:hanging="699"/>
      </w:pPr>
      <w:rPr>
        <w:rFonts w:hint="default"/>
        <w:lang w:val="zh-CN" w:eastAsia="zh-CN" w:bidi="zh-CN"/>
      </w:rPr>
    </w:lvl>
    <w:lvl w:ilvl="6" w:tentative="0">
      <w:start w:val="0"/>
      <w:numFmt w:val="bullet"/>
      <w:lvlText w:val="•"/>
      <w:lvlJc w:val="left"/>
      <w:pPr>
        <w:ind w:left="1400" w:hanging="699"/>
      </w:pPr>
      <w:rPr>
        <w:rFonts w:hint="default"/>
        <w:lang w:val="zh-CN" w:eastAsia="zh-CN" w:bidi="zh-CN"/>
      </w:rPr>
    </w:lvl>
    <w:lvl w:ilvl="7" w:tentative="0">
      <w:start w:val="0"/>
      <w:numFmt w:val="bullet"/>
      <w:lvlText w:val="•"/>
      <w:lvlJc w:val="left"/>
      <w:pPr>
        <w:ind w:left="3221" w:hanging="699"/>
      </w:pPr>
      <w:rPr>
        <w:rFonts w:hint="default"/>
        <w:lang w:val="zh-CN" w:eastAsia="zh-CN" w:bidi="zh-CN"/>
      </w:rPr>
    </w:lvl>
    <w:lvl w:ilvl="8" w:tentative="0">
      <w:start w:val="0"/>
      <w:numFmt w:val="bullet"/>
      <w:lvlText w:val="•"/>
      <w:lvlJc w:val="left"/>
      <w:pPr>
        <w:ind w:left="5043" w:hanging="699"/>
      </w:pPr>
      <w:rPr>
        <w:rFonts w:hint="default"/>
        <w:lang w:val="zh-CN" w:eastAsia="zh-CN" w:bidi="zh-CN"/>
      </w:rPr>
    </w:lvl>
  </w:abstractNum>
  <w:abstractNum w:abstractNumId="6">
    <w:nsid w:val="0053208E"/>
    <w:multiLevelType w:val="multilevel"/>
    <w:tmpl w:val="0053208E"/>
    <w:lvl w:ilvl="0" w:tentative="0">
      <w:start w:val="1"/>
      <w:numFmt w:val="decimal"/>
      <w:lvlText w:val="%1"/>
      <w:lvlJc w:val="left"/>
      <w:pPr>
        <w:ind w:left="1217" w:hanging="202"/>
        <w:jc w:val="left"/>
      </w:pPr>
      <w:rPr>
        <w:rFonts w:hint="default" w:ascii="Times New Roman" w:hAnsi="Times New Roman" w:eastAsia="Times New Roman" w:cs="Times New Roman"/>
        <w:b/>
        <w:bCs/>
        <w:w w:val="99"/>
        <w:sz w:val="20"/>
        <w:szCs w:val="20"/>
        <w:lang w:val="zh-CN" w:eastAsia="zh-CN" w:bidi="zh-CN"/>
      </w:rPr>
    </w:lvl>
    <w:lvl w:ilvl="1" w:tentative="0">
      <w:start w:val="1"/>
      <w:numFmt w:val="decimal"/>
      <w:lvlText w:val="%1.%2"/>
      <w:lvlJc w:val="left"/>
      <w:pPr>
        <w:ind w:left="1366" w:hanging="351"/>
        <w:jc w:val="left"/>
      </w:pPr>
      <w:rPr>
        <w:rFonts w:hint="default" w:ascii="Times New Roman" w:hAnsi="Times New Roman" w:eastAsia="Times New Roman" w:cs="Times New Roman"/>
        <w:spacing w:val="0"/>
        <w:w w:val="99"/>
        <w:sz w:val="20"/>
        <w:szCs w:val="20"/>
        <w:lang w:val="zh-CN" w:eastAsia="zh-CN" w:bidi="zh-CN"/>
      </w:rPr>
    </w:lvl>
    <w:lvl w:ilvl="2" w:tentative="0">
      <w:start w:val="0"/>
      <w:numFmt w:val="bullet"/>
      <w:lvlText w:val="•"/>
      <w:lvlJc w:val="left"/>
      <w:pPr>
        <w:ind w:left="2271" w:hanging="351"/>
      </w:pPr>
      <w:rPr>
        <w:rFonts w:hint="default"/>
        <w:lang w:val="zh-CN" w:eastAsia="zh-CN" w:bidi="zh-CN"/>
      </w:rPr>
    </w:lvl>
    <w:lvl w:ilvl="3" w:tentative="0">
      <w:start w:val="0"/>
      <w:numFmt w:val="bullet"/>
      <w:lvlText w:val="•"/>
      <w:lvlJc w:val="left"/>
      <w:pPr>
        <w:ind w:left="3183" w:hanging="351"/>
      </w:pPr>
      <w:rPr>
        <w:rFonts w:hint="default"/>
        <w:lang w:val="zh-CN" w:eastAsia="zh-CN" w:bidi="zh-CN"/>
      </w:rPr>
    </w:lvl>
    <w:lvl w:ilvl="4" w:tentative="0">
      <w:start w:val="0"/>
      <w:numFmt w:val="bullet"/>
      <w:lvlText w:val="•"/>
      <w:lvlJc w:val="left"/>
      <w:pPr>
        <w:ind w:left="4095" w:hanging="351"/>
      </w:pPr>
      <w:rPr>
        <w:rFonts w:hint="default"/>
        <w:lang w:val="zh-CN" w:eastAsia="zh-CN" w:bidi="zh-CN"/>
      </w:rPr>
    </w:lvl>
    <w:lvl w:ilvl="5" w:tentative="0">
      <w:start w:val="0"/>
      <w:numFmt w:val="bullet"/>
      <w:lvlText w:val="•"/>
      <w:lvlJc w:val="left"/>
      <w:pPr>
        <w:ind w:left="5007" w:hanging="351"/>
      </w:pPr>
      <w:rPr>
        <w:rFonts w:hint="default"/>
        <w:lang w:val="zh-CN" w:eastAsia="zh-CN" w:bidi="zh-CN"/>
      </w:rPr>
    </w:lvl>
    <w:lvl w:ilvl="6" w:tentative="0">
      <w:start w:val="0"/>
      <w:numFmt w:val="bullet"/>
      <w:lvlText w:val="•"/>
      <w:lvlJc w:val="left"/>
      <w:pPr>
        <w:ind w:left="5918" w:hanging="351"/>
      </w:pPr>
      <w:rPr>
        <w:rFonts w:hint="default"/>
        <w:lang w:val="zh-CN" w:eastAsia="zh-CN" w:bidi="zh-CN"/>
      </w:rPr>
    </w:lvl>
    <w:lvl w:ilvl="7" w:tentative="0">
      <w:start w:val="0"/>
      <w:numFmt w:val="bullet"/>
      <w:lvlText w:val="•"/>
      <w:lvlJc w:val="left"/>
      <w:pPr>
        <w:ind w:left="6830" w:hanging="351"/>
      </w:pPr>
      <w:rPr>
        <w:rFonts w:hint="default"/>
        <w:lang w:val="zh-CN" w:eastAsia="zh-CN" w:bidi="zh-CN"/>
      </w:rPr>
    </w:lvl>
    <w:lvl w:ilvl="8" w:tentative="0">
      <w:start w:val="0"/>
      <w:numFmt w:val="bullet"/>
      <w:lvlText w:val="•"/>
      <w:lvlJc w:val="left"/>
      <w:pPr>
        <w:ind w:left="7742" w:hanging="351"/>
      </w:pPr>
      <w:rPr>
        <w:rFonts w:hint="default"/>
        <w:lang w:val="zh-CN" w:eastAsia="zh-CN" w:bidi="zh-CN"/>
      </w:rPr>
    </w:lvl>
  </w:abstractNum>
  <w:abstractNum w:abstractNumId="7">
    <w:nsid w:val="243FCF68"/>
    <w:multiLevelType w:val="multilevel"/>
    <w:tmpl w:val="243FCF68"/>
    <w:lvl w:ilvl="0" w:tentative="0">
      <w:start w:val="3"/>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abstractNum w:abstractNumId="8">
    <w:nsid w:val="30FC5B15"/>
    <w:multiLevelType w:val="multilevel"/>
    <w:tmpl w:val="30FC5B15"/>
    <w:lvl w:ilvl="0" w:tentative="0">
      <w:start w:val="1"/>
      <w:numFmt w:val="decimal"/>
      <w:lvlText w:val="（%1）"/>
      <w:lvlJc w:val="left"/>
      <w:pPr>
        <w:ind w:left="1218" w:hanging="601"/>
        <w:jc w:val="right"/>
      </w:pPr>
      <w:rPr>
        <w:rFonts w:hint="default"/>
        <w:w w:val="100"/>
        <w:lang w:val="zh-CN" w:eastAsia="zh-CN" w:bidi="zh-CN"/>
      </w:rPr>
    </w:lvl>
    <w:lvl w:ilvl="1" w:tentative="0">
      <w:start w:val="0"/>
      <w:numFmt w:val="bullet"/>
      <w:lvlText w:val="•"/>
      <w:lvlJc w:val="left"/>
      <w:pPr>
        <w:ind w:left="1966" w:hanging="601"/>
      </w:pPr>
      <w:rPr>
        <w:rFonts w:hint="default"/>
        <w:lang w:val="zh-CN" w:eastAsia="zh-CN" w:bidi="zh-CN"/>
      </w:rPr>
    </w:lvl>
    <w:lvl w:ilvl="2" w:tentative="0">
      <w:start w:val="0"/>
      <w:numFmt w:val="bullet"/>
      <w:lvlText w:val="•"/>
      <w:lvlJc w:val="left"/>
      <w:pPr>
        <w:ind w:left="2713" w:hanging="601"/>
      </w:pPr>
      <w:rPr>
        <w:rFonts w:hint="default"/>
        <w:lang w:val="zh-CN" w:eastAsia="zh-CN" w:bidi="zh-CN"/>
      </w:rPr>
    </w:lvl>
    <w:lvl w:ilvl="3" w:tentative="0">
      <w:start w:val="0"/>
      <w:numFmt w:val="bullet"/>
      <w:lvlText w:val="•"/>
      <w:lvlJc w:val="left"/>
      <w:pPr>
        <w:ind w:left="3459" w:hanging="601"/>
      </w:pPr>
      <w:rPr>
        <w:rFonts w:hint="default"/>
        <w:lang w:val="zh-CN" w:eastAsia="zh-CN" w:bidi="zh-CN"/>
      </w:rPr>
    </w:lvl>
    <w:lvl w:ilvl="4" w:tentative="0">
      <w:start w:val="0"/>
      <w:numFmt w:val="bullet"/>
      <w:lvlText w:val="•"/>
      <w:lvlJc w:val="left"/>
      <w:pPr>
        <w:ind w:left="4206" w:hanging="601"/>
      </w:pPr>
      <w:rPr>
        <w:rFonts w:hint="default"/>
        <w:lang w:val="zh-CN" w:eastAsia="zh-CN" w:bidi="zh-CN"/>
      </w:rPr>
    </w:lvl>
    <w:lvl w:ilvl="5" w:tentative="0">
      <w:start w:val="0"/>
      <w:numFmt w:val="bullet"/>
      <w:lvlText w:val="•"/>
      <w:lvlJc w:val="left"/>
      <w:pPr>
        <w:ind w:left="4953" w:hanging="601"/>
      </w:pPr>
      <w:rPr>
        <w:rFonts w:hint="default"/>
        <w:lang w:val="zh-CN" w:eastAsia="zh-CN" w:bidi="zh-CN"/>
      </w:rPr>
    </w:lvl>
    <w:lvl w:ilvl="6" w:tentative="0">
      <w:start w:val="0"/>
      <w:numFmt w:val="bullet"/>
      <w:lvlText w:val="•"/>
      <w:lvlJc w:val="left"/>
      <w:pPr>
        <w:ind w:left="5699" w:hanging="601"/>
      </w:pPr>
      <w:rPr>
        <w:rFonts w:hint="default"/>
        <w:lang w:val="zh-CN" w:eastAsia="zh-CN" w:bidi="zh-CN"/>
      </w:rPr>
    </w:lvl>
    <w:lvl w:ilvl="7" w:tentative="0">
      <w:start w:val="0"/>
      <w:numFmt w:val="bullet"/>
      <w:lvlText w:val="•"/>
      <w:lvlJc w:val="left"/>
      <w:pPr>
        <w:ind w:left="6446" w:hanging="601"/>
      </w:pPr>
      <w:rPr>
        <w:rFonts w:hint="default"/>
        <w:lang w:val="zh-CN" w:eastAsia="zh-CN" w:bidi="zh-CN"/>
      </w:rPr>
    </w:lvl>
    <w:lvl w:ilvl="8" w:tentative="0">
      <w:start w:val="0"/>
      <w:numFmt w:val="bullet"/>
      <w:lvlText w:val="•"/>
      <w:lvlJc w:val="left"/>
      <w:pPr>
        <w:ind w:left="7192" w:hanging="601"/>
      </w:pPr>
      <w:rPr>
        <w:rFonts w:hint="default"/>
        <w:lang w:val="zh-CN" w:eastAsia="zh-CN" w:bidi="zh-CN"/>
      </w:rPr>
    </w:lvl>
  </w:abstractNum>
  <w:abstractNum w:abstractNumId="9">
    <w:nsid w:val="4D94DA66"/>
    <w:multiLevelType w:val="multilevel"/>
    <w:tmpl w:val="4D94DA66"/>
    <w:lvl w:ilvl="0" w:tentative="0">
      <w:start w:val="9"/>
      <w:numFmt w:val="decimal"/>
      <w:lvlText w:val="%1"/>
      <w:lvlJc w:val="left"/>
      <w:pPr>
        <w:ind w:left="49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74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83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37" w:hanging="605"/>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1960" w:hanging="605"/>
      </w:pPr>
      <w:rPr>
        <w:rFonts w:hint="default"/>
        <w:lang w:val="zh-CN" w:eastAsia="zh-CN" w:bidi="zh-CN"/>
      </w:rPr>
    </w:lvl>
    <w:lvl w:ilvl="5" w:tentative="0">
      <w:start w:val="0"/>
      <w:numFmt w:val="bullet"/>
      <w:lvlText w:val="•"/>
      <w:lvlJc w:val="left"/>
      <w:pPr>
        <w:ind w:left="3081" w:hanging="605"/>
      </w:pPr>
      <w:rPr>
        <w:rFonts w:hint="default"/>
        <w:lang w:val="zh-CN" w:eastAsia="zh-CN" w:bidi="zh-CN"/>
      </w:rPr>
    </w:lvl>
    <w:lvl w:ilvl="6" w:tentative="0">
      <w:start w:val="0"/>
      <w:numFmt w:val="bullet"/>
      <w:lvlText w:val="•"/>
      <w:lvlJc w:val="left"/>
      <w:pPr>
        <w:ind w:left="4202" w:hanging="605"/>
      </w:pPr>
      <w:rPr>
        <w:rFonts w:hint="default"/>
        <w:lang w:val="zh-CN" w:eastAsia="zh-CN" w:bidi="zh-CN"/>
      </w:rPr>
    </w:lvl>
    <w:lvl w:ilvl="7" w:tentative="0">
      <w:start w:val="0"/>
      <w:numFmt w:val="bullet"/>
      <w:lvlText w:val="•"/>
      <w:lvlJc w:val="left"/>
      <w:pPr>
        <w:ind w:left="5323" w:hanging="605"/>
      </w:pPr>
      <w:rPr>
        <w:rFonts w:hint="default"/>
        <w:lang w:val="zh-CN" w:eastAsia="zh-CN" w:bidi="zh-CN"/>
      </w:rPr>
    </w:lvl>
    <w:lvl w:ilvl="8" w:tentative="0">
      <w:start w:val="0"/>
      <w:numFmt w:val="bullet"/>
      <w:lvlText w:val="•"/>
      <w:lvlJc w:val="left"/>
      <w:pPr>
        <w:ind w:left="6444" w:hanging="605"/>
      </w:pPr>
      <w:rPr>
        <w:rFonts w:hint="default"/>
        <w:lang w:val="zh-CN" w:eastAsia="zh-CN" w:bidi="zh-CN"/>
      </w:rPr>
    </w:lvl>
  </w:abstractNum>
  <w:abstractNum w:abstractNumId="10">
    <w:nsid w:val="5A241D34"/>
    <w:multiLevelType w:val="multilevel"/>
    <w:tmpl w:val="5A241D34"/>
    <w:lvl w:ilvl="0" w:tentative="0">
      <w:start w:val="2"/>
      <w:numFmt w:val="decimal"/>
      <w:lvlText w:val="%1"/>
      <w:lvlJc w:val="left"/>
      <w:pPr>
        <w:ind w:left="977" w:hanging="360"/>
        <w:jc w:val="left"/>
      </w:pPr>
      <w:rPr>
        <w:rFonts w:hint="default" w:ascii="Times New Roman" w:hAnsi="Times New Roman" w:eastAsia="Times New Roman" w:cs="Times New Roman"/>
        <w:b/>
        <w:bCs/>
        <w:w w:val="99"/>
        <w:sz w:val="36"/>
        <w:szCs w:val="36"/>
        <w:lang w:val="zh-CN" w:eastAsia="zh-CN" w:bidi="zh-CN"/>
      </w:rPr>
    </w:lvl>
    <w:lvl w:ilvl="1" w:tentative="0">
      <w:start w:val="1"/>
      <w:numFmt w:val="decimal"/>
      <w:lvlText w:val="%1.%2"/>
      <w:lvlJc w:val="left"/>
      <w:pPr>
        <w:ind w:left="1220" w:hanging="603"/>
        <w:jc w:val="left"/>
      </w:pPr>
      <w:rPr>
        <w:rFonts w:hint="default" w:ascii="Arial" w:hAnsi="Arial" w:eastAsia="Arial" w:cs="Arial"/>
        <w:b/>
        <w:bCs/>
        <w:w w:val="99"/>
        <w:sz w:val="32"/>
        <w:szCs w:val="32"/>
        <w:lang w:val="zh-CN" w:eastAsia="zh-CN" w:bidi="zh-CN"/>
      </w:rPr>
    </w:lvl>
    <w:lvl w:ilvl="2" w:tentative="0">
      <w:start w:val="1"/>
      <w:numFmt w:val="decimal"/>
      <w:lvlText w:val="%1.%2.%3"/>
      <w:lvlJc w:val="left"/>
      <w:pPr>
        <w:ind w:left="1316" w:hanging="699"/>
        <w:jc w:val="left"/>
      </w:pPr>
      <w:rPr>
        <w:rFonts w:hint="default" w:ascii="Times New Roman" w:hAnsi="Times New Roman" w:eastAsia="Times New Roman" w:cs="Times New Roman"/>
        <w:b/>
        <w:bCs/>
        <w:spacing w:val="-2"/>
        <w:w w:val="100"/>
        <w:sz w:val="28"/>
        <w:szCs w:val="28"/>
        <w:lang w:val="zh-CN" w:eastAsia="zh-CN" w:bidi="zh-CN"/>
      </w:rPr>
    </w:lvl>
    <w:lvl w:ilvl="3" w:tentative="0">
      <w:start w:val="1"/>
      <w:numFmt w:val="decimal"/>
      <w:lvlText w:val="（%4）"/>
      <w:lvlJc w:val="left"/>
      <w:pPr>
        <w:ind w:left="1672" w:hanging="601"/>
        <w:jc w:val="left"/>
      </w:pPr>
      <w:rPr>
        <w:rFonts w:hint="default" w:ascii="仿宋" w:hAnsi="仿宋" w:eastAsia="仿宋" w:cs="仿宋"/>
        <w:w w:val="100"/>
        <w:sz w:val="22"/>
        <w:szCs w:val="22"/>
        <w:lang w:val="zh-CN" w:eastAsia="zh-CN" w:bidi="zh-CN"/>
      </w:rPr>
    </w:lvl>
    <w:lvl w:ilvl="4" w:tentative="0">
      <w:start w:val="0"/>
      <w:numFmt w:val="bullet"/>
      <w:lvlText w:val="•"/>
      <w:lvlJc w:val="left"/>
      <w:pPr>
        <w:ind w:left="2806" w:hanging="601"/>
      </w:pPr>
      <w:rPr>
        <w:rFonts w:hint="default"/>
        <w:lang w:val="zh-CN" w:eastAsia="zh-CN" w:bidi="zh-CN"/>
      </w:rPr>
    </w:lvl>
    <w:lvl w:ilvl="5" w:tentative="0">
      <w:start w:val="0"/>
      <w:numFmt w:val="bullet"/>
      <w:lvlText w:val="•"/>
      <w:lvlJc w:val="left"/>
      <w:pPr>
        <w:ind w:left="3933" w:hanging="601"/>
      </w:pPr>
      <w:rPr>
        <w:rFonts w:hint="default"/>
        <w:lang w:val="zh-CN" w:eastAsia="zh-CN" w:bidi="zh-CN"/>
      </w:rPr>
    </w:lvl>
    <w:lvl w:ilvl="6" w:tentative="0">
      <w:start w:val="0"/>
      <w:numFmt w:val="bullet"/>
      <w:lvlText w:val="•"/>
      <w:lvlJc w:val="left"/>
      <w:pPr>
        <w:ind w:left="5059" w:hanging="601"/>
      </w:pPr>
      <w:rPr>
        <w:rFonts w:hint="default"/>
        <w:lang w:val="zh-CN" w:eastAsia="zh-CN" w:bidi="zh-CN"/>
      </w:rPr>
    </w:lvl>
    <w:lvl w:ilvl="7" w:tentative="0">
      <w:start w:val="0"/>
      <w:numFmt w:val="bullet"/>
      <w:lvlText w:val="•"/>
      <w:lvlJc w:val="left"/>
      <w:pPr>
        <w:ind w:left="6186" w:hanging="601"/>
      </w:pPr>
      <w:rPr>
        <w:rFonts w:hint="default"/>
        <w:lang w:val="zh-CN" w:eastAsia="zh-CN" w:bidi="zh-CN"/>
      </w:rPr>
    </w:lvl>
    <w:lvl w:ilvl="8" w:tentative="0">
      <w:start w:val="0"/>
      <w:numFmt w:val="bullet"/>
      <w:lvlText w:val="•"/>
      <w:lvlJc w:val="left"/>
      <w:pPr>
        <w:ind w:left="7312" w:hanging="601"/>
      </w:pPr>
      <w:rPr>
        <w:rFonts w:hint="default"/>
        <w:lang w:val="zh-CN" w:eastAsia="zh-CN" w:bidi="zh-CN"/>
      </w:rPr>
    </w:lvl>
  </w:abstractNum>
  <w:abstractNum w:abstractNumId="11">
    <w:nsid w:val="629F7852"/>
    <w:multiLevelType w:val="multilevel"/>
    <w:tmpl w:val="629F7852"/>
    <w:lvl w:ilvl="0" w:tentative="0">
      <w:start w:val="1"/>
      <w:numFmt w:val="decimal"/>
      <w:lvlText w:val="（%1）"/>
      <w:lvlJc w:val="left"/>
      <w:pPr>
        <w:ind w:left="614" w:hanging="601"/>
        <w:jc w:val="left"/>
      </w:pPr>
      <w:rPr>
        <w:rFonts w:hint="default" w:ascii="仿宋" w:hAnsi="仿宋" w:eastAsia="仿宋" w:cs="仿宋"/>
        <w:spacing w:val="-70"/>
        <w:w w:val="100"/>
        <w:sz w:val="22"/>
        <w:szCs w:val="22"/>
        <w:lang w:val="zh-CN" w:eastAsia="zh-CN" w:bidi="zh-CN"/>
      </w:rPr>
    </w:lvl>
    <w:lvl w:ilvl="1" w:tentative="0">
      <w:start w:val="0"/>
      <w:numFmt w:val="bullet"/>
      <w:lvlText w:val="•"/>
      <w:lvlJc w:val="left"/>
      <w:pPr>
        <w:ind w:left="1137" w:hanging="601"/>
      </w:pPr>
      <w:rPr>
        <w:rFonts w:hint="default"/>
        <w:lang w:val="zh-CN" w:eastAsia="zh-CN" w:bidi="zh-CN"/>
      </w:rPr>
    </w:lvl>
    <w:lvl w:ilvl="2" w:tentative="0">
      <w:start w:val="0"/>
      <w:numFmt w:val="bullet"/>
      <w:lvlText w:val="•"/>
      <w:lvlJc w:val="left"/>
      <w:pPr>
        <w:ind w:left="1654" w:hanging="601"/>
      </w:pPr>
      <w:rPr>
        <w:rFonts w:hint="default"/>
        <w:lang w:val="zh-CN" w:eastAsia="zh-CN" w:bidi="zh-CN"/>
      </w:rPr>
    </w:lvl>
    <w:lvl w:ilvl="3" w:tentative="0">
      <w:start w:val="0"/>
      <w:numFmt w:val="bullet"/>
      <w:lvlText w:val="•"/>
      <w:lvlJc w:val="left"/>
      <w:pPr>
        <w:ind w:left="2172" w:hanging="601"/>
      </w:pPr>
      <w:rPr>
        <w:rFonts w:hint="default"/>
        <w:lang w:val="zh-CN" w:eastAsia="zh-CN" w:bidi="zh-CN"/>
      </w:rPr>
    </w:lvl>
    <w:lvl w:ilvl="4" w:tentative="0">
      <w:start w:val="0"/>
      <w:numFmt w:val="bullet"/>
      <w:lvlText w:val="•"/>
      <w:lvlJc w:val="left"/>
      <w:pPr>
        <w:ind w:left="2689" w:hanging="601"/>
      </w:pPr>
      <w:rPr>
        <w:rFonts w:hint="default"/>
        <w:lang w:val="zh-CN" w:eastAsia="zh-CN" w:bidi="zh-CN"/>
      </w:rPr>
    </w:lvl>
    <w:lvl w:ilvl="5" w:tentative="0">
      <w:start w:val="0"/>
      <w:numFmt w:val="bullet"/>
      <w:lvlText w:val="•"/>
      <w:lvlJc w:val="left"/>
      <w:pPr>
        <w:ind w:left="3207" w:hanging="601"/>
      </w:pPr>
      <w:rPr>
        <w:rFonts w:hint="default"/>
        <w:lang w:val="zh-CN" w:eastAsia="zh-CN" w:bidi="zh-CN"/>
      </w:rPr>
    </w:lvl>
    <w:lvl w:ilvl="6" w:tentative="0">
      <w:start w:val="0"/>
      <w:numFmt w:val="bullet"/>
      <w:lvlText w:val="•"/>
      <w:lvlJc w:val="left"/>
      <w:pPr>
        <w:ind w:left="3724" w:hanging="601"/>
      </w:pPr>
      <w:rPr>
        <w:rFonts w:hint="default"/>
        <w:lang w:val="zh-CN" w:eastAsia="zh-CN" w:bidi="zh-CN"/>
      </w:rPr>
    </w:lvl>
    <w:lvl w:ilvl="7" w:tentative="0">
      <w:start w:val="0"/>
      <w:numFmt w:val="bullet"/>
      <w:lvlText w:val="•"/>
      <w:lvlJc w:val="left"/>
      <w:pPr>
        <w:ind w:left="4241" w:hanging="601"/>
      </w:pPr>
      <w:rPr>
        <w:rFonts w:hint="default"/>
        <w:lang w:val="zh-CN" w:eastAsia="zh-CN" w:bidi="zh-CN"/>
      </w:rPr>
    </w:lvl>
    <w:lvl w:ilvl="8" w:tentative="0">
      <w:start w:val="0"/>
      <w:numFmt w:val="bullet"/>
      <w:lvlText w:val="•"/>
      <w:lvlJc w:val="left"/>
      <w:pPr>
        <w:ind w:left="4759" w:hanging="601"/>
      </w:pPr>
      <w:rPr>
        <w:rFonts w:hint="default"/>
        <w:lang w:val="zh-CN" w:eastAsia="zh-CN" w:bidi="zh-CN"/>
      </w:rPr>
    </w:lvl>
  </w:abstractNum>
  <w:abstractNum w:abstractNumId="12">
    <w:nsid w:val="7DEC2089"/>
    <w:multiLevelType w:val="multilevel"/>
    <w:tmpl w:val="7DEC2089"/>
    <w:lvl w:ilvl="0" w:tentative="0">
      <w:start w:val="1"/>
      <w:numFmt w:val="decimal"/>
      <w:lvlText w:val="（%1）"/>
      <w:lvlJc w:val="left"/>
      <w:pPr>
        <w:ind w:left="1192" w:hanging="601"/>
        <w:jc w:val="left"/>
      </w:pPr>
      <w:rPr>
        <w:rFonts w:hint="default" w:ascii="仿宋" w:hAnsi="仿宋" w:eastAsia="仿宋" w:cs="仿宋"/>
        <w:w w:val="100"/>
        <w:sz w:val="22"/>
        <w:szCs w:val="22"/>
        <w:lang w:val="zh-CN" w:eastAsia="zh-CN" w:bidi="zh-CN"/>
      </w:rPr>
    </w:lvl>
    <w:lvl w:ilvl="1" w:tentative="0">
      <w:start w:val="0"/>
      <w:numFmt w:val="bullet"/>
      <w:lvlText w:val="•"/>
      <w:lvlJc w:val="left"/>
      <w:pPr>
        <w:ind w:left="194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45" w:hanging="601"/>
      </w:pPr>
      <w:rPr>
        <w:rFonts w:hint="default"/>
        <w:lang w:val="zh-CN" w:eastAsia="zh-CN" w:bidi="zh-CN"/>
      </w:rPr>
    </w:lvl>
    <w:lvl w:ilvl="4" w:tentative="0">
      <w:start w:val="0"/>
      <w:numFmt w:val="bullet"/>
      <w:lvlText w:val="•"/>
      <w:lvlJc w:val="left"/>
      <w:pPr>
        <w:ind w:left="4194" w:hanging="601"/>
      </w:pPr>
      <w:rPr>
        <w:rFonts w:hint="default"/>
        <w:lang w:val="zh-CN" w:eastAsia="zh-CN" w:bidi="zh-CN"/>
      </w:rPr>
    </w:lvl>
    <w:lvl w:ilvl="5" w:tentative="0">
      <w:start w:val="0"/>
      <w:numFmt w:val="bullet"/>
      <w:lvlText w:val="•"/>
      <w:lvlJc w:val="left"/>
      <w:pPr>
        <w:ind w:left="4943" w:hanging="601"/>
      </w:pPr>
      <w:rPr>
        <w:rFonts w:hint="default"/>
        <w:lang w:val="zh-CN" w:eastAsia="zh-CN" w:bidi="zh-CN"/>
      </w:rPr>
    </w:lvl>
    <w:lvl w:ilvl="6" w:tentative="0">
      <w:start w:val="0"/>
      <w:numFmt w:val="bullet"/>
      <w:lvlText w:val="•"/>
      <w:lvlJc w:val="left"/>
      <w:pPr>
        <w:ind w:left="5691" w:hanging="601"/>
      </w:pPr>
      <w:rPr>
        <w:rFonts w:hint="default"/>
        <w:lang w:val="zh-CN" w:eastAsia="zh-CN" w:bidi="zh-CN"/>
      </w:rPr>
    </w:lvl>
    <w:lvl w:ilvl="7" w:tentative="0">
      <w:start w:val="0"/>
      <w:numFmt w:val="bullet"/>
      <w:lvlText w:val="•"/>
      <w:lvlJc w:val="left"/>
      <w:pPr>
        <w:ind w:left="6440" w:hanging="601"/>
      </w:pPr>
      <w:rPr>
        <w:rFonts w:hint="default"/>
        <w:lang w:val="zh-CN" w:eastAsia="zh-CN" w:bidi="zh-CN"/>
      </w:rPr>
    </w:lvl>
    <w:lvl w:ilvl="8" w:tentative="0">
      <w:start w:val="0"/>
      <w:numFmt w:val="bullet"/>
      <w:lvlText w:val="•"/>
      <w:lvlJc w:val="left"/>
      <w:pPr>
        <w:ind w:left="7188" w:hanging="601"/>
      </w:pPr>
      <w:rPr>
        <w:rFonts w:hint="default"/>
        <w:lang w:val="zh-CN" w:eastAsia="zh-CN" w:bidi="zh-CN"/>
      </w:rPr>
    </w:lvl>
  </w:abstractNum>
  <w:num w:numId="1">
    <w:abstractNumId w:val="6"/>
  </w:num>
  <w:num w:numId="2">
    <w:abstractNumId w:val="4"/>
  </w:num>
  <w:num w:numId="3">
    <w:abstractNumId w:val="10"/>
  </w:num>
  <w:num w:numId="4">
    <w:abstractNumId w:val="5"/>
  </w:num>
  <w:num w:numId="5">
    <w:abstractNumId w:val="3"/>
  </w:num>
  <w:num w:numId="6">
    <w:abstractNumId w:val="11"/>
  </w:num>
  <w:num w:numId="7">
    <w:abstractNumId w:val="1"/>
  </w:num>
  <w:num w:numId="8">
    <w:abstractNumId w:val="12"/>
  </w:num>
  <w:num w:numId="9">
    <w:abstractNumId w:val="0"/>
  </w:num>
  <w:num w:numId="10">
    <w:abstractNumId w:val="7"/>
  </w:num>
  <w:num w:numId="11">
    <w:abstractNumId w:val="9"/>
  </w:num>
  <w:num w:numId="12">
    <w:abstractNumId w:val="8"/>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073355"/>
    <w:rsid w:val="039233E0"/>
    <w:rsid w:val="07333ABA"/>
    <w:rsid w:val="078A7505"/>
    <w:rsid w:val="0F4B3965"/>
    <w:rsid w:val="1152492B"/>
    <w:rsid w:val="12DE5836"/>
    <w:rsid w:val="13B30337"/>
    <w:rsid w:val="16396921"/>
    <w:rsid w:val="18795C25"/>
    <w:rsid w:val="26973C4F"/>
    <w:rsid w:val="26FE4565"/>
    <w:rsid w:val="270B2EEB"/>
    <w:rsid w:val="2D1E1D93"/>
    <w:rsid w:val="2D8917F8"/>
    <w:rsid w:val="30747937"/>
    <w:rsid w:val="30D7746B"/>
    <w:rsid w:val="30FF650C"/>
    <w:rsid w:val="343E6763"/>
    <w:rsid w:val="3F8D1292"/>
    <w:rsid w:val="4B196C2B"/>
    <w:rsid w:val="5E89314B"/>
    <w:rsid w:val="69F97296"/>
    <w:rsid w:val="6CF06B62"/>
    <w:rsid w:val="78A9424A"/>
    <w:rsid w:val="7C4C7292"/>
    <w:rsid w:val="7F1B67F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仿宋" w:hAnsi="仿宋" w:eastAsia="仿宋" w:cs="仿宋"/>
      <w:sz w:val="22"/>
      <w:szCs w:val="22"/>
      <w:lang w:val="zh-CN" w:eastAsia="zh-CN" w:bidi="zh-CN"/>
    </w:rPr>
  </w:style>
  <w:style w:type="paragraph" w:styleId="3">
    <w:name w:val="heading 1"/>
    <w:basedOn w:val="1"/>
    <w:next w:val="1"/>
    <w:qFormat/>
    <w:uiPriority w:val="1"/>
    <w:pPr>
      <w:spacing w:before="83"/>
      <w:ind w:left="497" w:hanging="361"/>
      <w:outlineLvl w:val="1"/>
    </w:pPr>
    <w:rPr>
      <w:rFonts w:ascii="仿宋" w:hAnsi="仿宋" w:eastAsia="仿宋" w:cs="仿宋"/>
      <w:b/>
      <w:bCs/>
      <w:sz w:val="36"/>
      <w:szCs w:val="36"/>
      <w:lang w:val="zh-CN" w:eastAsia="zh-CN" w:bidi="zh-CN"/>
    </w:rPr>
  </w:style>
  <w:style w:type="paragraph" w:styleId="4">
    <w:name w:val="heading 2"/>
    <w:basedOn w:val="1"/>
    <w:next w:val="1"/>
    <w:qFormat/>
    <w:uiPriority w:val="1"/>
    <w:pPr>
      <w:ind w:left="740" w:hanging="603"/>
      <w:outlineLvl w:val="2"/>
    </w:pPr>
    <w:rPr>
      <w:rFonts w:ascii="仿宋" w:hAnsi="仿宋" w:eastAsia="仿宋" w:cs="仿宋"/>
      <w:b/>
      <w:bCs/>
      <w:sz w:val="32"/>
      <w:szCs w:val="32"/>
      <w:lang w:val="zh-CN" w:eastAsia="zh-CN" w:bidi="zh-CN"/>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1"/>
    <w:rPr>
      <w:rFonts w:ascii="仿宋" w:hAnsi="仿宋" w:eastAsia="仿宋" w:cs="仿宋"/>
      <w:sz w:val="24"/>
      <w:szCs w:val="24"/>
      <w:lang w:val="zh-CN" w:eastAsia="zh-CN" w:bidi="zh-CN"/>
    </w:rPr>
  </w:style>
  <w:style w:type="paragraph" w:styleId="5">
    <w:name w:val="Body Text Indent"/>
    <w:basedOn w:val="1"/>
    <w:next w:val="6"/>
    <w:unhideWhenUsed/>
    <w:qFormat/>
    <w:uiPriority w:val="99"/>
    <w:pPr>
      <w:snapToGrid w:val="0"/>
      <w:spacing w:beforeLines="100" w:line="360" w:lineRule="auto"/>
      <w:ind w:firstLine="480" w:firstLineChars="200"/>
    </w:pPr>
    <w:rPr>
      <w:rFonts w:ascii="宋体" w:hAnsi="宋体" w:eastAsia="宋体" w:cs="Times New Roman"/>
      <w:sz w:val="24"/>
      <w:szCs w:val="20"/>
    </w:rPr>
  </w:style>
  <w:style w:type="paragraph" w:customStyle="1" w:styleId="6">
    <w:name w:val="样式 标题 1一级标题 + 段前: 0.5 行 段后: 0.5 行"/>
    <w:basedOn w:val="3"/>
    <w:qFormat/>
    <w:uiPriority w:val="99"/>
    <w:pPr>
      <w:spacing w:line="320" w:lineRule="exact"/>
      <w:outlineLvl w:val="9"/>
    </w:pPr>
    <w:rPr>
      <w:spacing w:val="-6"/>
      <w:sz w:val="21"/>
      <w:szCs w:val="21"/>
    </w:rPr>
  </w:style>
  <w:style w:type="paragraph" w:styleId="7">
    <w:name w:val="Plain Text"/>
    <w:basedOn w:val="1"/>
    <w:qFormat/>
    <w:uiPriority w:val="0"/>
    <w:rPr>
      <w:rFonts w:ascii="宋体" w:hAnsi="Courier New" w:cs="Courier New"/>
      <w:szCs w:val="21"/>
    </w:rPr>
  </w:style>
  <w:style w:type="paragraph" w:styleId="8">
    <w:name w:val="footer"/>
    <w:basedOn w:val="1"/>
    <w:qFormat/>
    <w:uiPriority w:val="99"/>
    <w:pPr>
      <w:tabs>
        <w:tab w:val="center" w:pos="4153"/>
        <w:tab w:val="right" w:pos="8306"/>
      </w:tabs>
      <w:snapToGrid w:val="0"/>
      <w:jc w:val="left"/>
    </w:pPr>
    <w:rPr>
      <w:sz w:val="18"/>
      <w:szCs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1"/>
    <w:pPr>
      <w:spacing w:before="132"/>
      <w:ind w:left="1016"/>
    </w:pPr>
    <w:rPr>
      <w:rFonts w:ascii="宋体" w:hAnsi="宋体" w:eastAsia="宋体" w:cs="宋体"/>
      <w:b/>
      <w:bCs/>
      <w:sz w:val="20"/>
      <w:szCs w:val="20"/>
      <w:lang w:val="zh-CN" w:eastAsia="zh-CN" w:bidi="zh-CN"/>
    </w:rPr>
  </w:style>
  <w:style w:type="paragraph" w:styleId="11">
    <w:name w:val="toc 2"/>
    <w:basedOn w:val="1"/>
    <w:next w:val="1"/>
    <w:qFormat/>
    <w:uiPriority w:val="1"/>
    <w:pPr>
      <w:spacing w:before="132"/>
      <w:ind w:left="1366" w:hanging="351"/>
    </w:pPr>
    <w:rPr>
      <w:rFonts w:ascii="宋体" w:hAnsi="宋体" w:eastAsia="宋体" w:cs="宋体"/>
      <w:sz w:val="20"/>
      <w:szCs w:val="20"/>
      <w:lang w:val="zh-CN" w:eastAsia="zh-CN" w:bidi="zh-CN"/>
    </w:rPr>
  </w:style>
  <w:style w:type="paragraph" w:styleId="12">
    <w:name w:val="Body Text First Indent 2"/>
    <w:basedOn w:val="5"/>
    <w:qFormat/>
    <w:uiPriority w:val="0"/>
    <w:pPr>
      <w:widowControl w:val="0"/>
      <w:spacing w:after="120"/>
      <w:ind w:left="420" w:leftChars="200" w:firstLine="420" w:firstLineChars="200"/>
    </w:pPr>
    <w:rPr>
      <w:kern w:val="2"/>
      <w:sz w:val="21"/>
      <w:szCs w:val="24"/>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Emphasis"/>
    <w:basedOn w:val="15"/>
    <w:qFormat/>
    <w:uiPriority w:val="0"/>
    <w:rPr>
      <w:rFonts w:cs="Times New Roman"/>
      <w:i/>
      <w:iCs/>
    </w:rPr>
  </w:style>
  <w:style w:type="table" w:customStyle="1" w:styleId="17">
    <w:name w:val="Table Normal"/>
    <w:semiHidden/>
    <w:unhideWhenUsed/>
    <w:qFormat/>
    <w:uiPriority w:val="2"/>
    <w:tblPr>
      <w:tblCellMar>
        <w:top w:w="0" w:type="dxa"/>
        <w:left w:w="0" w:type="dxa"/>
        <w:bottom w:w="0" w:type="dxa"/>
        <w:right w:w="0" w:type="dxa"/>
      </w:tblCellMar>
    </w:tblPr>
  </w:style>
  <w:style w:type="paragraph" w:styleId="18">
    <w:name w:val="List Paragraph"/>
    <w:basedOn w:val="1"/>
    <w:qFormat/>
    <w:uiPriority w:val="1"/>
    <w:pPr>
      <w:ind w:left="137" w:hanging="602"/>
    </w:pPr>
    <w:rPr>
      <w:rFonts w:ascii="仿宋" w:hAnsi="仿宋" w:eastAsia="仿宋" w:cs="仿宋"/>
      <w:lang w:val="zh-CN" w:eastAsia="zh-CN" w:bidi="zh-CN"/>
    </w:rPr>
  </w:style>
  <w:style w:type="paragraph" w:customStyle="1" w:styleId="19">
    <w:name w:val="Table Paragraph"/>
    <w:basedOn w:val="1"/>
    <w:qFormat/>
    <w:uiPriority w:val="1"/>
    <w:rPr>
      <w:rFonts w:ascii="仿宋" w:hAnsi="仿宋" w:eastAsia="仿宋" w:cs="仿宋"/>
      <w:lang w:val="zh-CN" w:eastAsia="zh-CN" w:bidi="zh-CN"/>
    </w:rPr>
  </w:style>
  <w:style w:type="paragraph" w:customStyle="1" w:styleId="20">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footer" Target="foot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er" Target="foot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7.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ScaleCrop>false</ScaleCrop>
  <LinksUpToDate>false</LinksUpToDate>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2020-09-02T03:24:00Z</dcterms:created>
  <dc:creator>张宏华</dc:creator>
  <cp:lastModifiedBy>庐陵四更半</cp:lastModifiedBy>
  <dcterms:modified xsi:type="dcterms:W3CDTF">2020-09-30T02:00:08Z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2020-06-10T00:00:00Z</vt:filetime>
  </property>
  <property fmtid="{D5CDD505-2E9C-101B-9397-08002B2CF9AE}" pid="3" name="Creator">
    <vt:lpwstr>WPS 文字</vt:lpwstr>
  </property>
  <property fmtid="{D5CDD505-2E9C-101B-9397-08002B2CF9AE}" pid="4" name="LastSaved">
    <vt:filetime>2020-09-02T00:00:00Z</vt:filetime>
  </property>
  <property fmtid="{D5CDD505-2E9C-101B-9397-08002B2CF9AE}" pid="5" name="KSOProductBuildVer">
    <vt:lpwstr>2052-11.1.0.9999</vt:lpwstr>
  </property>
</Properties>
</file>