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hint="eastAsia" w:asciiTheme="minorEastAsia" w:hAnsiTheme="minorEastAsia" w:eastAsiaTheme="minorEastAsia" w:cstheme="minorEastAsia"/>
          <w:b/>
          <w:kern w:val="0"/>
          <w:sz w:val="24"/>
          <w:szCs w:val="24"/>
          <w:lang w:eastAsia="zh-CN"/>
        </w:rPr>
      </w:pPr>
      <w:r>
        <w:rPr>
          <w:rFonts w:hint="eastAsia" w:asciiTheme="minorEastAsia" w:hAnsiTheme="minorEastAsia" w:eastAsiaTheme="minorEastAsia" w:cstheme="minorEastAsia"/>
          <w:b/>
          <w:kern w:val="0"/>
          <w:sz w:val="24"/>
          <w:szCs w:val="24"/>
          <w:lang w:eastAsia="zh-CN"/>
        </w:rPr>
        <w:t>吉安嘉石玻璃制品有限公司年产2.5万吨特种玻璃珠生产线建设项目</w:t>
      </w:r>
    </w:p>
    <w:p>
      <w:pPr>
        <w:widowControl/>
        <w:spacing w:line="480" w:lineRule="exact"/>
        <w:jc w:val="center"/>
        <w:rPr>
          <w:rFonts w:hint="eastAsia" w:asciiTheme="minorEastAsia" w:hAnsiTheme="minorEastAsia" w:eastAsiaTheme="minorEastAsia" w:cstheme="minorEastAsia"/>
          <w:b/>
          <w:kern w:val="0"/>
          <w:sz w:val="24"/>
          <w:szCs w:val="24"/>
          <w:lang w:eastAsia="zh-CN"/>
        </w:rPr>
      </w:pPr>
      <w:r>
        <w:rPr>
          <w:rFonts w:hint="eastAsia" w:asciiTheme="minorEastAsia" w:hAnsiTheme="minorEastAsia" w:eastAsiaTheme="minorEastAsia" w:cstheme="minorEastAsia"/>
          <w:b/>
          <w:kern w:val="0"/>
          <w:sz w:val="24"/>
          <w:szCs w:val="24"/>
          <w:lang w:eastAsia="zh-CN"/>
        </w:rPr>
        <w:t>竣工环境保护验收组意见</w:t>
      </w:r>
    </w:p>
    <w:p>
      <w:pPr>
        <w:spacing w:line="48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20</w:t>
      </w:r>
      <w:r>
        <w:rPr>
          <w:rFonts w:hint="eastAsia" w:asciiTheme="minorEastAsia" w:hAnsiTheme="minorEastAsia" w:eastAsiaTheme="minorEastAsia" w:cstheme="minorEastAsia"/>
          <w:kern w:val="0"/>
          <w:sz w:val="24"/>
          <w:szCs w:val="24"/>
          <w:lang w:val="en-US" w:eastAsia="zh-CN"/>
        </w:rPr>
        <w:t>20</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lang w:val="en-US" w:eastAsia="zh-CN"/>
        </w:rPr>
        <w:t>18日</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eastAsia="zh-CN"/>
        </w:rPr>
        <w:t>吉安嘉石玻璃制品有限公司</w:t>
      </w:r>
      <w:r>
        <w:rPr>
          <w:rFonts w:hint="eastAsia" w:asciiTheme="minorEastAsia" w:hAnsiTheme="minorEastAsia" w:eastAsiaTheme="minorEastAsia" w:cstheme="minorEastAsia"/>
          <w:kern w:val="0"/>
          <w:sz w:val="24"/>
          <w:szCs w:val="24"/>
        </w:rPr>
        <w:t>根据《建设项目环境保护管理条例》，依照国家有关法律法规、建设项目竣工环境保护验收技术规范、项目环境影响报告</w:t>
      </w:r>
      <w:r>
        <w:rPr>
          <w:rFonts w:hint="eastAsia" w:asciiTheme="minorEastAsia" w:hAnsiTheme="minorEastAsia" w:eastAsiaTheme="minorEastAsia" w:cstheme="minorEastAsia"/>
          <w:kern w:val="0"/>
          <w:sz w:val="24"/>
          <w:szCs w:val="24"/>
          <w:lang w:eastAsia="zh-CN"/>
        </w:rPr>
        <w:t>表</w:t>
      </w:r>
      <w:r>
        <w:rPr>
          <w:rFonts w:hint="eastAsia" w:asciiTheme="minorEastAsia" w:hAnsiTheme="minorEastAsia" w:eastAsiaTheme="minorEastAsia" w:cstheme="minorEastAsia"/>
          <w:kern w:val="0"/>
          <w:sz w:val="24"/>
          <w:szCs w:val="24"/>
        </w:rPr>
        <w:t>和审批部门审批决定等要求组织本项目竣工验收，其中</w:t>
      </w:r>
      <w:r>
        <w:rPr>
          <w:rFonts w:hint="eastAsia" w:asciiTheme="minorEastAsia" w:hAnsiTheme="minorEastAsia" w:eastAsiaTheme="minorEastAsia" w:cstheme="minorEastAsia"/>
          <w:kern w:val="0"/>
          <w:sz w:val="24"/>
          <w:szCs w:val="24"/>
          <w:lang w:eastAsia="zh-CN"/>
        </w:rPr>
        <w:t>吉安嘉石玻璃制品有限公司（</w:t>
      </w:r>
      <w:r>
        <w:rPr>
          <w:rFonts w:hint="eastAsia" w:asciiTheme="minorEastAsia" w:hAnsiTheme="minorEastAsia" w:eastAsiaTheme="minorEastAsia" w:cstheme="minorEastAsia"/>
          <w:kern w:val="0"/>
          <w:sz w:val="24"/>
          <w:szCs w:val="24"/>
        </w:rPr>
        <w:t>建设单位）、</w:t>
      </w:r>
      <w:r>
        <w:rPr>
          <w:rFonts w:hint="eastAsia" w:asciiTheme="minorEastAsia" w:hAnsiTheme="minorEastAsia" w:eastAsiaTheme="minorEastAsia" w:cstheme="minorEastAsia"/>
          <w:kern w:val="0"/>
          <w:sz w:val="24"/>
          <w:szCs w:val="24"/>
          <w:lang w:eastAsia="zh-CN"/>
        </w:rPr>
        <w:t>江西中明环境检测有限公司</w:t>
      </w:r>
      <w:r>
        <w:rPr>
          <w:rFonts w:hint="eastAsia" w:asciiTheme="minorEastAsia" w:hAnsiTheme="minorEastAsia" w:eastAsiaTheme="minorEastAsia" w:cstheme="minorEastAsia"/>
          <w:kern w:val="0"/>
          <w:sz w:val="24"/>
          <w:szCs w:val="24"/>
        </w:rPr>
        <w:t>（监测单位）和专业技术专家共</w:t>
      </w: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rPr>
        <w:t>人组成验收组。与会专家和代表踏勘了现场，听取了建设单位对项目进展情况、验收</w:t>
      </w:r>
      <w:r>
        <w:rPr>
          <w:rFonts w:hint="eastAsia" w:asciiTheme="minorEastAsia" w:hAnsiTheme="minorEastAsia" w:eastAsiaTheme="minorEastAsia" w:cstheme="minorEastAsia"/>
          <w:kern w:val="0"/>
          <w:sz w:val="24"/>
          <w:szCs w:val="24"/>
          <w:lang w:eastAsia="zh-CN"/>
        </w:rPr>
        <w:t>报告表</w:t>
      </w:r>
      <w:r>
        <w:rPr>
          <w:rFonts w:hint="eastAsia" w:asciiTheme="minorEastAsia" w:hAnsiTheme="minorEastAsia" w:eastAsiaTheme="minorEastAsia" w:cstheme="minorEastAsia"/>
          <w:kern w:val="0"/>
          <w:sz w:val="24"/>
          <w:szCs w:val="24"/>
        </w:rPr>
        <w:t>编制单位对</w:t>
      </w:r>
      <w:r>
        <w:rPr>
          <w:rFonts w:hint="eastAsia" w:asciiTheme="minorEastAsia" w:hAnsiTheme="minorEastAsia" w:eastAsiaTheme="minorEastAsia" w:cstheme="minorEastAsia"/>
          <w:kern w:val="0"/>
          <w:sz w:val="24"/>
          <w:szCs w:val="24"/>
          <w:lang w:eastAsia="zh-CN"/>
        </w:rPr>
        <w:t>报告</w:t>
      </w:r>
      <w:r>
        <w:rPr>
          <w:rFonts w:hint="eastAsia" w:asciiTheme="minorEastAsia" w:hAnsiTheme="minorEastAsia" w:eastAsiaTheme="minorEastAsia" w:cstheme="minorEastAsia"/>
          <w:kern w:val="0"/>
          <w:sz w:val="24"/>
          <w:szCs w:val="24"/>
        </w:rPr>
        <w:t>详细介绍，经认真讨论，提出验收意见如下：</w:t>
      </w:r>
    </w:p>
    <w:p>
      <w:pPr>
        <w:spacing w:line="48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一、工程建设基本情况</w:t>
      </w:r>
    </w:p>
    <w:p>
      <w:pPr>
        <w:numPr>
          <w:ilvl w:val="0"/>
          <w:numId w:val="0"/>
        </w:numPr>
        <w:spacing w:line="480" w:lineRule="exact"/>
        <w:ind w:firstLine="480"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项目位于新干县赣中玻璃工业城，中心位置地理坐标：E115˚</w:t>
      </w:r>
      <w:r>
        <w:rPr>
          <w:rFonts w:hint="eastAsia" w:asciiTheme="minorEastAsia" w:hAnsiTheme="minorEastAsia" w:eastAsiaTheme="minorEastAsia" w:cstheme="minorEastAsia"/>
          <w:b w:val="0"/>
          <w:bCs/>
          <w:sz w:val="24"/>
          <w:szCs w:val="24"/>
          <w:lang w:val="en-US" w:eastAsia="zh-CN"/>
        </w:rPr>
        <w:t>25</w:t>
      </w:r>
      <w:r>
        <w:rPr>
          <w:rFonts w:hint="eastAsia" w:asciiTheme="minorEastAsia" w:hAnsiTheme="minorEastAsia" w:eastAsiaTheme="minorEastAsia" w:cstheme="minorEastAsia"/>
          <w:b w:val="0"/>
          <w:bCs/>
          <w:sz w:val="24"/>
          <w:szCs w:val="24"/>
          <w:lang w:eastAsia="zh-CN"/>
        </w:rPr>
        <w:t>′2</w:t>
      </w:r>
      <w:r>
        <w:rPr>
          <w:rFonts w:hint="eastAsia" w:asciiTheme="minorEastAsia" w:hAnsiTheme="minorEastAsia" w:eastAsiaTheme="minorEastAsia" w:cstheme="minorEastAsia"/>
          <w:b w:val="0"/>
          <w:bCs/>
          <w:sz w:val="24"/>
          <w:szCs w:val="24"/>
          <w:lang w:val="en-US" w:eastAsia="zh-CN"/>
        </w:rPr>
        <w:t>8.43</w:t>
      </w:r>
      <w:r>
        <w:rPr>
          <w:rFonts w:hint="eastAsia" w:asciiTheme="minorEastAsia" w:hAnsiTheme="minorEastAsia" w:eastAsiaTheme="minorEastAsia" w:cstheme="minorEastAsia"/>
          <w:b w:val="0"/>
          <w:bCs/>
          <w:sz w:val="24"/>
          <w:szCs w:val="24"/>
          <w:lang w:eastAsia="zh-CN"/>
        </w:rPr>
        <w:t>″，N2</w:t>
      </w:r>
      <w:r>
        <w:rPr>
          <w:rFonts w:hint="eastAsia" w:asciiTheme="minorEastAsia" w:hAnsiTheme="minorEastAsia" w:eastAsiaTheme="minorEastAsia" w:cstheme="minorEastAsia"/>
          <w:b w:val="0"/>
          <w:bCs/>
          <w:sz w:val="24"/>
          <w:szCs w:val="24"/>
          <w:lang w:val="en-US" w:eastAsia="zh-CN"/>
        </w:rPr>
        <w:t>7</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43</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lang w:val="en-US" w:eastAsia="zh-CN"/>
        </w:rPr>
        <w:t>32.02</w:t>
      </w:r>
      <w:r>
        <w:rPr>
          <w:rFonts w:hint="eastAsia" w:asciiTheme="minorEastAsia" w:hAnsiTheme="minorEastAsia" w:eastAsiaTheme="minorEastAsia" w:cstheme="minorEastAsia"/>
          <w:b w:val="0"/>
          <w:bCs/>
          <w:sz w:val="24"/>
          <w:szCs w:val="24"/>
          <w:lang w:eastAsia="zh-CN"/>
        </w:rPr>
        <w:t>″，项目租赁</w:t>
      </w:r>
      <w:r>
        <w:rPr>
          <w:rFonts w:hint="eastAsia" w:asciiTheme="minorEastAsia" w:hAnsiTheme="minorEastAsia" w:eastAsiaTheme="minorEastAsia" w:cstheme="minorEastAsia"/>
          <w:b w:val="0"/>
          <w:bCs/>
          <w:sz w:val="24"/>
          <w:szCs w:val="24"/>
          <w:lang w:val="en-US" w:eastAsia="zh-CN"/>
        </w:rPr>
        <w:t>新干县鑫凯彩瓦厂</w:t>
      </w:r>
      <w:r>
        <w:rPr>
          <w:rFonts w:hint="eastAsia" w:asciiTheme="minorEastAsia" w:hAnsiTheme="minorEastAsia" w:eastAsiaTheme="minorEastAsia" w:cstheme="minorEastAsia"/>
          <w:b w:val="0"/>
          <w:bCs/>
          <w:sz w:val="24"/>
          <w:szCs w:val="24"/>
          <w:lang w:eastAsia="zh-CN"/>
        </w:rPr>
        <w:t>已空置厂房为生产用房。项目北面为</w:t>
      </w:r>
      <w:r>
        <w:rPr>
          <w:rFonts w:hint="eastAsia" w:asciiTheme="minorEastAsia" w:hAnsiTheme="minorEastAsia" w:eastAsiaTheme="minorEastAsia" w:cstheme="minorEastAsia"/>
          <w:b w:val="0"/>
          <w:bCs/>
          <w:sz w:val="24"/>
          <w:szCs w:val="24"/>
          <w:lang w:val="en-US" w:eastAsia="zh-CN"/>
        </w:rPr>
        <w:t>新干县诚信玻璃制品厂</w:t>
      </w:r>
      <w:r>
        <w:rPr>
          <w:rFonts w:hint="eastAsia" w:asciiTheme="minorEastAsia" w:hAnsiTheme="minorEastAsia" w:eastAsiaTheme="minorEastAsia" w:cstheme="minorEastAsia"/>
          <w:b w:val="0"/>
          <w:bCs/>
          <w:sz w:val="24"/>
          <w:szCs w:val="24"/>
          <w:lang w:eastAsia="zh-CN"/>
        </w:rPr>
        <w:t>；南面为</w:t>
      </w:r>
      <w:r>
        <w:rPr>
          <w:rFonts w:hint="eastAsia" w:asciiTheme="minorEastAsia" w:hAnsiTheme="minorEastAsia" w:eastAsiaTheme="minorEastAsia" w:cstheme="minorEastAsia"/>
          <w:b w:val="0"/>
          <w:bCs/>
          <w:sz w:val="24"/>
          <w:szCs w:val="24"/>
          <w:lang w:val="en-US" w:eastAsia="zh-CN"/>
        </w:rPr>
        <w:t>兴众燃料有限公司</w:t>
      </w:r>
      <w:r>
        <w:rPr>
          <w:rFonts w:hint="eastAsia" w:asciiTheme="minorEastAsia" w:hAnsiTheme="minorEastAsia" w:eastAsiaTheme="minorEastAsia" w:cstheme="minorEastAsia"/>
          <w:b w:val="0"/>
          <w:bCs/>
          <w:sz w:val="24"/>
          <w:szCs w:val="24"/>
          <w:lang w:eastAsia="zh-CN"/>
        </w:rPr>
        <w:t>；西面为</w:t>
      </w:r>
      <w:r>
        <w:rPr>
          <w:rFonts w:hint="eastAsia" w:asciiTheme="minorEastAsia" w:hAnsiTheme="minorEastAsia" w:eastAsiaTheme="minorEastAsia" w:cstheme="minorEastAsia"/>
          <w:b w:val="0"/>
          <w:bCs/>
          <w:sz w:val="24"/>
          <w:szCs w:val="24"/>
          <w:lang w:val="en-US" w:eastAsia="zh-CN"/>
        </w:rPr>
        <w:t>新干县亿泰玻璃厂</w:t>
      </w:r>
      <w:r>
        <w:rPr>
          <w:rFonts w:hint="eastAsia" w:asciiTheme="minorEastAsia" w:hAnsiTheme="minorEastAsia" w:eastAsiaTheme="minorEastAsia" w:cstheme="minorEastAsia"/>
          <w:b w:val="0"/>
          <w:bCs/>
          <w:sz w:val="24"/>
          <w:szCs w:val="24"/>
          <w:lang w:eastAsia="zh-CN"/>
        </w:rPr>
        <w:t>；东面为</w:t>
      </w:r>
      <w:r>
        <w:rPr>
          <w:rFonts w:hint="eastAsia" w:asciiTheme="minorEastAsia" w:hAnsiTheme="minorEastAsia" w:eastAsiaTheme="minorEastAsia" w:cstheme="minorEastAsia"/>
          <w:b w:val="0"/>
          <w:bCs/>
          <w:sz w:val="24"/>
          <w:szCs w:val="24"/>
          <w:lang w:val="en-US" w:eastAsia="zh-CN"/>
        </w:rPr>
        <w:t>新干县永益玻璃厂</w:t>
      </w:r>
      <w:r>
        <w:rPr>
          <w:rFonts w:hint="eastAsia" w:asciiTheme="minorEastAsia" w:hAnsiTheme="minorEastAsia" w:eastAsiaTheme="minorEastAsia" w:cstheme="minorEastAsia"/>
          <w:b w:val="0"/>
          <w:bCs/>
          <w:sz w:val="24"/>
          <w:szCs w:val="24"/>
          <w:lang w:eastAsia="zh-CN"/>
        </w:rPr>
        <w:t>。</w:t>
      </w:r>
    </w:p>
    <w:p>
      <w:pPr>
        <w:numPr>
          <w:ilvl w:val="0"/>
          <w:numId w:val="1"/>
        </w:numPr>
        <w:spacing w:line="48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工程变动情况</w:t>
      </w:r>
    </w:p>
    <w:tbl>
      <w:tblPr>
        <w:tblStyle w:val="11"/>
        <w:tblpPr w:leftFromText="180" w:rightFromText="180" w:vertAnchor="page" w:horzAnchor="page" w:tblpX="1884" w:tblpY="88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38"/>
        <w:gridCol w:w="2672"/>
        <w:gridCol w:w="3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4"/>
              <w:spacing w:line="360" w:lineRule="auto"/>
              <w:jc w:val="center"/>
              <w:rPr>
                <w:rFonts w:hint="eastAsia"/>
                <w:color w:val="auto"/>
                <w:kern w:val="28"/>
                <w:sz w:val="21"/>
                <w:szCs w:val="21"/>
                <w:vertAlign w:val="baseline"/>
                <w:lang w:val="en-US" w:eastAsia="zh-CN"/>
              </w:rPr>
            </w:pPr>
            <w:r>
              <w:rPr>
                <w:rFonts w:hint="eastAsia"/>
                <w:color w:val="auto"/>
                <w:kern w:val="28"/>
                <w:sz w:val="21"/>
                <w:szCs w:val="21"/>
                <w:vertAlign w:val="baseline"/>
                <w:lang w:val="en-US" w:eastAsia="zh-CN"/>
              </w:rPr>
              <w:t>序号</w:t>
            </w:r>
          </w:p>
        </w:tc>
        <w:tc>
          <w:tcPr>
            <w:tcW w:w="1638" w:type="dxa"/>
            <w:noWrap w:val="0"/>
            <w:vAlign w:val="center"/>
          </w:tcPr>
          <w:p>
            <w:pPr>
              <w:pStyle w:val="14"/>
              <w:spacing w:line="360" w:lineRule="auto"/>
              <w:jc w:val="center"/>
              <w:rPr>
                <w:rFonts w:hint="eastAsia"/>
                <w:color w:val="auto"/>
                <w:kern w:val="28"/>
                <w:sz w:val="21"/>
                <w:szCs w:val="21"/>
                <w:vertAlign w:val="baseline"/>
                <w:lang w:val="en-US" w:eastAsia="zh-CN"/>
              </w:rPr>
            </w:pPr>
            <w:r>
              <w:rPr>
                <w:rFonts w:hint="eastAsia"/>
                <w:color w:val="auto"/>
                <w:kern w:val="28"/>
                <w:sz w:val="21"/>
                <w:szCs w:val="21"/>
                <w:vertAlign w:val="baseline"/>
                <w:lang w:val="en-US" w:eastAsia="zh-CN"/>
              </w:rPr>
              <w:t>类型</w:t>
            </w:r>
          </w:p>
        </w:tc>
        <w:tc>
          <w:tcPr>
            <w:tcW w:w="2672" w:type="dxa"/>
            <w:noWrap w:val="0"/>
            <w:vAlign w:val="center"/>
          </w:tcPr>
          <w:p>
            <w:pPr>
              <w:pStyle w:val="14"/>
              <w:spacing w:line="360" w:lineRule="auto"/>
              <w:jc w:val="center"/>
              <w:rPr>
                <w:rFonts w:hint="eastAsia"/>
                <w:color w:val="auto"/>
                <w:kern w:val="28"/>
                <w:sz w:val="21"/>
                <w:szCs w:val="21"/>
                <w:vertAlign w:val="baseline"/>
                <w:lang w:val="en-US" w:eastAsia="zh-CN"/>
              </w:rPr>
            </w:pPr>
            <w:r>
              <w:rPr>
                <w:rFonts w:hint="eastAsia"/>
                <w:color w:val="auto"/>
                <w:kern w:val="28"/>
                <w:sz w:val="21"/>
                <w:szCs w:val="21"/>
                <w:vertAlign w:val="baseline"/>
                <w:lang w:val="en-US" w:eastAsia="zh-CN"/>
              </w:rPr>
              <w:t>环评情况</w:t>
            </w:r>
          </w:p>
        </w:tc>
        <w:tc>
          <w:tcPr>
            <w:tcW w:w="3422" w:type="dxa"/>
            <w:noWrap w:val="0"/>
            <w:vAlign w:val="center"/>
          </w:tcPr>
          <w:p>
            <w:pPr>
              <w:pStyle w:val="14"/>
              <w:spacing w:line="360" w:lineRule="auto"/>
              <w:jc w:val="center"/>
              <w:rPr>
                <w:rFonts w:hint="eastAsia"/>
                <w:color w:val="auto"/>
                <w:kern w:val="28"/>
                <w:sz w:val="21"/>
                <w:szCs w:val="21"/>
                <w:vertAlign w:val="baseline"/>
                <w:lang w:val="en-US" w:eastAsia="zh-CN"/>
              </w:rPr>
            </w:pPr>
            <w:r>
              <w:rPr>
                <w:rFonts w:hint="eastAsia"/>
                <w:color w:val="auto"/>
                <w:kern w:val="28"/>
                <w:sz w:val="21"/>
                <w:szCs w:val="21"/>
                <w:vertAlign w:val="baseline"/>
                <w:lang w:val="en-US" w:eastAsia="zh-CN"/>
              </w:rPr>
              <w:t>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4"/>
              <w:spacing w:line="360" w:lineRule="auto"/>
              <w:jc w:val="center"/>
              <w:rPr>
                <w:rFonts w:hint="default"/>
                <w:color w:val="auto"/>
                <w:kern w:val="28"/>
                <w:sz w:val="21"/>
                <w:szCs w:val="21"/>
                <w:vertAlign w:val="baseline"/>
                <w:lang w:val="en-US" w:eastAsia="zh-CN"/>
              </w:rPr>
            </w:pPr>
            <w:r>
              <w:rPr>
                <w:rFonts w:hint="eastAsia"/>
                <w:color w:val="auto"/>
                <w:kern w:val="28"/>
                <w:sz w:val="21"/>
                <w:szCs w:val="21"/>
                <w:vertAlign w:val="baseline"/>
                <w:lang w:val="en-US" w:eastAsia="zh-CN"/>
              </w:rPr>
              <w:t>1</w:t>
            </w:r>
          </w:p>
        </w:tc>
        <w:tc>
          <w:tcPr>
            <w:tcW w:w="1638" w:type="dxa"/>
            <w:noWrap w:val="0"/>
            <w:vAlign w:val="center"/>
          </w:tcPr>
          <w:p>
            <w:pPr>
              <w:pStyle w:val="14"/>
              <w:spacing w:line="240" w:lineRule="auto"/>
              <w:jc w:val="center"/>
              <w:rPr>
                <w:rFonts w:hint="eastAsia"/>
                <w:color w:val="auto"/>
                <w:kern w:val="28"/>
                <w:sz w:val="21"/>
                <w:szCs w:val="21"/>
                <w:vertAlign w:val="baseline"/>
                <w:lang w:val="en-US" w:eastAsia="zh-CN"/>
              </w:rPr>
            </w:pPr>
            <w:r>
              <w:rPr>
                <w:rFonts w:hint="eastAsia"/>
                <w:color w:val="auto"/>
                <w:kern w:val="28"/>
                <w:sz w:val="21"/>
                <w:szCs w:val="21"/>
                <w:vertAlign w:val="baseline"/>
                <w:lang w:val="en-US" w:eastAsia="zh-CN"/>
              </w:rPr>
              <w:t>配料、混料工艺</w:t>
            </w:r>
          </w:p>
        </w:tc>
        <w:tc>
          <w:tcPr>
            <w:tcW w:w="2672" w:type="dxa"/>
            <w:noWrap w:val="0"/>
            <w:vAlign w:val="center"/>
          </w:tcPr>
          <w:p>
            <w:pPr>
              <w:pStyle w:val="14"/>
              <w:spacing w:line="240" w:lineRule="auto"/>
              <w:jc w:val="center"/>
              <w:rPr>
                <w:rFonts w:hint="eastAsia"/>
                <w:color w:val="auto"/>
                <w:kern w:val="28"/>
                <w:sz w:val="21"/>
                <w:szCs w:val="21"/>
                <w:vertAlign w:val="baseline"/>
                <w:lang w:val="en-US" w:eastAsia="zh-CN"/>
              </w:rPr>
            </w:pPr>
            <w:r>
              <w:rPr>
                <w:rFonts w:hint="eastAsia"/>
                <w:color w:val="auto"/>
                <w:sz w:val="21"/>
                <w:szCs w:val="21"/>
                <w:highlight w:val="none"/>
              </w:rPr>
              <w:t>配料、混料粉尘经布袋除尘器+15m高排气筒处理</w:t>
            </w:r>
          </w:p>
        </w:tc>
        <w:tc>
          <w:tcPr>
            <w:tcW w:w="3422" w:type="dxa"/>
            <w:noWrap w:val="0"/>
            <w:vAlign w:val="center"/>
          </w:tcPr>
          <w:p>
            <w:pPr>
              <w:pStyle w:val="14"/>
              <w:spacing w:line="240" w:lineRule="auto"/>
              <w:jc w:val="center"/>
              <w:rPr>
                <w:rFonts w:hint="eastAsia" w:eastAsia="宋体"/>
                <w:color w:val="auto"/>
                <w:kern w:val="28"/>
                <w:sz w:val="21"/>
                <w:szCs w:val="21"/>
                <w:vertAlign w:val="baseline"/>
                <w:lang w:val="en-US" w:eastAsia="zh-CN"/>
              </w:rPr>
            </w:pPr>
            <w:r>
              <w:rPr>
                <w:rFonts w:hint="eastAsia"/>
                <w:color w:val="auto"/>
                <w:sz w:val="21"/>
                <w:szCs w:val="21"/>
                <w:highlight w:val="none"/>
              </w:rPr>
              <w:t>配料、混料粉尘</w:t>
            </w:r>
            <w:r>
              <w:rPr>
                <w:rFonts w:hint="eastAsia"/>
                <w:color w:val="auto"/>
                <w:sz w:val="21"/>
                <w:szCs w:val="21"/>
                <w:highlight w:val="none"/>
                <w:lang w:eastAsia="zh-CN"/>
              </w:rPr>
              <w:t>经静电除尘器收集处理后，少量粉尘通过低空排放，呈无组织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4"/>
              <w:spacing w:line="360" w:lineRule="auto"/>
              <w:jc w:val="center"/>
              <w:rPr>
                <w:rFonts w:hint="default"/>
                <w:color w:val="auto"/>
                <w:kern w:val="28"/>
                <w:sz w:val="21"/>
                <w:szCs w:val="21"/>
                <w:vertAlign w:val="baseline"/>
                <w:lang w:val="en-US" w:eastAsia="zh-CN"/>
              </w:rPr>
            </w:pPr>
            <w:r>
              <w:rPr>
                <w:rFonts w:hint="eastAsia"/>
                <w:color w:val="auto"/>
                <w:kern w:val="28"/>
                <w:sz w:val="21"/>
                <w:szCs w:val="21"/>
                <w:vertAlign w:val="baseline"/>
                <w:lang w:val="en-US" w:eastAsia="zh-CN"/>
              </w:rPr>
              <w:t>2</w:t>
            </w:r>
          </w:p>
        </w:tc>
        <w:tc>
          <w:tcPr>
            <w:tcW w:w="1638" w:type="dxa"/>
            <w:noWrap w:val="0"/>
            <w:vAlign w:val="center"/>
          </w:tcPr>
          <w:p>
            <w:pPr>
              <w:pStyle w:val="14"/>
              <w:spacing w:line="240" w:lineRule="auto"/>
              <w:jc w:val="center"/>
              <w:rPr>
                <w:rFonts w:hint="eastAsia"/>
                <w:color w:val="auto"/>
                <w:kern w:val="28"/>
                <w:sz w:val="21"/>
                <w:szCs w:val="21"/>
                <w:vertAlign w:val="baseline"/>
                <w:lang w:val="en-US" w:eastAsia="zh-CN"/>
              </w:rPr>
            </w:pPr>
            <w:r>
              <w:rPr>
                <w:rFonts w:hint="eastAsia"/>
                <w:color w:val="auto"/>
                <w:kern w:val="28"/>
                <w:sz w:val="21"/>
                <w:szCs w:val="21"/>
                <w:vertAlign w:val="baseline"/>
                <w:lang w:val="en-US" w:eastAsia="zh-CN"/>
              </w:rPr>
              <w:t>窑炉废气</w:t>
            </w:r>
          </w:p>
        </w:tc>
        <w:tc>
          <w:tcPr>
            <w:tcW w:w="2672" w:type="dxa"/>
            <w:noWrap w:val="0"/>
            <w:vAlign w:val="center"/>
          </w:tcPr>
          <w:p>
            <w:pPr>
              <w:pStyle w:val="14"/>
              <w:spacing w:line="240" w:lineRule="auto"/>
              <w:jc w:val="center"/>
              <w:rPr>
                <w:rFonts w:hint="eastAsia"/>
                <w:color w:val="auto"/>
                <w:kern w:val="28"/>
                <w:sz w:val="21"/>
                <w:szCs w:val="21"/>
                <w:vertAlign w:val="baseline"/>
                <w:lang w:val="en-US" w:eastAsia="zh-CN"/>
              </w:rPr>
            </w:pPr>
            <w:r>
              <w:rPr>
                <w:rFonts w:hint="eastAsia"/>
                <w:color w:val="auto"/>
                <w:sz w:val="21"/>
                <w:szCs w:val="21"/>
                <w:highlight w:val="none"/>
              </w:rPr>
              <w:t>窑炉烟气采用SCR脱</w:t>
            </w:r>
            <w:r>
              <w:rPr>
                <w:rFonts w:hint="eastAsia"/>
                <w:color w:val="auto"/>
                <w:sz w:val="21"/>
                <w:szCs w:val="21"/>
                <w:highlight w:val="none"/>
                <w:lang w:val="en-US" w:eastAsia="zh-CN"/>
              </w:rPr>
              <w:t>硝</w:t>
            </w:r>
            <w:r>
              <w:rPr>
                <w:rFonts w:hint="eastAsia"/>
                <w:color w:val="auto"/>
                <w:sz w:val="21"/>
                <w:szCs w:val="21"/>
                <w:highlight w:val="none"/>
              </w:rPr>
              <w:t>+</w:t>
            </w:r>
            <w:r>
              <w:rPr>
                <w:rFonts w:hint="eastAsia"/>
                <w:color w:val="auto"/>
                <w:sz w:val="21"/>
                <w:szCs w:val="21"/>
                <w:highlight w:val="none"/>
                <w:lang w:val="en-US" w:eastAsia="zh-CN"/>
              </w:rPr>
              <w:t>脱硫</w:t>
            </w:r>
            <w:r>
              <w:rPr>
                <w:rFonts w:hint="eastAsia"/>
                <w:color w:val="auto"/>
                <w:sz w:val="21"/>
                <w:szCs w:val="21"/>
                <w:highlight w:val="none"/>
              </w:rPr>
              <w:t>+</w:t>
            </w:r>
            <w:r>
              <w:rPr>
                <w:rFonts w:hint="eastAsia"/>
                <w:color w:val="auto"/>
                <w:sz w:val="21"/>
                <w:szCs w:val="21"/>
                <w:highlight w:val="none"/>
                <w:lang w:val="en-US" w:eastAsia="zh-CN"/>
              </w:rPr>
              <w:t>湿式</w:t>
            </w:r>
            <w:r>
              <w:rPr>
                <w:rFonts w:hint="eastAsia"/>
                <w:color w:val="auto"/>
                <w:sz w:val="21"/>
                <w:szCs w:val="21"/>
                <w:highlight w:val="none"/>
              </w:rPr>
              <w:t>静电除尘处理后由</w:t>
            </w:r>
            <w:r>
              <w:rPr>
                <w:rFonts w:hint="eastAsia"/>
                <w:color w:val="auto"/>
                <w:sz w:val="21"/>
                <w:szCs w:val="21"/>
                <w:highlight w:val="none"/>
                <w:lang w:val="en-US" w:eastAsia="zh-CN"/>
              </w:rPr>
              <w:t>40</w:t>
            </w:r>
            <w:r>
              <w:rPr>
                <w:rFonts w:hint="eastAsia"/>
                <w:color w:val="auto"/>
                <w:sz w:val="21"/>
                <w:szCs w:val="21"/>
                <w:highlight w:val="none"/>
              </w:rPr>
              <w:t>m高</w:t>
            </w:r>
            <w:r>
              <w:rPr>
                <w:rFonts w:hint="eastAsia"/>
                <w:color w:val="auto"/>
                <w:kern w:val="2"/>
                <w:sz w:val="21"/>
                <w:szCs w:val="21"/>
                <w:highlight w:val="none"/>
                <w:lang w:val="en-US" w:eastAsia="zh-CN"/>
              </w:rPr>
              <w:t>烟囱</w:t>
            </w:r>
            <w:r>
              <w:rPr>
                <w:rFonts w:hint="eastAsia"/>
                <w:color w:val="auto"/>
                <w:sz w:val="21"/>
                <w:szCs w:val="21"/>
                <w:highlight w:val="none"/>
              </w:rPr>
              <w:t>达标排放</w:t>
            </w:r>
          </w:p>
        </w:tc>
        <w:tc>
          <w:tcPr>
            <w:tcW w:w="3422" w:type="dxa"/>
            <w:noWrap w:val="0"/>
            <w:vAlign w:val="center"/>
          </w:tcPr>
          <w:p>
            <w:pPr>
              <w:pStyle w:val="14"/>
              <w:spacing w:line="240" w:lineRule="auto"/>
              <w:jc w:val="center"/>
              <w:rPr>
                <w:rFonts w:hint="default" w:eastAsia="宋体"/>
                <w:color w:val="auto"/>
                <w:kern w:val="28"/>
                <w:sz w:val="21"/>
                <w:szCs w:val="21"/>
                <w:vertAlign w:val="baseline"/>
                <w:lang w:val="en-US" w:eastAsia="zh-CN"/>
              </w:rPr>
            </w:pPr>
            <w:r>
              <w:rPr>
                <w:rFonts w:hint="eastAsia"/>
                <w:color w:val="auto"/>
                <w:sz w:val="21"/>
                <w:szCs w:val="21"/>
                <w:highlight w:val="none"/>
              </w:rPr>
              <w:t>窑炉烟气</w:t>
            </w:r>
            <w:r>
              <w:rPr>
                <w:rFonts w:hint="eastAsia"/>
                <w:color w:val="auto"/>
                <w:sz w:val="21"/>
                <w:szCs w:val="21"/>
                <w:highlight w:val="none"/>
                <w:lang w:eastAsia="zh-CN"/>
              </w:rPr>
              <w:t>经过喷淋塔＋静电除尘器处理后经</w:t>
            </w:r>
            <w:r>
              <w:rPr>
                <w:rFonts w:hint="eastAsia"/>
                <w:color w:val="auto"/>
                <w:sz w:val="21"/>
                <w:szCs w:val="21"/>
                <w:highlight w:val="none"/>
                <w:lang w:val="en-US" w:eastAsia="zh-CN"/>
              </w:rPr>
              <w:t>40m烟囱排放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4"/>
              <w:spacing w:line="360" w:lineRule="auto"/>
              <w:jc w:val="center"/>
              <w:rPr>
                <w:rFonts w:hint="default"/>
                <w:color w:val="auto"/>
                <w:kern w:val="28"/>
                <w:sz w:val="21"/>
                <w:szCs w:val="21"/>
                <w:vertAlign w:val="baseline"/>
                <w:lang w:val="en-US" w:eastAsia="zh-CN"/>
              </w:rPr>
            </w:pPr>
            <w:r>
              <w:rPr>
                <w:rFonts w:hint="eastAsia"/>
                <w:color w:val="auto"/>
                <w:kern w:val="28"/>
                <w:sz w:val="21"/>
                <w:szCs w:val="21"/>
                <w:vertAlign w:val="baseline"/>
                <w:lang w:val="en-US" w:eastAsia="zh-CN"/>
              </w:rPr>
              <w:t>3</w:t>
            </w:r>
          </w:p>
        </w:tc>
        <w:tc>
          <w:tcPr>
            <w:tcW w:w="1638" w:type="dxa"/>
            <w:noWrap w:val="0"/>
            <w:vAlign w:val="center"/>
          </w:tcPr>
          <w:p>
            <w:pPr>
              <w:pStyle w:val="14"/>
              <w:spacing w:line="240" w:lineRule="auto"/>
              <w:jc w:val="center"/>
              <w:rPr>
                <w:rFonts w:hint="eastAsia"/>
                <w:color w:val="auto"/>
                <w:kern w:val="28"/>
                <w:sz w:val="21"/>
                <w:szCs w:val="21"/>
                <w:vertAlign w:val="baseline"/>
                <w:lang w:val="en-US" w:eastAsia="zh-CN"/>
              </w:rPr>
            </w:pPr>
            <w:r>
              <w:rPr>
                <w:color w:val="auto"/>
                <w:sz w:val="21"/>
                <w:szCs w:val="21"/>
                <w:highlight w:val="none"/>
              </w:rPr>
              <w:t>废水处理</w:t>
            </w:r>
          </w:p>
        </w:tc>
        <w:tc>
          <w:tcPr>
            <w:tcW w:w="2672" w:type="dxa"/>
            <w:noWrap w:val="0"/>
            <w:vAlign w:val="center"/>
          </w:tcPr>
          <w:p>
            <w:pPr>
              <w:pStyle w:val="14"/>
              <w:spacing w:line="240" w:lineRule="auto"/>
              <w:jc w:val="center"/>
              <w:rPr>
                <w:rFonts w:hint="eastAsia" w:eastAsia="宋体"/>
                <w:color w:val="auto"/>
                <w:kern w:val="28"/>
                <w:sz w:val="21"/>
                <w:szCs w:val="21"/>
                <w:vertAlign w:val="baseline"/>
                <w:lang w:val="en-US" w:eastAsia="zh-CN"/>
              </w:rPr>
            </w:pPr>
            <w:r>
              <w:rPr>
                <w:rFonts w:hint="eastAsia"/>
                <w:color w:val="auto"/>
                <w:kern w:val="28"/>
                <w:sz w:val="21"/>
                <w:szCs w:val="21"/>
                <w:vertAlign w:val="baseline"/>
                <w:lang w:val="en-US" w:eastAsia="zh-CN"/>
              </w:rPr>
              <w:t>项目废水主要为生活污水，生活污水经</w:t>
            </w:r>
            <w:r>
              <w:rPr>
                <w:rFonts w:hint="eastAsia"/>
                <w:color w:val="auto"/>
                <w:sz w:val="21"/>
                <w:szCs w:val="21"/>
                <w:highlight w:val="none"/>
              </w:rPr>
              <w:t>一体化污水处理设施</w:t>
            </w:r>
            <w:r>
              <w:rPr>
                <w:rFonts w:hint="eastAsia"/>
                <w:color w:val="auto"/>
                <w:sz w:val="21"/>
                <w:szCs w:val="21"/>
                <w:highlight w:val="none"/>
                <w:lang w:eastAsia="zh-CN"/>
              </w:rPr>
              <w:t>处理后排放</w:t>
            </w:r>
          </w:p>
        </w:tc>
        <w:tc>
          <w:tcPr>
            <w:tcW w:w="3422" w:type="dxa"/>
            <w:noWrap w:val="0"/>
            <w:vAlign w:val="center"/>
          </w:tcPr>
          <w:p>
            <w:pPr>
              <w:pStyle w:val="14"/>
              <w:spacing w:line="240" w:lineRule="auto"/>
              <w:jc w:val="center"/>
              <w:rPr>
                <w:rFonts w:hint="eastAsia"/>
                <w:color w:val="auto"/>
                <w:kern w:val="28"/>
                <w:sz w:val="21"/>
                <w:szCs w:val="21"/>
                <w:vertAlign w:val="baseline"/>
                <w:lang w:val="en-US" w:eastAsia="zh-CN"/>
              </w:rPr>
            </w:pPr>
            <w:r>
              <w:rPr>
                <w:rFonts w:hint="eastAsia"/>
                <w:color w:val="auto"/>
                <w:kern w:val="28"/>
                <w:sz w:val="21"/>
                <w:szCs w:val="21"/>
                <w:vertAlign w:val="baseline"/>
                <w:lang w:val="en-US" w:eastAsia="zh-CN"/>
              </w:rPr>
              <w:t>项目废水主要为生活污水，生活污水经化粪池处理后经园区污水管网排入污水处理厂。经污水处理厂统一处理</w:t>
            </w:r>
          </w:p>
        </w:tc>
      </w:tr>
    </w:tbl>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numPr>
          <w:ilvl w:val="0"/>
          <w:numId w:val="0"/>
        </w:numPr>
        <w:spacing w:line="480" w:lineRule="exac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eastAsia="zh-CN"/>
        </w:rPr>
        <w:t>三、</w:t>
      </w:r>
      <w:r>
        <w:rPr>
          <w:rFonts w:hint="eastAsia" w:asciiTheme="minorEastAsia" w:hAnsiTheme="minorEastAsia" w:eastAsiaTheme="minorEastAsia" w:cstheme="minorEastAsia"/>
          <w:b/>
          <w:kern w:val="0"/>
          <w:sz w:val="24"/>
          <w:szCs w:val="24"/>
        </w:rPr>
        <w:t>环境保护设施建设情况</w:t>
      </w:r>
    </w:p>
    <w:p>
      <w:pPr>
        <w:widowControl/>
        <w:numPr>
          <w:ilvl w:val="0"/>
          <w:numId w:val="0"/>
        </w:numPr>
        <w:spacing w:line="480" w:lineRule="exact"/>
        <w:ind w:firstLine="480" w:firstLineChars="20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1、生活污水经化粪池预处理后经园区污水管网排入污水处理厂统一再处理。生产废水主要在制珠成型工艺冷却用水，冷却用水不外排，循环使用。脱硫塔废水经循环水池循环使用，不外。</w:t>
      </w:r>
    </w:p>
    <w:p>
      <w:pPr>
        <w:widowControl/>
        <w:numPr>
          <w:ilvl w:val="0"/>
          <w:numId w:val="0"/>
        </w:numPr>
        <w:spacing w:line="480" w:lineRule="exact"/>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2、配料、混料粉尘经过静电除尘器处理后，少量废气低空排放。呈无组织。窑炉烟气采用喷淋塔+静电除尘处理后由40m高烟囱排放。</w:t>
      </w:r>
    </w:p>
    <w:p>
      <w:pPr>
        <w:widowControl/>
        <w:numPr>
          <w:ilvl w:val="0"/>
          <w:numId w:val="0"/>
        </w:numPr>
        <w:spacing w:line="480" w:lineRule="exact"/>
        <w:ind w:firstLine="480" w:firstLineChars="200"/>
        <w:jc w:val="left"/>
        <w:rPr>
          <w:rFonts w:hint="eastAsia" w:ascii="宋体" w:hAnsi="宋体" w:cs="宋体"/>
          <w:sz w:val="24"/>
          <w:lang w:val="en-US" w:eastAsia="zh-CN"/>
        </w:rPr>
      </w:pPr>
      <w:r>
        <w:rPr>
          <w:rFonts w:hint="eastAsia" w:ascii="宋体" w:hAnsi="宋体" w:cs="宋体"/>
          <w:sz w:val="24"/>
          <w:lang w:val="en-US" w:eastAsia="zh-CN"/>
        </w:rPr>
        <w:t>3、项目通过选用低噪声设备及厂区合理布局降低噪声对环境的影响。</w:t>
      </w:r>
    </w:p>
    <w:p>
      <w:pPr>
        <w:widowControl/>
        <w:numPr>
          <w:ilvl w:val="0"/>
          <w:numId w:val="0"/>
        </w:numPr>
        <w:spacing w:line="480" w:lineRule="exact"/>
        <w:jc w:val="left"/>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4、项目固废主要为生产固废、生活垃圾。不合格产品回用于生产，粉尘集中收集后外售、综合利用。生活垃圾交由环卫处理</w:t>
      </w:r>
    </w:p>
    <w:p>
      <w:pPr>
        <w:widowControl/>
        <w:numPr>
          <w:ilvl w:val="0"/>
          <w:numId w:val="0"/>
        </w:numPr>
        <w:spacing w:line="480" w:lineRule="exact"/>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四、环保设施监测结果</w:t>
      </w:r>
    </w:p>
    <w:p>
      <w:pPr>
        <w:widowControl/>
        <w:numPr>
          <w:ilvl w:val="0"/>
          <w:numId w:val="0"/>
        </w:numPr>
        <w:spacing w:line="480" w:lineRule="exact"/>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检测结果表明该项目污水处理出口污染物pH值</w:t>
      </w:r>
      <w:r>
        <w:rPr>
          <w:rFonts w:hint="eastAsia" w:asciiTheme="minorEastAsia" w:hAnsiTheme="minorEastAsia" w:eastAsiaTheme="minorEastAsia" w:cstheme="minorEastAsia"/>
          <w:b w:val="0"/>
          <w:bCs/>
          <w:sz w:val="24"/>
          <w:szCs w:val="24"/>
          <w:lang w:eastAsia="zh-CN"/>
        </w:rPr>
        <w:t>在</w:t>
      </w:r>
      <w:r>
        <w:rPr>
          <w:rFonts w:hint="eastAsia" w:asciiTheme="minorEastAsia" w:hAnsiTheme="minorEastAsia" w:eastAsiaTheme="minorEastAsia" w:cstheme="minorEastAsia"/>
          <w:b w:val="0"/>
          <w:bCs/>
          <w:sz w:val="24"/>
          <w:szCs w:val="24"/>
          <w:lang w:val="en-US" w:eastAsia="zh-CN"/>
        </w:rPr>
        <w:t>7.21-7.71之间</w:t>
      </w:r>
      <w:r>
        <w:rPr>
          <w:rFonts w:hint="eastAsia" w:asciiTheme="minorEastAsia" w:hAnsiTheme="minorEastAsia" w:eastAsiaTheme="minorEastAsia" w:cstheme="minorEastAsia"/>
          <w:b w:val="0"/>
          <w:bCs/>
          <w:sz w:val="24"/>
          <w:szCs w:val="24"/>
        </w:rPr>
        <w:t>、化学需氧量</w:t>
      </w:r>
      <w:r>
        <w:rPr>
          <w:rFonts w:hint="eastAsia" w:asciiTheme="minorEastAsia" w:hAnsiTheme="minorEastAsia" w:eastAsiaTheme="minorEastAsia" w:cstheme="minorEastAsia"/>
          <w:b w:val="0"/>
          <w:bCs/>
          <w:sz w:val="24"/>
          <w:szCs w:val="24"/>
          <w:lang w:eastAsia="zh-CN"/>
        </w:rPr>
        <w:t>最大值为</w:t>
      </w:r>
      <w:r>
        <w:rPr>
          <w:rFonts w:hint="eastAsia" w:asciiTheme="minorEastAsia" w:hAnsiTheme="minorEastAsia" w:eastAsiaTheme="minorEastAsia" w:cstheme="minorEastAsia"/>
          <w:b w:val="0"/>
          <w:bCs/>
          <w:sz w:val="24"/>
          <w:szCs w:val="24"/>
          <w:lang w:val="en-US" w:eastAsia="zh-CN"/>
        </w:rPr>
        <w:t>82</w:t>
      </w:r>
      <w:r>
        <w:rPr>
          <w:rFonts w:hint="eastAsia" w:asciiTheme="minorEastAsia" w:hAnsiTheme="minorEastAsia" w:eastAsiaTheme="minorEastAsia" w:cstheme="minorEastAsia"/>
          <w:b w:val="0"/>
          <w:bCs/>
          <w:sz w:val="24"/>
          <w:szCs w:val="24"/>
        </w:rPr>
        <w:t>mg/L、五日生化需氧量</w:t>
      </w:r>
      <w:r>
        <w:rPr>
          <w:rFonts w:hint="eastAsia" w:asciiTheme="minorEastAsia" w:hAnsiTheme="minorEastAsia" w:eastAsiaTheme="minorEastAsia" w:cstheme="minorEastAsia"/>
          <w:b w:val="0"/>
          <w:bCs/>
          <w:sz w:val="24"/>
          <w:szCs w:val="24"/>
          <w:lang w:eastAsia="zh-CN"/>
        </w:rPr>
        <w:t>最大为</w:t>
      </w:r>
      <w:r>
        <w:rPr>
          <w:rFonts w:hint="eastAsia" w:asciiTheme="minorEastAsia" w:hAnsiTheme="minorEastAsia" w:eastAsiaTheme="minorEastAsia" w:cstheme="minorEastAsia"/>
          <w:b w:val="0"/>
          <w:bCs/>
          <w:sz w:val="24"/>
          <w:szCs w:val="24"/>
          <w:lang w:val="en-US" w:eastAsia="zh-CN"/>
        </w:rPr>
        <w:t>18.2</w:t>
      </w:r>
      <w:r>
        <w:rPr>
          <w:rFonts w:hint="eastAsia" w:asciiTheme="minorEastAsia" w:hAnsiTheme="minorEastAsia" w:eastAsiaTheme="minorEastAsia" w:cstheme="minorEastAsia"/>
          <w:b w:val="0"/>
          <w:bCs/>
          <w:sz w:val="24"/>
          <w:szCs w:val="24"/>
        </w:rPr>
        <w:t>mg/L、悬浮物</w:t>
      </w:r>
      <w:r>
        <w:rPr>
          <w:rFonts w:hint="eastAsia" w:asciiTheme="minorEastAsia" w:hAnsiTheme="minorEastAsia" w:eastAsiaTheme="minorEastAsia" w:cstheme="minorEastAsia"/>
          <w:b w:val="0"/>
          <w:bCs/>
          <w:sz w:val="24"/>
          <w:szCs w:val="24"/>
          <w:lang w:eastAsia="zh-CN"/>
        </w:rPr>
        <w:t>最大为</w:t>
      </w:r>
      <w:r>
        <w:rPr>
          <w:rFonts w:hint="eastAsia" w:asciiTheme="minorEastAsia" w:hAnsiTheme="minorEastAsia" w:eastAsiaTheme="minorEastAsia" w:cstheme="minorEastAsia"/>
          <w:b w:val="0"/>
          <w:bCs/>
          <w:sz w:val="24"/>
          <w:szCs w:val="24"/>
          <w:lang w:val="en-US" w:eastAsia="zh-CN"/>
        </w:rPr>
        <w:t>34</w:t>
      </w:r>
      <w:r>
        <w:rPr>
          <w:rFonts w:hint="eastAsia" w:asciiTheme="minorEastAsia" w:hAnsiTheme="minorEastAsia" w:eastAsiaTheme="minorEastAsia" w:cstheme="minorEastAsia"/>
          <w:b w:val="0"/>
          <w:bCs/>
          <w:sz w:val="24"/>
          <w:szCs w:val="24"/>
        </w:rPr>
        <w:t>mg/L、氨氮</w:t>
      </w:r>
      <w:r>
        <w:rPr>
          <w:rFonts w:hint="eastAsia" w:asciiTheme="minorEastAsia" w:hAnsiTheme="minorEastAsia" w:eastAsiaTheme="minorEastAsia" w:cstheme="minorEastAsia"/>
          <w:b w:val="0"/>
          <w:bCs/>
          <w:sz w:val="24"/>
          <w:szCs w:val="24"/>
          <w:lang w:eastAsia="zh-CN"/>
        </w:rPr>
        <w:t>最大为</w:t>
      </w:r>
      <w:r>
        <w:rPr>
          <w:rFonts w:hint="eastAsia" w:asciiTheme="minorEastAsia" w:hAnsiTheme="minorEastAsia" w:eastAsiaTheme="minorEastAsia" w:cstheme="minorEastAsia"/>
          <w:b w:val="0"/>
          <w:bCs/>
          <w:sz w:val="24"/>
          <w:szCs w:val="24"/>
          <w:lang w:val="en-US" w:eastAsia="zh-CN"/>
        </w:rPr>
        <w:t>8.41</w:t>
      </w:r>
      <w:r>
        <w:rPr>
          <w:rFonts w:hint="eastAsia" w:asciiTheme="minorEastAsia" w:hAnsiTheme="minorEastAsia" w:eastAsiaTheme="minorEastAsia" w:cstheme="minorEastAsia"/>
          <w:b w:val="0"/>
          <w:bCs/>
          <w:sz w:val="24"/>
          <w:szCs w:val="24"/>
        </w:rPr>
        <w:t>mg/L</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符合《污水综合排放标准》（GB8978-1996）表4中</w:t>
      </w:r>
      <w:r>
        <w:rPr>
          <w:rFonts w:hint="eastAsia" w:asciiTheme="minorEastAsia" w:hAnsiTheme="minorEastAsia" w:eastAsiaTheme="minorEastAsia" w:cstheme="minorEastAsia"/>
          <w:b w:val="0"/>
          <w:bCs/>
          <w:sz w:val="24"/>
          <w:szCs w:val="24"/>
          <w:lang w:eastAsia="zh-CN"/>
        </w:rPr>
        <w:t>一</w:t>
      </w:r>
      <w:r>
        <w:rPr>
          <w:rFonts w:hint="eastAsia" w:asciiTheme="minorEastAsia" w:hAnsiTheme="minorEastAsia" w:eastAsiaTheme="minorEastAsia" w:cstheme="minorEastAsia"/>
          <w:b w:val="0"/>
          <w:bCs/>
          <w:sz w:val="24"/>
          <w:szCs w:val="24"/>
        </w:rPr>
        <w:t>级标准</w:t>
      </w:r>
      <w:r>
        <w:rPr>
          <w:rFonts w:hint="eastAsia" w:asciiTheme="minorEastAsia" w:hAnsiTheme="minorEastAsia" w:eastAsiaTheme="minorEastAsia" w:cstheme="minorEastAsia"/>
          <w:b w:val="0"/>
          <w:bCs/>
          <w:sz w:val="24"/>
          <w:szCs w:val="24"/>
          <w:lang w:val="en-US" w:eastAsia="zh-CN"/>
        </w:rPr>
        <w:t>。</w:t>
      </w:r>
    </w:p>
    <w:p>
      <w:pPr>
        <w:widowControl/>
        <w:numPr>
          <w:ilvl w:val="0"/>
          <w:numId w:val="0"/>
        </w:numPr>
        <w:spacing w:line="480" w:lineRule="exact"/>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检测结果表明，该项目无组织废气</w:t>
      </w:r>
      <w:r>
        <w:rPr>
          <w:rFonts w:hint="eastAsia" w:asciiTheme="minorEastAsia" w:hAnsiTheme="minorEastAsia" w:eastAsiaTheme="minorEastAsia" w:cstheme="minorEastAsia"/>
          <w:b w:val="0"/>
          <w:bCs/>
          <w:sz w:val="24"/>
          <w:szCs w:val="24"/>
          <w:lang w:eastAsia="zh-CN"/>
        </w:rPr>
        <w:t>颗粒物最高浓度为</w:t>
      </w:r>
      <w:r>
        <w:rPr>
          <w:rFonts w:hint="eastAsia" w:asciiTheme="minorEastAsia" w:hAnsiTheme="minorEastAsia" w:eastAsiaTheme="minorEastAsia" w:cstheme="minorEastAsia"/>
          <w:b w:val="0"/>
          <w:bCs/>
          <w:sz w:val="24"/>
          <w:szCs w:val="24"/>
        </w:rPr>
        <w:t>0.</w:t>
      </w:r>
      <w:r>
        <w:rPr>
          <w:rFonts w:hint="eastAsia" w:asciiTheme="minorEastAsia" w:hAnsiTheme="minorEastAsia" w:eastAsiaTheme="minorEastAsia" w:cstheme="minorEastAsia"/>
          <w:b w:val="0"/>
          <w:bCs/>
          <w:sz w:val="24"/>
          <w:szCs w:val="24"/>
          <w:lang w:val="en-US" w:eastAsia="zh-CN"/>
        </w:rPr>
        <w:t>410</w:t>
      </w:r>
      <w:r>
        <w:rPr>
          <w:rFonts w:hint="eastAsia" w:asciiTheme="minorEastAsia" w:hAnsiTheme="minorEastAsia" w:eastAsiaTheme="minorEastAsia" w:cstheme="minorEastAsia"/>
          <w:b w:val="0"/>
          <w:bCs/>
          <w:sz w:val="24"/>
          <w:szCs w:val="24"/>
        </w:rPr>
        <w:t>mg/m³，</w:t>
      </w:r>
      <w:r>
        <w:rPr>
          <w:rFonts w:hint="eastAsia" w:asciiTheme="minorEastAsia" w:hAnsiTheme="minorEastAsia" w:eastAsiaTheme="minorEastAsia" w:cstheme="minorEastAsia"/>
          <w:b w:val="0"/>
          <w:bCs/>
          <w:sz w:val="24"/>
          <w:szCs w:val="24"/>
          <w:lang w:eastAsia="zh-CN"/>
        </w:rPr>
        <w:t>满足</w:t>
      </w:r>
      <w:r>
        <w:rPr>
          <w:rFonts w:hint="eastAsia" w:asciiTheme="minorEastAsia" w:hAnsiTheme="minorEastAsia" w:eastAsiaTheme="minorEastAsia" w:cstheme="minorEastAsia"/>
          <w:b w:val="0"/>
          <w:bCs/>
          <w:sz w:val="24"/>
          <w:szCs w:val="24"/>
          <w:lang w:val="en-US" w:eastAsia="zh-CN"/>
        </w:rPr>
        <w:t>《平板玻璃工业大气污染物排放标准》（GB26453-2011）表3中大气污染物无组织排放限值。</w:t>
      </w:r>
    </w:p>
    <w:p>
      <w:pPr>
        <w:widowControl/>
        <w:numPr>
          <w:ilvl w:val="0"/>
          <w:numId w:val="0"/>
        </w:numPr>
        <w:spacing w:line="480" w:lineRule="exact"/>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检测结果表明</w:t>
      </w:r>
      <w:r>
        <w:rPr>
          <w:rFonts w:hint="eastAsia" w:asciiTheme="minorEastAsia" w:hAnsiTheme="minorEastAsia" w:eastAsiaTheme="minorEastAsia" w:cstheme="minorEastAsia"/>
          <w:b w:val="0"/>
          <w:bCs/>
          <w:sz w:val="24"/>
          <w:szCs w:val="24"/>
          <w:lang w:eastAsia="zh-CN"/>
        </w:rPr>
        <w:t>，熔化炉废气中颗粒物最高浓度＜</w:t>
      </w:r>
      <w:r>
        <w:rPr>
          <w:rFonts w:hint="eastAsia" w:asciiTheme="minorEastAsia" w:hAnsiTheme="minorEastAsia" w:eastAsiaTheme="minorEastAsia" w:cstheme="minorEastAsia"/>
          <w:b w:val="0"/>
          <w:bCs/>
          <w:sz w:val="24"/>
          <w:szCs w:val="24"/>
          <w:lang w:val="en-US" w:eastAsia="zh-CN"/>
        </w:rPr>
        <w:t>20</w:t>
      </w:r>
      <w:r>
        <w:rPr>
          <w:rFonts w:hint="eastAsia" w:asciiTheme="minorEastAsia" w:hAnsiTheme="minorEastAsia" w:eastAsiaTheme="minorEastAsia" w:cstheme="minorEastAsia"/>
          <w:b w:val="0"/>
          <w:bCs/>
          <w:sz w:val="24"/>
          <w:szCs w:val="24"/>
        </w:rPr>
        <w:t>mg/m3</w:t>
      </w:r>
      <w:r>
        <w:rPr>
          <w:rFonts w:hint="eastAsia" w:asciiTheme="minorEastAsia" w:hAnsiTheme="minorEastAsia" w:eastAsiaTheme="minorEastAsia" w:cstheme="minorEastAsia"/>
          <w:b w:val="0"/>
          <w:bCs/>
          <w:sz w:val="24"/>
          <w:szCs w:val="24"/>
          <w:lang w:eastAsia="zh-CN"/>
        </w:rPr>
        <w:t>，二氧化硫最高浓度为</w:t>
      </w:r>
      <w:r>
        <w:rPr>
          <w:rFonts w:hint="eastAsia" w:asciiTheme="minorEastAsia" w:hAnsiTheme="minorEastAsia" w:eastAsiaTheme="minorEastAsia" w:cstheme="minorEastAsia"/>
          <w:b w:val="0"/>
          <w:bCs/>
          <w:sz w:val="24"/>
          <w:szCs w:val="24"/>
          <w:lang w:val="en-US" w:eastAsia="zh-CN"/>
        </w:rPr>
        <w:t>70</w:t>
      </w:r>
      <w:r>
        <w:rPr>
          <w:rFonts w:hint="eastAsia" w:asciiTheme="minorEastAsia" w:hAnsiTheme="minorEastAsia" w:eastAsiaTheme="minorEastAsia" w:cstheme="minorEastAsia"/>
          <w:b w:val="0"/>
          <w:bCs/>
          <w:sz w:val="24"/>
          <w:szCs w:val="24"/>
        </w:rPr>
        <w:t>mg/m3</w:t>
      </w:r>
      <w:r>
        <w:rPr>
          <w:rFonts w:hint="eastAsia" w:asciiTheme="minorEastAsia" w:hAnsiTheme="minorEastAsia" w:eastAsiaTheme="minorEastAsia" w:cstheme="minorEastAsia"/>
          <w:b w:val="0"/>
          <w:bCs/>
          <w:sz w:val="24"/>
          <w:szCs w:val="24"/>
          <w:lang w:eastAsia="zh-CN"/>
        </w:rPr>
        <w:t>，氮氧化物最高浓度为</w:t>
      </w:r>
      <w:r>
        <w:rPr>
          <w:rFonts w:hint="eastAsia" w:asciiTheme="minorEastAsia" w:hAnsiTheme="minorEastAsia" w:eastAsiaTheme="minorEastAsia" w:cstheme="minorEastAsia"/>
          <w:b w:val="0"/>
          <w:bCs/>
          <w:sz w:val="24"/>
          <w:szCs w:val="24"/>
          <w:lang w:val="en-US" w:eastAsia="zh-CN"/>
        </w:rPr>
        <w:t>162</w:t>
      </w:r>
      <w:r>
        <w:rPr>
          <w:rFonts w:hint="eastAsia" w:asciiTheme="minorEastAsia" w:hAnsiTheme="minorEastAsia" w:eastAsiaTheme="minorEastAsia" w:cstheme="minorEastAsia"/>
          <w:b w:val="0"/>
          <w:bCs/>
          <w:sz w:val="24"/>
          <w:szCs w:val="24"/>
        </w:rPr>
        <w:t>mg/m3</w:t>
      </w:r>
      <w:r>
        <w:rPr>
          <w:rFonts w:hint="eastAsia" w:asciiTheme="minorEastAsia" w:hAnsiTheme="minorEastAsia" w:eastAsiaTheme="minorEastAsia" w:cstheme="minorEastAsia"/>
          <w:b w:val="0"/>
          <w:bCs/>
          <w:sz w:val="24"/>
          <w:szCs w:val="24"/>
          <w:lang w:eastAsia="zh-CN"/>
        </w:rPr>
        <w:t>，满足</w:t>
      </w:r>
      <w:r>
        <w:rPr>
          <w:rFonts w:hint="eastAsia" w:asciiTheme="minorEastAsia" w:hAnsiTheme="minorEastAsia" w:eastAsiaTheme="minorEastAsia" w:cstheme="minorEastAsia"/>
          <w:b w:val="0"/>
          <w:bCs/>
          <w:sz w:val="24"/>
          <w:szCs w:val="24"/>
          <w:lang w:val="en-US" w:eastAsia="zh-CN"/>
        </w:rPr>
        <w:t>《平板玻璃工业大气污染物排放标准》（GB26453-2011）表2中新建企业大气污染物排放限值。</w:t>
      </w:r>
    </w:p>
    <w:p>
      <w:pPr>
        <w:widowControl/>
        <w:numPr>
          <w:ilvl w:val="0"/>
          <w:numId w:val="0"/>
        </w:numPr>
        <w:spacing w:line="480" w:lineRule="exact"/>
        <w:ind w:firstLine="480" w:firstLineChars="200"/>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检测结果表明，该项目厂界四周昼间噪声检测值范围为</w:t>
      </w:r>
      <w:r>
        <w:rPr>
          <w:rFonts w:hint="eastAsia" w:asciiTheme="minorEastAsia" w:hAnsiTheme="minorEastAsia" w:eastAsiaTheme="minorEastAsia" w:cstheme="minorEastAsia"/>
          <w:b w:val="0"/>
          <w:bCs/>
          <w:sz w:val="24"/>
          <w:szCs w:val="24"/>
          <w:lang w:val="en-US" w:eastAsia="zh-CN"/>
        </w:rPr>
        <w:t>54.2-58.0</w:t>
      </w:r>
      <w:r>
        <w:rPr>
          <w:rFonts w:hint="eastAsia" w:asciiTheme="minorEastAsia" w:hAnsiTheme="minorEastAsia" w:eastAsiaTheme="minorEastAsia" w:cstheme="minorEastAsia"/>
          <w:b w:val="0"/>
          <w:bCs/>
          <w:sz w:val="24"/>
          <w:szCs w:val="24"/>
        </w:rPr>
        <w:t>dB(A),厂界四周夜间噪声检测值范围为</w:t>
      </w:r>
      <w:r>
        <w:rPr>
          <w:rFonts w:hint="eastAsia" w:asciiTheme="minorEastAsia" w:hAnsiTheme="minorEastAsia" w:eastAsiaTheme="minorEastAsia" w:cstheme="minorEastAsia"/>
          <w:b w:val="0"/>
          <w:bCs/>
          <w:sz w:val="24"/>
          <w:szCs w:val="24"/>
          <w:lang w:val="en-US" w:eastAsia="zh-CN"/>
        </w:rPr>
        <w:t>45.0</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45.4</w:t>
      </w:r>
      <w:r>
        <w:rPr>
          <w:rFonts w:hint="eastAsia" w:asciiTheme="minorEastAsia" w:hAnsiTheme="minorEastAsia" w:eastAsiaTheme="minorEastAsia" w:cstheme="minorEastAsia"/>
          <w:b w:val="0"/>
          <w:bCs/>
          <w:sz w:val="24"/>
          <w:szCs w:val="24"/>
        </w:rPr>
        <w:t>dB(A)，符合《工业企业厂界环境噪声排放噪声标准》（GB12348-2008）</w:t>
      </w: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类标准限值要求，为达标排放。</w:t>
      </w:r>
    </w:p>
    <w:p>
      <w:pPr>
        <w:widowControl/>
        <w:numPr>
          <w:ilvl w:val="0"/>
          <w:numId w:val="2"/>
        </w:numPr>
        <w:spacing w:line="480" w:lineRule="exact"/>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sz w:val="24"/>
          <w:szCs w:val="24"/>
        </w:rPr>
        <w:t>工程建设对环境的影响</w:t>
      </w:r>
    </w:p>
    <w:p>
      <w:pPr>
        <w:widowControl/>
        <w:numPr>
          <w:ilvl w:val="0"/>
          <w:numId w:val="0"/>
        </w:numPr>
        <w:spacing w:line="480" w:lineRule="exact"/>
        <w:ind w:firstLine="480" w:firstLineChars="200"/>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本项目产生废气、废水、噪声、固废均由相应环保设施处理后排放，对周边环境影响较小。                                                                                                                                      </w:t>
      </w:r>
    </w:p>
    <w:p>
      <w:pPr>
        <w:widowControl/>
        <w:numPr>
          <w:ilvl w:val="0"/>
          <w:numId w:val="0"/>
        </w:numPr>
        <w:spacing w:line="480" w:lineRule="exact"/>
        <w:jc w:val="both"/>
        <w:rPr>
          <w:rFonts w:hint="eastAsia" w:asciiTheme="minorEastAsia" w:hAnsiTheme="minorEastAsia" w:eastAsiaTheme="minorEastAsia" w:cstheme="minorEastAsia"/>
          <w:b/>
          <w:bCs/>
          <w:kern w:val="0"/>
          <w:sz w:val="24"/>
          <w:szCs w:val="24"/>
          <w:lang w:val="en-US" w:eastAsia="zh-CN"/>
        </w:rPr>
      </w:pPr>
    </w:p>
    <w:p>
      <w:pPr>
        <w:widowControl/>
        <w:numPr>
          <w:ilvl w:val="0"/>
          <w:numId w:val="0"/>
        </w:numPr>
        <w:spacing w:line="480" w:lineRule="exact"/>
        <w:jc w:val="both"/>
        <w:rPr>
          <w:rFonts w:hint="eastAsia" w:asciiTheme="minorEastAsia" w:hAnsiTheme="minorEastAsia" w:eastAsiaTheme="minorEastAsia" w:cstheme="minorEastAsia"/>
          <w:b/>
          <w:bCs/>
          <w:kern w:val="0"/>
          <w:sz w:val="24"/>
          <w:szCs w:val="24"/>
          <w:lang w:val="en-US" w:eastAsia="zh-CN"/>
        </w:rPr>
      </w:pPr>
    </w:p>
    <w:p>
      <w:pPr>
        <w:widowControl/>
        <w:numPr>
          <w:ilvl w:val="0"/>
          <w:numId w:val="0"/>
        </w:numPr>
        <w:spacing w:line="480" w:lineRule="exact"/>
        <w:jc w:val="both"/>
        <w:rPr>
          <w:rFonts w:hint="eastAsia" w:asciiTheme="minorEastAsia" w:hAnsiTheme="minorEastAsia" w:eastAsiaTheme="minorEastAsia" w:cstheme="minorEastAsia"/>
          <w:b/>
          <w:bCs/>
          <w:kern w:val="0"/>
          <w:sz w:val="24"/>
          <w:szCs w:val="24"/>
          <w:lang w:val="en-US" w:eastAsia="zh-CN"/>
        </w:rPr>
      </w:pPr>
    </w:p>
    <w:p>
      <w:pPr>
        <w:widowControl/>
        <w:numPr>
          <w:ilvl w:val="0"/>
          <w:numId w:val="0"/>
        </w:numPr>
        <w:spacing w:line="480" w:lineRule="exact"/>
        <w:jc w:val="both"/>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六、验收结论</w:t>
      </w:r>
    </w:p>
    <w:p>
      <w:pPr>
        <w:pStyle w:val="3"/>
        <w:spacing w:before="0" w:line="360" w:lineRule="auto"/>
        <w:ind w:left="0"/>
        <w:rPr>
          <w:rFonts w:hint="eastAsia" w:cs="宋体"/>
          <w:sz w:val="24"/>
          <w:szCs w:val="24"/>
          <w:lang w:eastAsia="zh-CN"/>
        </w:rPr>
      </w:pPr>
      <w:r>
        <w:rPr>
          <w:rFonts w:hint="eastAsia" w:cs="宋体"/>
          <w:sz w:val="24"/>
          <w:szCs w:val="24"/>
          <w:lang w:eastAsia="zh-CN"/>
        </w:rPr>
        <w:t>验收综合结论：</w:t>
      </w:r>
    </w:p>
    <w:p>
      <w:pPr>
        <w:pStyle w:val="3"/>
        <w:spacing w:before="0" w:line="360" w:lineRule="auto"/>
        <w:ind w:left="0" w:firstLine="480" w:firstLineChars="200"/>
        <w:rPr>
          <w:rFonts w:ascii="Times New Roman" w:hAnsi="Times New Roman"/>
          <w:sz w:val="24"/>
          <w:szCs w:val="24"/>
          <w:lang w:eastAsia="zh-CN"/>
        </w:rPr>
      </w:pPr>
      <w:r>
        <w:rPr>
          <w:rFonts w:hint="eastAsia" w:ascii="Times New Roman" w:hAnsi="Times New Roman"/>
          <w:sz w:val="24"/>
          <w:szCs w:val="24"/>
          <w:lang w:eastAsia="zh-CN"/>
        </w:rPr>
        <w:t>依据《建设项目竣工环境保护验收暂行办法》中所规定的九种验收不合格情形，对项目进行逐一对照核查，本项目未出现不合格情形。具体如下表：</w:t>
      </w:r>
    </w:p>
    <w:p>
      <w:pPr>
        <w:pStyle w:val="3"/>
        <w:spacing w:before="0"/>
        <w:ind w:firstLine="480" w:firstLineChars="200"/>
        <w:jc w:val="both"/>
        <w:rPr>
          <w:rFonts w:ascii="Times New Roman" w:hAnsi="Times New Roman"/>
          <w:sz w:val="24"/>
          <w:szCs w:val="24"/>
          <w:lang w:eastAsia="zh-CN"/>
        </w:rPr>
      </w:pPr>
      <w:r>
        <w:rPr>
          <w:rFonts w:hint="eastAsia" w:ascii="Times New Roman" w:hAnsi="Times New Roman"/>
          <w:sz w:val="24"/>
          <w:szCs w:val="24"/>
          <w:lang w:eastAsia="zh-CN"/>
        </w:rPr>
        <w:t>建设项目竣工环境保护验收条件与实际情况对照表</w:t>
      </w:r>
    </w:p>
    <w:tbl>
      <w:tblPr>
        <w:tblStyle w:val="11"/>
        <w:tblW w:w="920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808"/>
        <w:gridCol w:w="2657"/>
        <w:gridCol w:w="125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87" w:type="dxa"/>
            <w:vAlign w:val="center"/>
          </w:tcPr>
          <w:p>
            <w:pPr>
              <w:pStyle w:val="16"/>
              <w:snapToGrid w:val="0"/>
              <w:ind w:firstLine="0" w:firstLineChars="0"/>
              <w:jc w:val="center"/>
              <w:rPr>
                <w:rFonts w:ascii="Times New Roman" w:hAnsi="Times New Roman" w:eastAsia="宋体" w:cs="Times New Roman"/>
                <w:sz w:val="24"/>
                <w:szCs w:val="24"/>
                <w:lang w:eastAsia="zh-CN"/>
              </w:rPr>
            </w:pPr>
            <w:r>
              <w:rPr>
                <w:rFonts w:hint="eastAsia" w:ascii="Times New Roman" w:hAnsi="Times New Roman" w:cs="Times New Roman"/>
                <w:szCs w:val="21"/>
              </w:rPr>
              <w:t>序号</w:t>
            </w:r>
          </w:p>
        </w:tc>
        <w:tc>
          <w:tcPr>
            <w:tcW w:w="4808" w:type="dxa"/>
            <w:vAlign w:val="center"/>
          </w:tcPr>
          <w:p>
            <w:pPr>
              <w:pStyle w:val="16"/>
              <w:snapToGrid w:val="0"/>
              <w:ind w:firstLine="0" w:firstLineChars="0"/>
              <w:jc w:val="center"/>
              <w:rPr>
                <w:rFonts w:ascii="Times New Roman" w:hAnsi="Times New Roman" w:eastAsia="宋体" w:cs="Times New Roman"/>
                <w:sz w:val="24"/>
                <w:szCs w:val="24"/>
                <w:lang w:eastAsia="zh-CN"/>
              </w:rPr>
            </w:pPr>
            <w:r>
              <w:rPr>
                <w:rFonts w:hint="eastAsia" w:ascii="Times New Roman" w:hAnsi="Times New Roman" w:cs="Times New Roman"/>
                <w:szCs w:val="21"/>
              </w:rPr>
              <w:t>不予通过验收的情形</w:t>
            </w:r>
          </w:p>
        </w:tc>
        <w:tc>
          <w:tcPr>
            <w:tcW w:w="2657" w:type="dxa"/>
            <w:vAlign w:val="center"/>
          </w:tcPr>
          <w:p>
            <w:pPr>
              <w:pStyle w:val="16"/>
              <w:snapToGrid w:val="0"/>
              <w:ind w:firstLine="0" w:firstLineChars="0"/>
              <w:jc w:val="center"/>
              <w:rPr>
                <w:rFonts w:ascii="Times New Roman" w:hAnsi="Times New Roman" w:eastAsia="宋体" w:cs="Times New Roman"/>
                <w:sz w:val="24"/>
                <w:szCs w:val="24"/>
                <w:lang w:eastAsia="zh-CN"/>
              </w:rPr>
            </w:pPr>
            <w:r>
              <w:rPr>
                <w:rFonts w:hint="eastAsia" w:ascii="Times New Roman" w:hAnsi="Times New Roman" w:cs="Times New Roman"/>
                <w:szCs w:val="21"/>
              </w:rPr>
              <w:t>项目实际情况</w:t>
            </w:r>
          </w:p>
        </w:tc>
        <w:tc>
          <w:tcPr>
            <w:tcW w:w="1256" w:type="dxa"/>
            <w:vAlign w:val="center"/>
          </w:tcPr>
          <w:p>
            <w:pPr>
              <w:pStyle w:val="16"/>
              <w:snapToGrid w:val="0"/>
              <w:ind w:firstLine="0" w:firstLineChars="0"/>
              <w:jc w:val="center"/>
              <w:rPr>
                <w:rFonts w:ascii="Times New Roman" w:hAnsi="Times New Roman" w:eastAsia="宋体" w:cs="Times New Roman"/>
                <w:sz w:val="24"/>
                <w:szCs w:val="24"/>
                <w:lang w:eastAsia="zh-CN"/>
              </w:rPr>
            </w:pPr>
            <w:r>
              <w:rPr>
                <w:rFonts w:hint="eastAsia" w:ascii="Times New Roman" w:hAnsi="Times New Roman" w:cs="Times New Roman"/>
                <w:szCs w:val="21"/>
              </w:rPr>
              <w:t>结论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87"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1</w:t>
            </w:r>
          </w:p>
        </w:tc>
        <w:tc>
          <w:tcPr>
            <w:tcW w:w="4808"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lang w:eastAsia="zh-CN"/>
              </w:rPr>
              <w:t>未按环境影响报告书（表）及其审批部门审批决定要求建成环境保护设施，或者环境保护设施不能与主体工程同时投产或者使用的</w:t>
            </w:r>
          </w:p>
        </w:tc>
        <w:tc>
          <w:tcPr>
            <w:tcW w:w="2657"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lang w:eastAsia="zh-CN"/>
              </w:rPr>
              <w:t>项目环境保护设施建设符合环评及批复要求，且与主体工程同时投产使用</w:t>
            </w:r>
          </w:p>
        </w:tc>
        <w:tc>
          <w:tcPr>
            <w:tcW w:w="1256"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不属于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87"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2</w:t>
            </w:r>
          </w:p>
        </w:tc>
        <w:tc>
          <w:tcPr>
            <w:tcW w:w="4808"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lang w:eastAsia="zh-CN"/>
              </w:rPr>
              <w:t>污染物排放不符合国家和地方相关标准、环境影响报告书（表）及其审批部门审批决定或者重点污染物排放总量控制指标要求的</w:t>
            </w:r>
          </w:p>
        </w:tc>
        <w:tc>
          <w:tcPr>
            <w:tcW w:w="2657"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lang w:eastAsia="zh-CN"/>
              </w:rPr>
              <w:t>经监测污染物排放均达标；项目符合总量控制指标</w:t>
            </w:r>
          </w:p>
        </w:tc>
        <w:tc>
          <w:tcPr>
            <w:tcW w:w="1256"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不属于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87"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3</w:t>
            </w:r>
          </w:p>
        </w:tc>
        <w:tc>
          <w:tcPr>
            <w:tcW w:w="4808"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lang w:eastAsia="zh-CN"/>
              </w:rPr>
              <w:t>环境影响报告书（表）经批准后，该建设项目的性质、规模、地点、采用的生产工艺；或者防治污染、防止生态破坏的措施发生重大变动，建设单位未重新报批环境影响报告书（表）或者环境影响报告书（表）未经批准的</w:t>
            </w:r>
          </w:p>
        </w:tc>
        <w:tc>
          <w:tcPr>
            <w:tcW w:w="2657"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项目未发生重大变动</w:t>
            </w:r>
          </w:p>
        </w:tc>
        <w:tc>
          <w:tcPr>
            <w:tcW w:w="1256"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不属于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87"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4</w:t>
            </w:r>
          </w:p>
        </w:tc>
        <w:tc>
          <w:tcPr>
            <w:tcW w:w="4808"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lang w:eastAsia="zh-CN"/>
              </w:rPr>
              <w:t>建设过程中造成重大环境污染未治理完成</w:t>
            </w:r>
          </w:p>
        </w:tc>
        <w:tc>
          <w:tcPr>
            <w:tcW w:w="2657"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本项目未涉及</w:t>
            </w:r>
          </w:p>
        </w:tc>
        <w:tc>
          <w:tcPr>
            <w:tcW w:w="1256"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不属于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87"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5</w:t>
            </w:r>
          </w:p>
        </w:tc>
        <w:tc>
          <w:tcPr>
            <w:tcW w:w="4808"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lang w:eastAsia="zh-CN"/>
              </w:rPr>
              <w:t>纳入排污许可管理的建设项目，无证排污或者不按证排污的</w:t>
            </w:r>
          </w:p>
        </w:tc>
        <w:tc>
          <w:tcPr>
            <w:tcW w:w="2657" w:type="dxa"/>
            <w:vAlign w:val="center"/>
          </w:tcPr>
          <w:p>
            <w:pPr>
              <w:pStyle w:val="16"/>
              <w:snapToGrid w:val="0"/>
              <w:ind w:firstLine="0" w:firstLineChars="0"/>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本项目正在办理排污许可</w:t>
            </w:r>
          </w:p>
          <w:p>
            <w:pPr>
              <w:pStyle w:val="16"/>
              <w:snapToGrid w:val="0"/>
              <w:ind w:firstLine="0" w:firstLineChars="0"/>
              <w:jc w:val="center"/>
              <w:rPr>
                <w:rFonts w:ascii="Times New Roman" w:hAnsi="Times New Roman" w:eastAsia="宋体" w:cs="Times New Roman"/>
                <w:szCs w:val="21"/>
                <w:lang w:eastAsia="zh-CN"/>
              </w:rPr>
            </w:pPr>
            <w:r>
              <w:rPr>
                <w:rFonts w:hint="eastAsia" w:ascii="Times New Roman" w:hAnsi="Times New Roman" w:cs="Times New Roman"/>
                <w:szCs w:val="21"/>
                <w:lang w:eastAsia="zh-CN"/>
              </w:rPr>
              <w:t>登记</w:t>
            </w:r>
          </w:p>
        </w:tc>
        <w:tc>
          <w:tcPr>
            <w:tcW w:w="1256"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不属于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487"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6</w:t>
            </w:r>
          </w:p>
        </w:tc>
        <w:tc>
          <w:tcPr>
            <w:tcW w:w="4808"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lang w:eastAsia="zh-CN"/>
              </w:rPr>
              <w:t>分期建设、分期投入生产或者使用依法应当分期验收的建设项目，其分期建设、分期投入生产或者使用的环境保护设施防治环境污染和生态破坏的能力不能满足其相应主体工程需要的</w:t>
            </w:r>
          </w:p>
        </w:tc>
        <w:tc>
          <w:tcPr>
            <w:tcW w:w="2657" w:type="dxa"/>
            <w:vAlign w:val="center"/>
          </w:tcPr>
          <w:p>
            <w:pPr>
              <w:pStyle w:val="16"/>
              <w:snapToGrid w:val="0"/>
              <w:ind w:firstLine="0" w:firstLineChars="0"/>
              <w:jc w:val="center"/>
              <w:rPr>
                <w:rFonts w:hint="eastAsia" w:ascii="Times New Roman" w:hAnsi="Times New Roman" w:eastAsia="宋体" w:cs="Times New Roman"/>
                <w:szCs w:val="21"/>
                <w:lang w:eastAsia="zh-CN"/>
              </w:rPr>
            </w:pPr>
            <w:r>
              <w:rPr>
                <w:rFonts w:hint="eastAsia" w:ascii="Times New Roman" w:hAnsi="Times New Roman" w:cs="Times New Roman"/>
                <w:szCs w:val="21"/>
              </w:rPr>
              <w:t>本项目</w:t>
            </w:r>
            <w:r>
              <w:rPr>
                <w:rFonts w:hint="eastAsia" w:ascii="Times New Roman" w:hAnsi="Times New Roman" w:cs="Times New Roman"/>
                <w:szCs w:val="21"/>
                <w:lang w:eastAsia="zh-CN"/>
              </w:rPr>
              <w:t>不属于</w:t>
            </w:r>
            <w:r>
              <w:rPr>
                <w:rFonts w:hint="eastAsia" w:ascii="Times New Roman" w:hAnsi="Times New Roman" w:cs="Times New Roman"/>
                <w:szCs w:val="21"/>
              </w:rPr>
              <w:t>分期</w:t>
            </w:r>
            <w:r>
              <w:rPr>
                <w:rFonts w:hint="eastAsia" w:ascii="Times New Roman" w:hAnsi="Times New Roman" w:cs="Times New Roman"/>
                <w:szCs w:val="21"/>
                <w:lang w:eastAsia="zh-CN"/>
              </w:rPr>
              <w:t>建设</w:t>
            </w:r>
          </w:p>
        </w:tc>
        <w:tc>
          <w:tcPr>
            <w:tcW w:w="1256" w:type="dxa"/>
            <w:vAlign w:val="center"/>
          </w:tcPr>
          <w:p>
            <w:pPr>
              <w:pStyle w:val="16"/>
              <w:snapToGrid w:val="0"/>
              <w:ind w:firstLine="0" w:firstLineChars="0"/>
              <w:jc w:val="center"/>
              <w:rPr>
                <w:rFonts w:ascii="Times New Roman" w:hAnsi="Times New Roman" w:cs="Times New Roman"/>
                <w:szCs w:val="21"/>
                <w:lang w:eastAsia="zh-CN"/>
              </w:rPr>
            </w:pPr>
            <w:r>
              <w:rPr>
                <w:rFonts w:hint="eastAsia" w:ascii="Times New Roman" w:hAnsi="Times New Roman" w:cs="Times New Roman"/>
                <w:szCs w:val="21"/>
              </w:rPr>
              <w:t>不属于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87"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rPr>
              <w:t>7</w:t>
            </w:r>
          </w:p>
        </w:tc>
        <w:tc>
          <w:tcPr>
            <w:tcW w:w="4808"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lang w:eastAsia="zh-CN"/>
              </w:rPr>
              <w:t>建设单位因该建设项目违反国家和地方环境保护法律法规受到处罚，被责令改正，尚未改正完成的</w:t>
            </w:r>
          </w:p>
        </w:tc>
        <w:tc>
          <w:tcPr>
            <w:tcW w:w="2657"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rPr>
              <w:t>本项目不涉及此情形</w:t>
            </w:r>
          </w:p>
        </w:tc>
        <w:tc>
          <w:tcPr>
            <w:tcW w:w="1256"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rPr>
              <w:t>不属于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87"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rPr>
              <w:t>8</w:t>
            </w:r>
          </w:p>
        </w:tc>
        <w:tc>
          <w:tcPr>
            <w:tcW w:w="4808"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lang w:eastAsia="zh-CN"/>
              </w:rPr>
              <w:t>验收报告的基础资料数据明显不实，内容存在重大缺项、遗漏，或者验收结论不明确、不合理的</w:t>
            </w:r>
          </w:p>
        </w:tc>
        <w:tc>
          <w:tcPr>
            <w:tcW w:w="2657"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lang w:eastAsia="zh-CN"/>
              </w:rPr>
              <w:t>本验收报告数据来自建设单位相关技术资料，来源可靠；报告内容完整，验收结论明确合理</w:t>
            </w:r>
          </w:p>
        </w:tc>
        <w:tc>
          <w:tcPr>
            <w:tcW w:w="1256"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rPr>
              <w:t>不属于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87"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rPr>
              <w:t>9</w:t>
            </w:r>
          </w:p>
        </w:tc>
        <w:tc>
          <w:tcPr>
            <w:tcW w:w="4808"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lang w:eastAsia="zh-CN"/>
              </w:rPr>
              <w:t>其他环境保护法律法规规章等规定不得通过环境保护验收的</w:t>
            </w:r>
          </w:p>
        </w:tc>
        <w:tc>
          <w:tcPr>
            <w:tcW w:w="2657"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lang w:eastAsia="zh-CN"/>
              </w:rPr>
              <w:t>本项目未出现其他环境保护法律法规规章等规定不得通过环境保护验收的</w:t>
            </w:r>
          </w:p>
        </w:tc>
        <w:tc>
          <w:tcPr>
            <w:tcW w:w="1256" w:type="dxa"/>
            <w:vAlign w:val="center"/>
          </w:tcPr>
          <w:p>
            <w:pPr>
              <w:pStyle w:val="16"/>
              <w:snapToGrid w:val="0"/>
              <w:ind w:firstLine="0" w:firstLineChars="0"/>
              <w:jc w:val="center"/>
              <w:rPr>
                <w:rFonts w:ascii="Times New Roman" w:hAnsi="Times New Roman" w:cs="Times New Roman"/>
                <w:kern w:val="2"/>
                <w:sz w:val="21"/>
                <w:szCs w:val="21"/>
                <w:lang w:eastAsia="zh-CN"/>
              </w:rPr>
            </w:pPr>
            <w:r>
              <w:rPr>
                <w:rFonts w:hint="eastAsia" w:ascii="Times New Roman" w:hAnsi="Times New Roman" w:cs="Times New Roman"/>
                <w:szCs w:val="21"/>
                <w:lang w:eastAsia="zh-CN"/>
              </w:rPr>
              <w:t>不属于</w:t>
            </w:r>
          </w:p>
        </w:tc>
      </w:tr>
    </w:tbl>
    <w:p>
      <w:pPr>
        <w:pStyle w:val="3"/>
        <w:spacing w:before="0" w:line="360" w:lineRule="auto"/>
        <w:ind w:left="0" w:firstLine="480" w:firstLineChars="200"/>
        <w:rPr>
          <w:rFonts w:ascii="Times New Roman" w:hAnsi="Times New Roman"/>
          <w:sz w:val="24"/>
          <w:szCs w:val="24"/>
          <w:lang w:eastAsia="zh-CN"/>
        </w:rPr>
      </w:pPr>
      <w:r>
        <w:rPr>
          <w:rFonts w:hint="eastAsia" w:ascii="Times New Roman" w:hAnsi="Times New Roman"/>
          <w:sz w:val="24"/>
          <w:szCs w:val="24"/>
          <w:lang w:eastAsia="zh-CN"/>
        </w:rPr>
        <w:t>综上，吉安嘉石玻璃制品有限公司年产2.5万吨特种玻璃珠生产线建设项目在实施过程中按照环评及其批复要求落实了相关环保措施，污染物排放达到了相关排放标准，符合建设项目竣工环境保护验收条件。因此，本项目可通过建设项目竣工环境保护设施验收。</w:t>
      </w:r>
    </w:p>
    <w:p>
      <w:pPr>
        <w:pStyle w:val="14"/>
        <w:rPr>
          <w:rFonts w:hint="eastAsia" w:asciiTheme="minorEastAsia" w:hAnsiTheme="minorEastAsia" w:eastAsiaTheme="minorEastAsia" w:cstheme="minorEastAsia"/>
          <w:b/>
          <w:bCs/>
          <w:kern w:val="0"/>
          <w:sz w:val="24"/>
          <w:szCs w:val="24"/>
          <w:lang w:val="en-US" w:eastAsia="zh-CN"/>
        </w:rPr>
      </w:pPr>
    </w:p>
    <w:p>
      <w:pPr>
        <w:pStyle w:val="14"/>
        <w:rPr>
          <w:rFonts w:hint="eastAsia" w:asciiTheme="minorEastAsia" w:hAnsiTheme="minorEastAsia" w:eastAsiaTheme="minorEastAsia" w:cstheme="minorEastAsia"/>
          <w:b/>
          <w:bCs/>
          <w:kern w:val="0"/>
          <w:sz w:val="24"/>
          <w:szCs w:val="24"/>
          <w:lang w:val="en-US" w:eastAsia="zh-CN"/>
        </w:rPr>
      </w:pPr>
    </w:p>
    <w:p>
      <w:pPr>
        <w:pStyle w:val="14"/>
        <w:rPr>
          <w:rFonts w:hint="eastAsia" w:asciiTheme="minorEastAsia" w:hAnsiTheme="minorEastAsia" w:eastAsiaTheme="minorEastAsia" w:cstheme="minorEastAsia"/>
          <w:b/>
          <w:bCs/>
          <w:kern w:val="0"/>
          <w:sz w:val="24"/>
          <w:szCs w:val="24"/>
          <w:lang w:val="en-US" w:eastAsia="zh-CN"/>
        </w:rPr>
      </w:pPr>
    </w:p>
    <w:p>
      <w:pPr>
        <w:pStyle w:val="14"/>
        <w:rPr>
          <w:rFonts w:hint="eastAsia" w:asciiTheme="minorEastAsia" w:hAnsiTheme="minorEastAsia" w:eastAsiaTheme="minorEastAsia" w:cstheme="minorEastAsia"/>
          <w:b/>
          <w:bCs/>
          <w:kern w:val="0"/>
          <w:sz w:val="24"/>
          <w:szCs w:val="24"/>
          <w:lang w:val="en-US" w:eastAsia="zh-CN"/>
        </w:rPr>
      </w:pPr>
    </w:p>
    <w:p>
      <w:pPr>
        <w:pStyle w:val="14"/>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kern w:val="0"/>
          <w:sz w:val="24"/>
          <w:szCs w:val="24"/>
          <w:lang w:val="en-US" w:eastAsia="zh-CN"/>
        </w:rPr>
        <w:t>七、后续工作</w:t>
      </w:r>
    </w:p>
    <w:p>
      <w:pPr>
        <w:widowControl/>
        <w:numPr>
          <w:ilvl w:val="0"/>
          <w:numId w:val="0"/>
        </w:numPr>
        <w:spacing w:line="360" w:lineRule="auto"/>
        <w:ind w:firstLine="480" w:firstLineChars="200"/>
        <w:jc w:val="left"/>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1）加强安全管理、清洁生产管理及环保设施的日常运行管理，严格执行所制定的环境保护管理制度的相关规定，提高设备的完好率，关键设备要备足维修器材和备用设备，确保外排污染物长期、稳定达标排放。加强环境风险防范意识，杜绝非正常排无事故的发生。</w:t>
      </w:r>
    </w:p>
    <w:p>
      <w:pPr>
        <w:widowControl/>
        <w:numPr>
          <w:ilvl w:val="0"/>
          <w:numId w:val="0"/>
        </w:numPr>
        <w:spacing w:line="480" w:lineRule="exact"/>
        <w:ind w:firstLine="480" w:firstLineChars="200"/>
        <w:jc w:val="left"/>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（2）开展必要的环境污染事故应急演练，做到万一发生事故时能及时在第一时间做好应急处理，并能向各有关部门做出预警预报，以便采取有效措施把风险降到最低。</w:t>
      </w:r>
    </w:p>
    <w:p>
      <w:pPr>
        <w:widowControl/>
        <w:numPr>
          <w:ilvl w:val="0"/>
          <w:numId w:val="0"/>
        </w:numPr>
        <w:spacing w:line="480" w:lineRule="exact"/>
        <w:ind w:firstLine="480" w:firstLineChars="200"/>
        <w:jc w:val="left"/>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（3）全面落实环评中要求的废水、废气、噪声、固废等防治措施要求，重点污染防治区做好防渗、防漏措施。</w:t>
      </w:r>
    </w:p>
    <w:p>
      <w:pPr>
        <w:widowControl/>
        <w:numPr>
          <w:ilvl w:val="0"/>
          <w:numId w:val="0"/>
        </w:numPr>
        <w:spacing w:line="480" w:lineRule="exact"/>
        <w:ind w:firstLine="480" w:firstLineChars="200"/>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（4）排污口应按国家和江西省排污口规范化管理要求，设置各类排污口和标识牌并建档。</w:t>
      </w:r>
    </w:p>
    <w:p>
      <w:pPr>
        <w:widowControl/>
        <w:numPr>
          <w:ilvl w:val="0"/>
          <w:numId w:val="0"/>
        </w:numPr>
        <w:spacing w:line="480" w:lineRule="exact"/>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八、验收组人员信息</w:t>
      </w:r>
    </w:p>
    <w:p>
      <w:pPr>
        <w:widowControl/>
        <w:numPr>
          <w:ilvl w:val="0"/>
          <w:numId w:val="0"/>
        </w:numPr>
        <w:spacing w:line="480" w:lineRule="exact"/>
        <w:ind w:firstLine="480" w:firstLineChars="200"/>
        <w:jc w:val="left"/>
        <w:rPr>
          <w:rFonts w:hint="eastAsia" w:asciiTheme="minorEastAsia" w:hAnsiTheme="minorEastAsia" w:eastAsiaTheme="minorEastAsia" w:cstheme="minorEastAsia"/>
          <w:b w:val="0"/>
          <w:bCs w:val="0"/>
          <w:kern w:val="0"/>
          <w:sz w:val="24"/>
          <w:szCs w:val="24"/>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b w:val="0"/>
          <w:bCs w:val="0"/>
          <w:kern w:val="0"/>
          <w:sz w:val="24"/>
          <w:szCs w:val="24"/>
          <w:lang w:val="en-US" w:eastAsia="zh-CN"/>
        </w:rPr>
        <w:t>验收组人员信息见附件（吉安嘉石玻璃制品有限公司年产2.5万吨特种玻璃珠生产线建设项目竣工环境保护验收组名单）</w:t>
      </w:r>
    </w:p>
    <w:p>
      <w:pPr>
        <w:pStyle w:val="2"/>
        <w:rPr>
          <w:rFonts w:hint="eastAsia" w:ascii="仿宋_GB2312" w:hAnsi="宋体" w:eastAsia="仿宋_GB2312" w:cs="宋体"/>
          <w:b w:val="0"/>
          <w:bCs w:val="0"/>
          <w:kern w:val="0"/>
          <w:sz w:val="28"/>
          <w:szCs w:val="28"/>
          <w:lang w:val="en-US" w:eastAsia="zh-CN"/>
        </w:rPr>
      </w:pPr>
      <w:bookmarkStart w:id="0" w:name="_GoBack"/>
      <w:r>
        <w:drawing>
          <wp:inline distT="0" distB="0" distL="114300" distR="114300">
            <wp:extent cx="8862695" cy="5243830"/>
            <wp:effectExtent l="0" t="0" r="1460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862695" cy="5243830"/>
                    </a:xfrm>
                    <a:prstGeom prst="rect">
                      <a:avLst/>
                    </a:prstGeom>
                    <a:noFill/>
                    <a:ln>
                      <a:noFill/>
                    </a:ln>
                  </pic:spPr>
                </pic:pic>
              </a:graphicData>
            </a:graphic>
          </wp:inline>
        </w:drawing>
      </w:r>
      <w:bookmarkEnd w:id="0"/>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im Sun+ 2">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A0CB"/>
    <w:multiLevelType w:val="singleLevel"/>
    <w:tmpl w:val="1256A0CB"/>
    <w:lvl w:ilvl="0" w:tentative="0">
      <w:start w:val="2"/>
      <w:numFmt w:val="chineseCounting"/>
      <w:suff w:val="nothing"/>
      <w:lvlText w:val="%1、"/>
      <w:lvlJc w:val="left"/>
      <w:rPr>
        <w:rFonts w:hint="eastAsia"/>
      </w:rPr>
    </w:lvl>
  </w:abstractNum>
  <w:abstractNum w:abstractNumId="1">
    <w:nsid w:val="167DAFCE"/>
    <w:multiLevelType w:val="singleLevel"/>
    <w:tmpl w:val="167DAFC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E08"/>
    <w:rsid w:val="00012AE4"/>
    <w:rsid w:val="00013F48"/>
    <w:rsid w:val="00020D91"/>
    <w:rsid w:val="00021345"/>
    <w:rsid w:val="000254A3"/>
    <w:rsid w:val="000353E8"/>
    <w:rsid w:val="00052ED9"/>
    <w:rsid w:val="0007022F"/>
    <w:rsid w:val="00072F2B"/>
    <w:rsid w:val="000A1D4E"/>
    <w:rsid w:val="000C0ED2"/>
    <w:rsid w:val="000C7DC4"/>
    <w:rsid w:val="000D5F95"/>
    <w:rsid w:val="000E25CC"/>
    <w:rsid w:val="00137DAF"/>
    <w:rsid w:val="00141E6B"/>
    <w:rsid w:val="00144C78"/>
    <w:rsid w:val="001538B2"/>
    <w:rsid w:val="00154E21"/>
    <w:rsid w:val="00171D32"/>
    <w:rsid w:val="0017300D"/>
    <w:rsid w:val="0019174B"/>
    <w:rsid w:val="00195729"/>
    <w:rsid w:val="001B121E"/>
    <w:rsid w:val="001B6306"/>
    <w:rsid w:val="001C0940"/>
    <w:rsid w:val="001C1A27"/>
    <w:rsid w:val="001C5DA2"/>
    <w:rsid w:val="001C6884"/>
    <w:rsid w:val="001D2BFE"/>
    <w:rsid w:val="001E2F65"/>
    <w:rsid w:val="001E4BA9"/>
    <w:rsid w:val="00201F7F"/>
    <w:rsid w:val="00213C32"/>
    <w:rsid w:val="00214AC5"/>
    <w:rsid w:val="00222E68"/>
    <w:rsid w:val="00223A08"/>
    <w:rsid w:val="00232BB4"/>
    <w:rsid w:val="00234865"/>
    <w:rsid w:val="00237B57"/>
    <w:rsid w:val="00247922"/>
    <w:rsid w:val="00247DAE"/>
    <w:rsid w:val="0025096B"/>
    <w:rsid w:val="002522B1"/>
    <w:rsid w:val="00266942"/>
    <w:rsid w:val="002677AA"/>
    <w:rsid w:val="00292696"/>
    <w:rsid w:val="00294BAC"/>
    <w:rsid w:val="002B0A92"/>
    <w:rsid w:val="002B1E83"/>
    <w:rsid w:val="002D146D"/>
    <w:rsid w:val="002D3C1F"/>
    <w:rsid w:val="002E004F"/>
    <w:rsid w:val="002E7D20"/>
    <w:rsid w:val="002F6AA6"/>
    <w:rsid w:val="00306B1A"/>
    <w:rsid w:val="003125A3"/>
    <w:rsid w:val="0031728D"/>
    <w:rsid w:val="00337C33"/>
    <w:rsid w:val="00340F46"/>
    <w:rsid w:val="0034767B"/>
    <w:rsid w:val="003550C8"/>
    <w:rsid w:val="0036080A"/>
    <w:rsid w:val="00365E01"/>
    <w:rsid w:val="0037228F"/>
    <w:rsid w:val="003741EC"/>
    <w:rsid w:val="00374636"/>
    <w:rsid w:val="00386923"/>
    <w:rsid w:val="003955E9"/>
    <w:rsid w:val="003A74E3"/>
    <w:rsid w:val="003C1299"/>
    <w:rsid w:val="003D3E1F"/>
    <w:rsid w:val="003E43FF"/>
    <w:rsid w:val="003F7729"/>
    <w:rsid w:val="00405533"/>
    <w:rsid w:val="00420A19"/>
    <w:rsid w:val="00427B49"/>
    <w:rsid w:val="00442016"/>
    <w:rsid w:val="0045211F"/>
    <w:rsid w:val="0047157E"/>
    <w:rsid w:val="00486A79"/>
    <w:rsid w:val="00491FD1"/>
    <w:rsid w:val="004A0616"/>
    <w:rsid w:val="004B5C0C"/>
    <w:rsid w:val="004C30C2"/>
    <w:rsid w:val="004D2637"/>
    <w:rsid w:val="004E362A"/>
    <w:rsid w:val="004F0059"/>
    <w:rsid w:val="004F5633"/>
    <w:rsid w:val="00500401"/>
    <w:rsid w:val="00506DF3"/>
    <w:rsid w:val="005641C5"/>
    <w:rsid w:val="00581EAB"/>
    <w:rsid w:val="00582253"/>
    <w:rsid w:val="005928EE"/>
    <w:rsid w:val="00594B2C"/>
    <w:rsid w:val="00595D8E"/>
    <w:rsid w:val="005A6FA1"/>
    <w:rsid w:val="005C12A2"/>
    <w:rsid w:val="005C4CE5"/>
    <w:rsid w:val="005D3594"/>
    <w:rsid w:val="005E1B08"/>
    <w:rsid w:val="005E5473"/>
    <w:rsid w:val="005E558E"/>
    <w:rsid w:val="00610627"/>
    <w:rsid w:val="006107AA"/>
    <w:rsid w:val="006236C9"/>
    <w:rsid w:val="00624ADA"/>
    <w:rsid w:val="0063317F"/>
    <w:rsid w:val="00633AE0"/>
    <w:rsid w:val="00645210"/>
    <w:rsid w:val="00676CB3"/>
    <w:rsid w:val="00682546"/>
    <w:rsid w:val="00683747"/>
    <w:rsid w:val="00690CAD"/>
    <w:rsid w:val="00691CFB"/>
    <w:rsid w:val="006B2108"/>
    <w:rsid w:val="006C7E67"/>
    <w:rsid w:val="006D00AB"/>
    <w:rsid w:val="006D551C"/>
    <w:rsid w:val="006D698A"/>
    <w:rsid w:val="006E7401"/>
    <w:rsid w:val="006F5A44"/>
    <w:rsid w:val="00712E54"/>
    <w:rsid w:val="00713FE3"/>
    <w:rsid w:val="00721393"/>
    <w:rsid w:val="007221F4"/>
    <w:rsid w:val="00723437"/>
    <w:rsid w:val="0073701F"/>
    <w:rsid w:val="00751337"/>
    <w:rsid w:val="00753C77"/>
    <w:rsid w:val="007617E1"/>
    <w:rsid w:val="00765944"/>
    <w:rsid w:val="00790EA6"/>
    <w:rsid w:val="007933F5"/>
    <w:rsid w:val="0079691F"/>
    <w:rsid w:val="007A7697"/>
    <w:rsid w:val="007B1594"/>
    <w:rsid w:val="007C088A"/>
    <w:rsid w:val="007D3DF9"/>
    <w:rsid w:val="007E24DD"/>
    <w:rsid w:val="007E6120"/>
    <w:rsid w:val="007F6547"/>
    <w:rsid w:val="00800044"/>
    <w:rsid w:val="008037C1"/>
    <w:rsid w:val="00812324"/>
    <w:rsid w:val="00821153"/>
    <w:rsid w:val="00821717"/>
    <w:rsid w:val="00830238"/>
    <w:rsid w:val="00841491"/>
    <w:rsid w:val="0084499B"/>
    <w:rsid w:val="008457A6"/>
    <w:rsid w:val="00851F2B"/>
    <w:rsid w:val="00861457"/>
    <w:rsid w:val="00865E56"/>
    <w:rsid w:val="008701F4"/>
    <w:rsid w:val="008769A9"/>
    <w:rsid w:val="00893267"/>
    <w:rsid w:val="008949DA"/>
    <w:rsid w:val="00897855"/>
    <w:rsid w:val="00897FFD"/>
    <w:rsid w:val="008A0ECC"/>
    <w:rsid w:val="008A4828"/>
    <w:rsid w:val="008A6287"/>
    <w:rsid w:val="008B0C28"/>
    <w:rsid w:val="008D43E2"/>
    <w:rsid w:val="008E0535"/>
    <w:rsid w:val="0090267F"/>
    <w:rsid w:val="009065B4"/>
    <w:rsid w:val="009274D6"/>
    <w:rsid w:val="00927765"/>
    <w:rsid w:val="00930365"/>
    <w:rsid w:val="00936AEA"/>
    <w:rsid w:val="00944BA0"/>
    <w:rsid w:val="00945C92"/>
    <w:rsid w:val="00956825"/>
    <w:rsid w:val="00964FE6"/>
    <w:rsid w:val="009656DA"/>
    <w:rsid w:val="00967AA5"/>
    <w:rsid w:val="009779C0"/>
    <w:rsid w:val="00987113"/>
    <w:rsid w:val="00993DCA"/>
    <w:rsid w:val="009966B5"/>
    <w:rsid w:val="009A3210"/>
    <w:rsid w:val="009C1F75"/>
    <w:rsid w:val="009E33DD"/>
    <w:rsid w:val="009E3A73"/>
    <w:rsid w:val="009E7DAA"/>
    <w:rsid w:val="009F1136"/>
    <w:rsid w:val="009F423F"/>
    <w:rsid w:val="00A244A0"/>
    <w:rsid w:val="00A3240B"/>
    <w:rsid w:val="00A563C9"/>
    <w:rsid w:val="00A65DA9"/>
    <w:rsid w:val="00A70B7E"/>
    <w:rsid w:val="00A72238"/>
    <w:rsid w:val="00A760B2"/>
    <w:rsid w:val="00A917DF"/>
    <w:rsid w:val="00A9764B"/>
    <w:rsid w:val="00AA1B38"/>
    <w:rsid w:val="00AB23C9"/>
    <w:rsid w:val="00AB5E51"/>
    <w:rsid w:val="00AD74E5"/>
    <w:rsid w:val="00AE0B9C"/>
    <w:rsid w:val="00AE3E42"/>
    <w:rsid w:val="00AE4396"/>
    <w:rsid w:val="00B028CB"/>
    <w:rsid w:val="00B02D24"/>
    <w:rsid w:val="00B12B02"/>
    <w:rsid w:val="00B22293"/>
    <w:rsid w:val="00B2257A"/>
    <w:rsid w:val="00B277CE"/>
    <w:rsid w:val="00B4207D"/>
    <w:rsid w:val="00B42C9A"/>
    <w:rsid w:val="00B532B1"/>
    <w:rsid w:val="00B56EB7"/>
    <w:rsid w:val="00B62C62"/>
    <w:rsid w:val="00B716D9"/>
    <w:rsid w:val="00BB0382"/>
    <w:rsid w:val="00BC0691"/>
    <w:rsid w:val="00BC369D"/>
    <w:rsid w:val="00BD400C"/>
    <w:rsid w:val="00BE14C8"/>
    <w:rsid w:val="00BE20B3"/>
    <w:rsid w:val="00BF1C5F"/>
    <w:rsid w:val="00C02171"/>
    <w:rsid w:val="00C04BD3"/>
    <w:rsid w:val="00C07D25"/>
    <w:rsid w:val="00C156D3"/>
    <w:rsid w:val="00C16DB4"/>
    <w:rsid w:val="00C34538"/>
    <w:rsid w:val="00C363FD"/>
    <w:rsid w:val="00C36F3F"/>
    <w:rsid w:val="00C47206"/>
    <w:rsid w:val="00C61684"/>
    <w:rsid w:val="00C9299F"/>
    <w:rsid w:val="00C94CE3"/>
    <w:rsid w:val="00C969B8"/>
    <w:rsid w:val="00CB338C"/>
    <w:rsid w:val="00CB7929"/>
    <w:rsid w:val="00CC403A"/>
    <w:rsid w:val="00CC6B0D"/>
    <w:rsid w:val="00CD04D5"/>
    <w:rsid w:val="00CD4CDF"/>
    <w:rsid w:val="00CD5C66"/>
    <w:rsid w:val="00CE465A"/>
    <w:rsid w:val="00CF644F"/>
    <w:rsid w:val="00D150EE"/>
    <w:rsid w:val="00D20425"/>
    <w:rsid w:val="00D307C3"/>
    <w:rsid w:val="00D31818"/>
    <w:rsid w:val="00D31FA5"/>
    <w:rsid w:val="00D517C9"/>
    <w:rsid w:val="00D5447D"/>
    <w:rsid w:val="00D550AD"/>
    <w:rsid w:val="00D55621"/>
    <w:rsid w:val="00D608BD"/>
    <w:rsid w:val="00D70820"/>
    <w:rsid w:val="00D84AEB"/>
    <w:rsid w:val="00D871BC"/>
    <w:rsid w:val="00D9089F"/>
    <w:rsid w:val="00D94AAB"/>
    <w:rsid w:val="00DB78E6"/>
    <w:rsid w:val="00DC3CCB"/>
    <w:rsid w:val="00DC4425"/>
    <w:rsid w:val="00DD05AC"/>
    <w:rsid w:val="00DD1B9B"/>
    <w:rsid w:val="00DF1203"/>
    <w:rsid w:val="00DF2427"/>
    <w:rsid w:val="00DF60C5"/>
    <w:rsid w:val="00DF6A03"/>
    <w:rsid w:val="00E05ECE"/>
    <w:rsid w:val="00E226FD"/>
    <w:rsid w:val="00E2458F"/>
    <w:rsid w:val="00E3771B"/>
    <w:rsid w:val="00E55329"/>
    <w:rsid w:val="00E7610F"/>
    <w:rsid w:val="00E84431"/>
    <w:rsid w:val="00EA48B9"/>
    <w:rsid w:val="00EA7286"/>
    <w:rsid w:val="00EC1D26"/>
    <w:rsid w:val="00EC2E1B"/>
    <w:rsid w:val="00EE01D8"/>
    <w:rsid w:val="00EF3AAC"/>
    <w:rsid w:val="00F12DF8"/>
    <w:rsid w:val="00F14C6B"/>
    <w:rsid w:val="00F52CED"/>
    <w:rsid w:val="00F53855"/>
    <w:rsid w:val="00F54B28"/>
    <w:rsid w:val="00F62F9D"/>
    <w:rsid w:val="00F81BCF"/>
    <w:rsid w:val="00F83135"/>
    <w:rsid w:val="00F844E4"/>
    <w:rsid w:val="00F95426"/>
    <w:rsid w:val="00F95B5C"/>
    <w:rsid w:val="00FA7D16"/>
    <w:rsid w:val="00FB111A"/>
    <w:rsid w:val="00FB21E3"/>
    <w:rsid w:val="00FC5238"/>
    <w:rsid w:val="00FE05F1"/>
    <w:rsid w:val="00FE71A1"/>
    <w:rsid w:val="041F20B1"/>
    <w:rsid w:val="058037CA"/>
    <w:rsid w:val="065A47FE"/>
    <w:rsid w:val="07BE4129"/>
    <w:rsid w:val="09DB3258"/>
    <w:rsid w:val="0B2B312F"/>
    <w:rsid w:val="0C534774"/>
    <w:rsid w:val="0DA85C69"/>
    <w:rsid w:val="10326EC5"/>
    <w:rsid w:val="11BB03E1"/>
    <w:rsid w:val="12834AA1"/>
    <w:rsid w:val="13064FC2"/>
    <w:rsid w:val="13932504"/>
    <w:rsid w:val="15A2710E"/>
    <w:rsid w:val="168C4CEF"/>
    <w:rsid w:val="17DB67AF"/>
    <w:rsid w:val="1B211173"/>
    <w:rsid w:val="1BEB1167"/>
    <w:rsid w:val="1C6D583C"/>
    <w:rsid w:val="1E940345"/>
    <w:rsid w:val="1FC85A0B"/>
    <w:rsid w:val="24710FF0"/>
    <w:rsid w:val="25822FCD"/>
    <w:rsid w:val="288F7330"/>
    <w:rsid w:val="2ADD5C5D"/>
    <w:rsid w:val="2D4F30EF"/>
    <w:rsid w:val="2E1E3DC3"/>
    <w:rsid w:val="2E5D6FC2"/>
    <w:rsid w:val="335F0580"/>
    <w:rsid w:val="348B28D5"/>
    <w:rsid w:val="36680AE4"/>
    <w:rsid w:val="36B77576"/>
    <w:rsid w:val="3C182951"/>
    <w:rsid w:val="3C670229"/>
    <w:rsid w:val="3D1E70EC"/>
    <w:rsid w:val="3D8B2F97"/>
    <w:rsid w:val="3F942194"/>
    <w:rsid w:val="42221FB5"/>
    <w:rsid w:val="42774C28"/>
    <w:rsid w:val="42DA1B57"/>
    <w:rsid w:val="44B44948"/>
    <w:rsid w:val="454A28B9"/>
    <w:rsid w:val="46A324B8"/>
    <w:rsid w:val="474C5797"/>
    <w:rsid w:val="490E5DDC"/>
    <w:rsid w:val="496607E5"/>
    <w:rsid w:val="4C827C94"/>
    <w:rsid w:val="4DBC0FAA"/>
    <w:rsid w:val="4E3E4819"/>
    <w:rsid w:val="4F9714A0"/>
    <w:rsid w:val="504B1224"/>
    <w:rsid w:val="506E4F3F"/>
    <w:rsid w:val="5A2200AD"/>
    <w:rsid w:val="5AAA6B33"/>
    <w:rsid w:val="5AEA4836"/>
    <w:rsid w:val="5BA4055A"/>
    <w:rsid w:val="5C410BE9"/>
    <w:rsid w:val="5D8E4A8A"/>
    <w:rsid w:val="5E282654"/>
    <w:rsid w:val="640D62B2"/>
    <w:rsid w:val="66D079BF"/>
    <w:rsid w:val="671E6FB4"/>
    <w:rsid w:val="684A2D1B"/>
    <w:rsid w:val="68EF5423"/>
    <w:rsid w:val="6B346035"/>
    <w:rsid w:val="6E80389D"/>
    <w:rsid w:val="6EAF4640"/>
    <w:rsid w:val="71D2364B"/>
    <w:rsid w:val="735F22A7"/>
    <w:rsid w:val="75C94A37"/>
    <w:rsid w:val="7933743C"/>
    <w:rsid w:val="794459C2"/>
    <w:rsid w:val="7ABF07F0"/>
    <w:rsid w:val="7B653418"/>
    <w:rsid w:val="7C2A41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qFormat/>
    <w:uiPriority w:val="0"/>
    <w:rPr>
      <w:rFonts w:ascii="Times New Roman" w:hAnsi="Times New Roman" w:eastAsia="宋体" w:cs="Times New Roman"/>
    </w:rPr>
  </w:style>
  <w:style w:type="table" w:default="1" w:styleId="1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im Sun+ 2" w:hAnsi="Times New Roman" w:eastAsia="Sim Sun+ 2" w:cs="Sim Sun+ 2"/>
      <w:color w:val="000000"/>
      <w:sz w:val="24"/>
      <w:szCs w:val="24"/>
      <w:lang w:val="en-US" w:eastAsia="zh-CN" w:bidi="ar-SA"/>
    </w:rPr>
  </w:style>
  <w:style w:type="paragraph" w:styleId="3">
    <w:name w:val="Body Text"/>
    <w:basedOn w:val="1"/>
    <w:qFormat/>
    <w:uiPriority w:val="1"/>
    <w:pPr>
      <w:spacing w:before="236"/>
      <w:ind w:left="714"/>
    </w:pPr>
    <w:rPr>
      <w:rFonts w:ascii="宋体" w:hAnsi="宋体" w:eastAsia="宋体"/>
      <w:sz w:val="28"/>
      <w:szCs w:val="28"/>
    </w:rPr>
  </w:style>
  <w:style w:type="paragraph" w:styleId="4">
    <w:name w:val="Body Text Indent"/>
    <w:basedOn w:val="1"/>
    <w:qFormat/>
    <w:uiPriority w:val="0"/>
    <w:pPr>
      <w:framePr w:hSpace="180" w:wrap="around" w:vAnchor="page" w:hAnchor="margin" w:y="1603"/>
      <w:spacing w:line="360" w:lineRule="auto"/>
      <w:ind w:right="68" w:firstLine="420" w:firstLineChars="150"/>
      <w:jc w:val="left"/>
    </w:pPr>
    <w:rPr>
      <w:rFonts w:ascii="仿宋_GB2312" w:eastAsia="仿宋_GB2312"/>
      <w:sz w:val="28"/>
    </w:rPr>
  </w:style>
  <w:style w:type="paragraph" w:styleId="5">
    <w:name w:val="Date"/>
    <w:basedOn w:val="1"/>
    <w:next w:val="1"/>
    <w:link w:val="19"/>
    <w:unhideWhenUsed/>
    <w:qFormat/>
    <w:uiPriority w:val="99"/>
    <w:pPr>
      <w:ind w:left="100" w:leftChars="2500"/>
    </w:pPr>
  </w:style>
  <w:style w:type="paragraph" w:styleId="6">
    <w:name w:val="Body Text Indent 2"/>
    <w:basedOn w:val="1"/>
    <w:semiHidden/>
    <w:unhideWhenUsed/>
    <w:qFormat/>
    <w:uiPriority w:val="99"/>
    <w:pPr>
      <w:spacing w:after="120" w:line="480" w:lineRule="auto"/>
      <w:ind w:left="420" w:leftChars="200"/>
    </w:p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99"/>
    <w:rPr>
      <w:color w:val="0000FF"/>
      <w:u w:val="single"/>
    </w:rPr>
  </w:style>
  <w:style w:type="paragraph" w:customStyle="1" w:styleId="1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6">
    <w:name w:val="列出段落1"/>
    <w:basedOn w:val="1"/>
    <w:qFormat/>
    <w:uiPriority w:val="34"/>
    <w:pPr>
      <w:ind w:firstLine="420" w:firstLineChars="200"/>
    </w:pPr>
  </w:style>
  <w:style w:type="character" w:customStyle="1" w:styleId="17">
    <w:name w:val="页眉 Char"/>
    <w:basedOn w:val="12"/>
    <w:link w:val="8"/>
    <w:semiHidden/>
    <w:qFormat/>
    <w:uiPriority w:val="99"/>
    <w:rPr>
      <w:kern w:val="2"/>
      <w:sz w:val="18"/>
      <w:szCs w:val="18"/>
    </w:rPr>
  </w:style>
  <w:style w:type="character" w:customStyle="1" w:styleId="18">
    <w:name w:val="页脚 Char"/>
    <w:basedOn w:val="12"/>
    <w:link w:val="7"/>
    <w:qFormat/>
    <w:uiPriority w:val="99"/>
    <w:rPr>
      <w:kern w:val="2"/>
      <w:sz w:val="18"/>
      <w:szCs w:val="18"/>
    </w:rPr>
  </w:style>
  <w:style w:type="character" w:customStyle="1" w:styleId="19">
    <w:name w:val="日期 Char"/>
    <w:basedOn w:val="12"/>
    <w:link w:val="5"/>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1086</Words>
  <Characters>1123</Characters>
  <Lines>19</Lines>
  <Paragraphs>5</Paragraphs>
  <TotalTime>4</TotalTime>
  <ScaleCrop>false</ScaleCrop>
  <LinksUpToDate>false</LinksUpToDate>
  <CharactersWithSpaces>1268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2017-11-27T04:08:00Z</dcterms:created>
  <dc:creator>user</dc:creator>
  <cp:lastModifiedBy>庐陵四更半</cp:lastModifiedBy>
  <cp:lastPrinted>2020-07-27T06:02:00Z</cp:lastPrinted>
  <dcterms:modified xsi:type="dcterms:W3CDTF">2020-10-28T06:24:23Z</dcterms:modified>
  <dc:title>环评处人员分工2015年</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