
<file path=[Content_Types].xml><?xml version="1.0" encoding="utf-8"?>
<Types xmlns="http://schemas.openxmlformats.org/package/2006/content-types">
  <Default Extension="xml" ContentType="application/xml"/>
  <Default Extension="png" ContentType="image/png"/>
  <Default Extension="jpeg" ContentType="image/jpe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ctiveX/activeX1.bin" ContentType="application/vnd.ms-office.activeX"/>
  <Override PartName="/word/activeX/activeX1.xml" ContentType="application/vnd.ms-office.activeX+xml"/>
  <Override PartName="/word/activeX/activeX2.bin" ContentType="application/vnd.ms-office.activeX"/>
  <Override PartName="/word/activeX/activeX2.xml" ContentType="application/vnd.ms-office.activeX+xml"/>
  <Override PartName="/word/activeX/activeX3.bin" ContentType="application/vnd.ms-office.activeX"/>
  <Override PartName="/word/activeX/activeX3.xml" ContentType="application/vnd.ms-office.activeX+xml"/>
  <Override PartName="/word/activeX/activeX4.bin" ContentType="application/vnd.ms-office.activeX"/>
  <Override PartName="/word/activeX/activeX4.xml" ContentType="application/vnd.ms-office.activeX+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480"/>
        <w:jc w:val="center"/>
        <w:rPr>
          <w:rFonts w:hint="eastAsia"/>
          <w:b/>
          <w:spacing w:val="80"/>
          <w:sz w:val="44"/>
          <w:szCs w:val="44"/>
        </w:rPr>
      </w:pPr>
    </w:p>
    <w:p>
      <w:pPr>
        <w:spacing w:after="120" w:line="720" w:lineRule="auto"/>
        <w:ind w:left="630" w:leftChars="300" w:right="630" w:rightChars="300"/>
        <w:jc w:val="center"/>
        <w:rPr>
          <w:rFonts w:hAnsi="宋体"/>
          <w:b/>
          <w:bCs/>
          <w:color w:val="000000" w:themeColor="text1"/>
          <w:sz w:val="44"/>
          <w:szCs w:val="44"/>
          <w14:textFill>
            <w14:solidFill>
              <w14:schemeClr w14:val="tx1"/>
            </w14:solidFill>
          </w14:textFill>
        </w:rPr>
      </w:pPr>
      <w:r>
        <w:rPr>
          <w:rFonts w:hint="eastAsia" w:hAnsi="宋体"/>
          <w:b/>
          <w:bCs/>
          <w:color w:val="000000" w:themeColor="text1"/>
          <w:sz w:val="44"/>
          <w:szCs w:val="44"/>
          <w14:textFill>
            <w14:solidFill>
              <w14:schemeClr w14:val="tx1"/>
            </w14:solidFill>
          </w14:textFill>
        </w:rPr>
        <w:t>中国石化销售股份有限公司江西抚州资溪石油分公司茶博城加油站建设项目</w:t>
      </w:r>
    </w:p>
    <w:p>
      <w:pPr>
        <w:spacing w:after="120" w:line="720" w:lineRule="auto"/>
        <w:ind w:left="630" w:leftChars="300" w:right="630" w:rightChars="300"/>
        <w:jc w:val="center"/>
        <w:rPr>
          <w:rFonts w:hAnsi="宋体"/>
          <w:b/>
          <w:bCs/>
          <w:color w:val="000000" w:themeColor="text1"/>
          <w:sz w:val="44"/>
          <w:szCs w:val="44"/>
          <w14:textFill>
            <w14:solidFill>
              <w14:schemeClr w14:val="tx1"/>
            </w14:solidFill>
          </w14:textFill>
        </w:rPr>
      </w:pPr>
      <w:r>
        <w:rPr>
          <w:rFonts w:hAnsi="宋体"/>
          <w:b/>
          <w:bCs/>
          <w:color w:val="000000" w:themeColor="text1"/>
          <w:sz w:val="44"/>
          <w:szCs w:val="44"/>
          <w14:textFill>
            <w14:solidFill>
              <w14:schemeClr w14:val="tx1"/>
            </w14:solidFill>
          </w14:textFill>
        </w:rPr>
        <w:t>竣工环境保护验收监测</w:t>
      </w:r>
      <w:r>
        <w:rPr>
          <w:rFonts w:hint="eastAsia" w:hAnsi="宋体"/>
          <w:b/>
          <w:bCs/>
          <w:color w:val="000000" w:themeColor="text1"/>
          <w:sz w:val="44"/>
          <w:szCs w:val="44"/>
          <w14:textFill>
            <w14:solidFill>
              <w14:schemeClr w14:val="tx1"/>
            </w14:solidFill>
          </w14:textFill>
        </w:rPr>
        <w:t>报告表</w:t>
      </w:r>
    </w:p>
    <w:p>
      <w:pPr>
        <w:spacing w:line="360" w:lineRule="auto"/>
        <w:jc w:val="center"/>
        <w:rPr>
          <w:rFonts w:asciiTheme="majorBidi" w:hAnsiTheme="majorBidi" w:cstheme="majorBidi"/>
          <w:b/>
          <w:color w:val="000000" w:themeColor="text1"/>
          <w:sz w:val="24"/>
          <w14:textFill>
            <w14:solidFill>
              <w14:schemeClr w14:val="tx1"/>
            </w14:solidFill>
          </w14:textFill>
        </w:rPr>
      </w:pPr>
      <w:r>
        <w:rPr>
          <w:rFonts w:asciiTheme="majorBidi" w:hAnsiTheme="majorBidi" w:cstheme="majorBidi"/>
          <w:b/>
          <w:color w:val="000000" w:themeColor="text1"/>
          <w:sz w:val="24"/>
          <w14:textFill>
            <w14:solidFill>
              <w14:schemeClr w14:val="tx1"/>
            </w14:solidFill>
          </w14:textFill>
        </w:rPr>
        <w:t>赣粤环科（建）字</w:t>
      </w:r>
      <w:r>
        <w:rPr>
          <w:rFonts w:asciiTheme="majorBidi" w:hAnsiTheme="majorBidi" w:cstheme="majorBidi"/>
          <w:b/>
          <w:color w:val="000000" w:themeColor="text1"/>
          <w:sz w:val="24"/>
          <w:highlight w:val="none"/>
          <w14:textFill>
            <w14:solidFill>
              <w14:schemeClr w14:val="tx1"/>
            </w14:solidFill>
          </w14:textFill>
        </w:rPr>
        <w:t>（202</w:t>
      </w:r>
      <w:r>
        <w:rPr>
          <w:rFonts w:hint="eastAsia" w:asciiTheme="majorBidi" w:hAnsiTheme="majorBidi" w:cstheme="majorBidi"/>
          <w:b/>
          <w:color w:val="000000" w:themeColor="text1"/>
          <w:sz w:val="24"/>
          <w:highlight w:val="none"/>
          <w:lang w:val="en-US" w:eastAsia="zh-CN"/>
          <w14:textFill>
            <w14:solidFill>
              <w14:schemeClr w14:val="tx1"/>
            </w14:solidFill>
          </w14:textFill>
        </w:rPr>
        <w:t>1</w:t>
      </w:r>
      <w:r>
        <w:rPr>
          <w:rFonts w:asciiTheme="majorBidi" w:hAnsiTheme="majorBidi" w:cstheme="majorBidi"/>
          <w:b/>
          <w:color w:val="000000" w:themeColor="text1"/>
          <w:sz w:val="24"/>
          <w:highlight w:val="none"/>
          <w14:textFill>
            <w14:solidFill>
              <w14:schemeClr w14:val="tx1"/>
            </w14:solidFill>
          </w14:textFill>
        </w:rPr>
        <w:t>）第【YHK2020</w:t>
      </w:r>
      <w:r>
        <w:rPr>
          <w:rFonts w:hint="eastAsia" w:asciiTheme="majorBidi" w:hAnsiTheme="majorBidi" w:cstheme="majorBidi"/>
          <w:b/>
          <w:color w:val="000000" w:themeColor="text1"/>
          <w:sz w:val="24"/>
          <w:highlight w:val="none"/>
          <w:lang w:val="en-US" w:eastAsia="zh-CN"/>
          <w14:textFill>
            <w14:solidFill>
              <w14:schemeClr w14:val="tx1"/>
            </w14:solidFill>
          </w14:textFill>
        </w:rPr>
        <w:t>1106</w:t>
      </w:r>
      <w:r>
        <w:rPr>
          <w:rFonts w:asciiTheme="majorBidi" w:hAnsiTheme="majorBidi" w:cstheme="majorBidi"/>
          <w:b/>
          <w:color w:val="000000" w:themeColor="text1"/>
          <w:sz w:val="24"/>
          <w:highlight w:val="none"/>
          <w14:textFill>
            <w14:solidFill>
              <w14:schemeClr w14:val="tx1"/>
            </w14:solidFill>
          </w14:textFill>
        </w:rPr>
        <w:t>(6</w:t>
      </w:r>
      <w:r>
        <w:rPr>
          <w:rFonts w:hint="eastAsia" w:asciiTheme="majorBidi" w:hAnsiTheme="majorBidi" w:cstheme="majorBidi"/>
          <w:b/>
          <w:color w:val="000000" w:themeColor="text1"/>
          <w:sz w:val="24"/>
          <w:highlight w:val="none"/>
          <w14:textFill>
            <w14:solidFill>
              <w14:schemeClr w14:val="tx1"/>
            </w14:solidFill>
          </w14:textFill>
        </w:rPr>
        <w:t>603</w:t>
      </w:r>
      <w:r>
        <w:rPr>
          <w:rFonts w:asciiTheme="majorBidi" w:hAnsiTheme="majorBidi" w:cstheme="majorBidi"/>
          <w:b/>
          <w:color w:val="000000" w:themeColor="text1"/>
          <w:sz w:val="24"/>
          <w:highlight w:val="none"/>
          <w14:textFill>
            <w14:solidFill>
              <w14:schemeClr w14:val="tx1"/>
            </w14:solidFill>
          </w14:textFill>
        </w:rPr>
        <w:t>)</w:t>
      </w:r>
      <w:r>
        <w:rPr>
          <w:rFonts w:hint="eastAsia" w:asciiTheme="majorBidi" w:hAnsiTheme="majorBidi" w:cstheme="majorBidi"/>
          <w:b/>
          <w:color w:val="000000" w:themeColor="text1"/>
          <w:sz w:val="24"/>
          <w:highlight w:val="none"/>
          <w:lang w:val="en-US" w:eastAsia="zh-CN"/>
          <w14:textFill>
            <w14:solidFill>
              <w14:schemeClr w14:val="tx1"/>
            </w14:solidFill>
          </w14:textFill>
        </w:rPr>
        <w:t>05</w:t>
      </w:r>
      <w:r>
        <w:rPr>
          <w:rFonts w:asciiTheme="majorBidi" w:hAnsiTheme="majorBidi" w:cstheme="majorBidi"/>
          <w:b/>
          <w:color w:val="000000" w:themeColor="text1"/>
          <w:sz w:val="24"/>
          <w:highlight w:val="none"/>
          <w14:textFill>
            <w14:solidFill>
              <w14:schemeClr w14:val="tx1"/>
            </w14:solidFill>
          </w14:textFill>
        </w:rPr>
        <w:t>】</w:t>
      </w:r>
      <w:r>
        <w:rPr>
          <w:rFonts w:asciiTheme="majorBidi" w:hAnsiTheme="majorBidi" w:cstheme="majorBidi"/>
          <w:b/>
          <w:color w:val="000000" w:themeColor="text1"/>
          <w:sz w:val="24"/>
          <w14:textFill>
            <w14:solidFill>
              <w14:schemeClr w14:val="tx1"/>
            </w14:solidFill>
          </w14:textFill>
        </w:rPr>
        <w:t>号</w:t>
      </w:r>
    </w:p>
    <w:p>
      <w:pPr>
        <w:pStyle w:val="2"/>
        <w:ind w:left="0" w:leftChars="0"/>
        <w:jc w:val="center"/>
      </w:pPr>
    </w:p>
    <w:p>
      <w:pPr>
        <w:pStyle w:val="2"/>
        <w:ind w:left="0" w:leftChars="0"/>
        <w:jc w:val="center"/>
      </w:pPr>
    </w:p>
    <w:p>
      <w:pPr>
        <w:pStyle w:val="2"/>
        <w:ind w:left="0" w:leftChars="0"/>
        <w:jc w:val="center"/>
      </w:pPr>
    </w:p>
    <w:p>
      <w:pPr>
        <w:pStyle w:val="2"/>
        <w:ind w:left="0" w:leftChars="0"/>
        <w:jc w:val="center"/>
      </w:pPr>
    </w:p>
    <w:p>
      <w:pPr>
        <w:pStyle w:val="2"/>
        <w:ind w:left="0" w:leftChars="0"/>
        <w:jc w:val="center"/>
      </w:pPr>
    </w:p>
    <w:p>
      <w:pPr>
        <w:pStyle w:val="2"/>
        <w:ind w:left="0" w:leftChars="0"/>
        <w:jc w:val="center"/>
      </w:pPr>
    </w:p>
    <w:p>
      <w:pPr>
        <w:pStyle w:val="2"/>
        <w:ind w:left="0" w:leftChars="0"/>
        <w:jc w:val="center"/>
      </w:pPr>
    </w:p>
    <w:p>
      <w:pPr>
        <w:pStyle w:val="2"/>
        <w:ind w:left="0" w:leftChars="0"/>
        <w:jc w:val="center"/>
      </w:pPr>
    </w:p>
    <w:p>
      <w:pPr>
        <w:spacing w:line="720" w:lineRule="auto"/>
        <w:ind w:firstLine="1687" w:firstLineChars="600"/>
        <w:rPr>
          <w:rFonts w:hAnsi="宋体"/>
          <w:b/>
          <w:sz w:val="28"/>
          <w:szCs w:val="28"/>
        </w:rPr>
      </w:pPr>
      <w:r>
        <w:rPr>
          <w:rFonts w:hint="eastAsia" w:hAnsi="宋体"/>
          <w:b/>
          <w:sz w:val="28"/>
          <w:szCs w:val="28"/>
        </w:rPr>
        <w:t>建设单位</w:t>
      </w:r>
      <w:r>
        <w:rPr>
          <w:rFonts w:hAnsi="宋体"/>
          <w:b/>
          <w:sz w:val="28"/>
          <w:szCs w:val="28"/>
        </w:rPr>
        <w:t>：</w:t>
      </w:r>
      <w:r>
        <w:rPr>
          <w:rFonts w:hint="eastAsia" w:hAnsi="宋体"/>
          <w:b/>
          <w:sz w:val="28"/>
          <w:szCs w:val="28"/>
        </w:rPr>
        <w:t>中国石化销售股份有限公司江西抚州资溪石油分公司</w:t>
      </w:r>
    </w:p>
    <w:p>
      <w:pPr>
        <w:spacing w:line="720" w:lineRule="auto"/>
        <w:ind w:firstLine="1687" w:firstLineChars="600"/>
        <w:rPr>
          <w:rFonts w:hAnsi="宋体"/>
          <w:b/>
          <w:sz w:val="32"/>
          <w:szCs w:val="32"/>
        </w:rPr>
      </w:pPr>
      <w:r>
        <w:rPr>
          <w:rFonts w:hint="eastAsia" w:hAnsi="宋体"/>
          <w:b/>
          <w:sz w:val="28"/>
          <w:szCs w:val="28"/>
        </w:rPr>
        <w:t>编制单位</w:t>
      </w:r>
      <w:r>
        <w:rPr>
          <w:rFonts w:hAnsi="宋体"/>
          <w:b/>
          <w:sz w:val="28"/>
          <w:szCs w:val="28"/>
        </w:rPr>
        <w:t>：</w:t>
      </w:r>
      <w:r>
        <w:rPr>
          <w:rFonts w:hint="eastAsia" w:hAnsi="宋体"/>
          <w:b/>
          <w:color w:val="000000" w:themeColor="text1"/>
          <w:sz w:val="28"/>
          <w:szCs w:val="28"/>
          <w14:textFill>
            <w14:solidFill>
              <w14:schemeClr w14:val="tx1"/>
            </w14:solidFill>
          </w14:textFill>
        </w:rPr>
        <w:t>江西省粤环科检测技术有限公司</w:t>
      </w:r>
    </w:p>
    <w:p>
      <w:pPr>
        <w:pStyle w:val="2"/>
        <w:ind w:left="0" w:leftChars="0"/>
        <w:jc w:val="center"/>
      </w:pPr>
    </w:p>
    <w:p>
      <w:pPr>
        <w:spacing w:line="720" w:lineRule="auto"/>
        <w:jc w:val="center"/>
        <w:rPr>
          <w:rFonts w:hAnsi="宋体"/>
          <w:b/>
          <w:sz w:val="28"/>
          <w:szCs w:val="28"/>
        </w:rPr>
      </w:pPr>
      <w:r>
        <w:rPr>
          <w:rFonts w:hAnsi="宋体"/>
          <w:b/>
          <w:sz w:val="28"/>
          <w:szCs w:val="28"/>
        </w:rPr>
        <w:t>二</w:t>
      </w:r>
      <w:r>
        <w:rPr>
          <w:b/>
          <w:sz w:val="28"/>
          <w:szCs w:val="28"/>
        </w:rPr>
        <w:t>O</w:t>
      </w:r>
      <w:r>
        <w:rPr>
          <w:rFonts w:hint="eastAsia" w:hAnsi="宋体"/>
          <w:b/>
          <w:sz w:val="28"/>
          <w:szCs w:val="28"/>
        </w:rPr>
        <w:t>二</w:t>
      </w:r>
      <w:r>
        <w:rPr>
          <w:rFonts w:hint="eastAsia" w:hAnsi="宋体"/>
          <w:b/>
          <w:sz w:val="28"/>
          <w:szCs w:val="28"/>
          <w:lang w:eastAsia="zh-CN"/>
        </w:rPr>
        <w:t>一</w:t>
      </w:r>
      <w:r>
        <w:rPr>
          <w:rFonts w:hAnsi="宋体"/>
          <w:b/>
          <w:sz w:val="28"/>
          <w:szCs w:val="28"/>
        </w:rPr>
        <w:t>年</w:t>
      </w:r>
      <w:r>
        <w:rPr>
          <w:rFonts w:hint="eastAsia" w:hAnsi="宋体"/>
          <w:b/>
          <w:sz w:val="28"/>
          <w:szCs w:val="28"/>
        </w:rPr>
        <w:t>一</w:t>
      </w:r>
      <w:r>
        <w:rPr>
          <w:rFonts w:hAnsi="宋体"/>
          <w:b/>
          <w:sz w:val="28"/>
          <w:szCs w:val="28"/>
        </w:rPr>
        <w:t>月</w:t>
      </w:r>
    </w:p>
    <w:p>
      <w:pPr>
        <w:pStyle w:val="2"/>
        <w:sectPr>
          <w:headerReference r:id="rId3" w:type="first"/>
          <w:pgSz w:w="11906" w:h="16838"/>
          <w:pgMar w:top="851" w:right="1134" w:bottom="992" w:left="1134" w:header="850" w:footer="992" w:gutter="0"/>
          <w:pgBorders>
            <w:top w:val="none" w:sz="0" w:space="0"/>
            <w:left w:val="none" w:sz="0" w:space="0"/>
            <w:bottom w:val="none" w:sz="0" w:space="0"/>
            <w:right w:val="none" w:sz="0" w:space="0"/>
          </w:pgBorders>
          <w:pgNumType w:start="1" w:chapStyle="1"/>
          <w:cols w:space="720" w:num="1"/>
          <w:titlePg/>
          <w:docGrid w:type="lines" w:linePitch="312" w:charSpace="0"/>
        </w:sectPr>
      </w:pPr>
    </w:p>
    <w:p>
      <w:pPr>
        <w:spacing w:line="360" w:lineRule="auto"/>
        <w:ind w:firstLine="602" w:firstLineChars="200"/>
        <w:rPr>
          <w:b/>
          <w:sz w:val="30"/>
          <w:szCs w:val="30"/>
        </w:rPr>
      </w:pPr>
    </w:p>
    <w:p>
      <w:pPr>
        <w:spacing w:line="360" w:lineRule="auto"/>
        <w:ind w:firstLine="602" w:firstLineChars="200"/>
        <w:rPr>
          <w:sz w:val="30"/>
          <w:szCs w:val="30"/>
        </w:rPr>
      </w:pPr>
      <w:r>
        <w:rPr>
          <w:rFonts w:hint="eastAsia"/>
          <w:b/>
          <w:sz w:val="30"/>
          <w:szCs w:val="30"/>
        </w:rPr>
        <w:t>建设</w:t>
      </w:r>
      <w:r>
        <w:rPr>
          <w:b/>
          <w:sz w:val="30"/>
          <w:szCs w:val="30"/>
        </w:rPr>
        <w:t>单位：</w:t>
      </w:r>
      <w:r>
        <w:rPr>
          <w:rFonts w:hint="eastAsia"/>
          <w:bCs/>
          <w:sz w:val="30"/>
          <w:szCs w:val="30"/>
        </w:rPr>
        <w:t>中国石化销售股份有限公司江西抚州资溪石油分公司</w:t>
      </w:r>
    </w:p>
    <w:p>
      <w:pPr>
        <w:spacing w:line="360" w:lineRule="auto"/>
        <w:ind w:firstLine="602" w:firstLineChars="200"/>
        <w:rPr>
          <w:bCs/>
          <w:sz w:val="30"/>
          <w:szCs w:val="30"/>
        </w:rPr>
      </w:pPr>
      <w:r>
        <w:rPr>
          <w:rFonts w:hint="eastAsia"/>
          <w:b/>
          <w:sz w:val="30"/>
          <w:szCs w:val="30"/>
        </w:rPr>
        <w:t>法人代表</w:t>
      </w:r>
      <w:r>
        <w:rPr>
          <w:b/>
          <w:sz w:val="30"/>
          <w:szCs w:val="30"/>
        </w:rPr>
        <w:t>：</w:t>
      </w:r>
      <w:r>
        <w:rPr>
          <w:rFonts w:hint="eastAsia"/>
          <w:b w:val="0"/>
          <w:bCs/>
          <w:sz w:val="30"/>
          <w:szCs w:val="30"/>
        </w:rPr>
        <w:t>唐勇</w:t>
      </w:r>
      <w:r>
        <w:rPr>
          <w:b w:val="0"/>
          <w:bCs/>
          <w:sz w:val="30"/>
          <w:szCs w:val="30"/>
        </w:rPr>
        <w:t>根</w:t>
      </w:r>
    </w:p>
    <w:p>
      <w:pPr>
        <w:spacing w:line="360" w:lineRule="auto"/>
        <w:ind w:firstLine="600" w:firstLineChars="200"/>
        <w:rPr>
          <w:sz w:val="30"/>
          <w:szCs w:val="30"/>
        </w:rPr>
      </w:pPr>
    </w:p>
    <w:p>
      <w:pPr>
        <w:spacing w:line="360" w:lineRule="auto"/>
        <w:ind w:firstLine="602" w:firstLineChars="200"/>
        <w:rPr>
          <w:color w:val="000000" w:themeColor="text1"/>
          <w:sz w:val="30"/>
          <w:szCs w:val="30"/>
          <w14:textFill>
            <w14:solidFill>
              <w14:schemeClr w14:val="tx1"/>
            </w14:solidFill>
          </w14:textFill>
        </w:rPr>
      </w:pPr>
      <w:r>
        <w:rPr>
          <w:rFonts w:hint="eastAsia"/>
          <w:b/>
          <w:color w:val="000000" w:themeColor="text1"/>
          <w:sz w:val="30"/>
          <w:szCs w:val="30"/>
          <w14:textFill>
            <w14:solidFill>
              <w14:schemeClr w14:val="tx1"/>
            </w14:solidFill>
          </w14:textFill>
        </w:rPr>
        <w:t>编制</w:t>
      </w:r>
      <w:r>
        <w:rPr>
          <w:b/>
          <w:color w:val="000000" w:themeColor="text1"/>
          <w:sz w:val="30"/>
          <w:szCs w:val="30"/>
          <w14:textFill>
            <w14:solidFill>
              <w14:schemeClr w14:val="tx1"/>
            </w14:solidFill>
          </w14:textFill>
        </w:rPr>
        <w:t>单位：</w:t>
      </w:r>
      <w:r>
        <w:rPr>
          <w:rFonts w:hint="eastAsia"/>
          <w:bCs/>
          <w:color w:val="000000" w:themeColor="text1"/>
          <w:sz w:val="30"/>
          <w:szCs w:val="30"/>
          <w14:textFill>
            <w14:solidFill>
              <w14:schemeClr w14:val="tx1"/>
            </w14:solidFill>
          </w14:textFill>
        </w:rPr>
        <w:t>江西省粤环科检测技术有限公司</w:t>
      </w:r>
    </w:p>
    <w:p>
      <w:pPr>
        <w:spacing w:line="360" w:lineRule="auto"/>
        <w:ind w:firstLine="602" w:firstLineChars="200"/>
        <w:rPr>
          <w:color w:val="000000" w:themeColor="text1"/>
          <w:sz w:val="30"/>
          <w:szCs w:val="30"/>
          <w14:textFill>
            <w14:solidFill>
              <w14:schemeClr w14:val="tx1"/>
            </w14:solidFill>
          </w14:textFill>
        </w:rPr>
      </w:pPr>
      <w:r>
        <w:rPr>
          <w:b/>
          <w:color w:val="000000" w:themeColor="text1"/>
          <w:sz w:val="30"/>
          <w:szCs w:val="30"/>
          <w14:textFill>
            <w14:solidFill>
              <w14:schemeClr w14:val="tx1"/>
            </w14:solidFill>
          </w14:textFill>
        </w:rPr>
        <w:t>法人代表：</w:t>
      </w:r>
      <w:r>
        <w:rPr>
          <w:rFonts w:hint="eastAsia"/>
          <w:color w:val="000000" w:themeColor="text1"/>
          <w:sz w:val="30"/>
          <w:szCs w:val="30"/>
          <w14:textFill>
            <w14:solidFill>
              <w14:schemeClr w14:val="tx1"/>
            </w14:solidFill>
          </w14:textFill>
        </w:rPr>
        <w:t>王春良</w:t>
      </w:r>
    </w:p>
    <w:p>
      <w:pPr>
        <w:spacing w:line="360" w:lineRule="auto"/>
        <w:ind w:firstLine="602" w:firstLineChars="200"/>
        <w:rPr>
          <w:rFonts w:hint="eastAsia" w:eastAsia="宋体"/>
          <w:b/>
          <w:color w:val="000000" w:themeColor="text1"/>
          <w:sz w:val="30"/>
          <w:szCs w:val="30"/>
          <w:lang w:eastAsia="zh-CN"/>
          <w14:textFill>
            <w14:solidFill>
              <w14:schemeClr w14:val="tx1"/>
            </w14:solidFill>
          </w14:textFill>
        </w:rPr>
      </w:pPr>
      <w:r>
        <w:rPr>
          <w:b/>
          <w:color w:val="000000" w:themeColor="text1"/>
          <w:sz w:val="30"/>
          <w:szCs w:val="30"/>
          <w14:textFill>
            <w14:solidFill>
              <w14:schemeClr w14:val="tx1"/>
            </w14:solidFill>
          </w14:textFill>
        </w:rPr>
        <w:t>项目负责：</w:t>
      </w:r>
      <w:r>
        <w:rPr>
          <w:rFonts w:hint="eastAsia"/>
          <w:b w:val="0"/>
          <w:bCs/>
          <w:color w:val="000000" w:themeColor="text1"/>
          <w:sz w:val="30"/>
          <w:szCs w:val="30"/>
          <w:lang w:eastAsia="zh-CN"/>
          <w14:textFill>
            <w14:solidFill>
              <w14:schemeClr w14:val="tx1"/>
            </w14:solidFill>
          </w14:textFill>
        </w:rPr>
        <w:t>崔丹</w:t>
      </w:r>
    </w:p>
    <w:p>
      <w:pPr>
        <w:spacing w:line="360" w:lineRule="auto"/>
        <w:ind w:firstLine="602" w:firstLineChars="200"/>
        <w:rPr>
          <w:rFonts w:hint="eastAsia" w:eastAsia="宋体"/>
          <w:color w:val="000000" w:themeColor="text1"/>
          <w:sz w:val="32"/>
          <w:szCs w:val="32"/>
          <w:lang w:eastAsia="zh-CN"/>
          <w14:textFill>
            <w14:solidFill>
              <w14:schemeClr w14:val="tx1"/>
            </w14:solidFill>
          </w14:textFill>
        </w:rPr>
      </w:pPr>
      <w:r>
        <w:rPr>
          <w:b/>
          <w:color w:val="000000" w:themeColor="text1"/>
          <w:sz w:val="30"/>
          <w:szCs w:val="30"/>
          <w14:textFill>
            <w14:solidFill>
              <w14:schemeClr w14:val="tx1"/>
            </w14:solidFill>
          </w14:textFill>
        </w:rPr>
        <w:t>报告编写：</w:t>
      </w:r>
      <w:r>
        <w:rPr>
          <w:rFonts w:hint="eastAsia"/>
          <w:b w:val="0"/>
          <w:bCs/>
          <w:color w:val="000000" w:themeColor="text1"/>
          <w:sz w:val="30"/>
          <w:szCs w:val="30"/>
          <w:lang w:eastAsia="zh-CN"/>
          <w14:textFill>
            <w14:solidFill>
              <w14:schemeClr w14:val="tx1"/>
            </w14:solidFill>
          </w14:textFill>
        </w:rPr>
        <w:t>郭晶</w:t>
      </w:r>
    </w:p>
    <w:p>
      <w:pPr>
        <w:pStyle w:val="2"/>
      </w:pPr>
    </w:p>
    <w:p>
      <w:pPr>
        <w:pStyle w:val="2"/>
        <w:ind w:left="0" w:leftChars="0" w:firstLine="420" w:firstLineChars="200"/>
      </w:pPr>
    </w:p>
    <w:p>
      <w:pPr>
        <w:pStyle w:val="2"/>
        <w:ind w:left="0" w:leftChars="0" w:firstLine="420" w:firstLineChars="200"/>
      </w:pPr>
    </w:p>
    <w:p>
      <w:pPr>
        <w:pStyle w:val="2"/>
        <w:ind w:left="0" w:leftChars="0" w:firstLine="420" w:firstLineChars="200"/>
      </w:pPr>
    </w:p>
    <w:p>
      <w:pPr>
        <w:pStyle w:val="2"/>
        <w:ind w:left="0" w:leftChars="0" w:firstLine="420" w:firstLineChars="200"/>
      </w:pPr>
    </w:p>
    <w:p>
      <w:pPr>
        <w:pStyle w:val="2"/>
        <w:ind w:left="0" w:leftChars="0" w:firstLine="420" w:firstLineChars="200"/>
      </w:pPr>
    </w:p>
    <w:p>
      <w:pPr>
        <w:pStyle w:val="2"/>
        <w:ind w:left="0" w:leftChars="0" w:firstLine="420" w:firstLineChars="200"/>
      </w:pPr>
    </w:p>
    <w:p>
      <w:pPr>
        <w:pStyle w:val="2"/>
        <w:ind w:left="0" w:leftChars="0" w:firstLine="420" w:firstLineChars="200"/>
      </w:pPr>
    </w:p>
    <w:p>
      <w:pPr>
        <w:pStyle w:val="2"/>
        <w:ind w:left="0" w:leftChars="0" w:firstLine="420" w:firstLineChars="200"/>
      </w:pPr>
    </w:p>
    <w:p>
      <w:pPr>
        <w:pStyle w:val="2"/>
        <w:ind w:left="0" w:leftChars="0" w:firstLine="420" w:firstLineChars="200"/>
      </w:pPr>
    </w:p>
    <w:p>
      <w:pPr>
        <w:pStyle w:val="2"/>
        <w:ind w:left="0" w:leftChars="0" w:firstLine="420" w:firstLineChars="200"/>
      </w:pPr>
    </w:p>
    <w:tbl>
      <w:tblPr>
        <w:tblStyle w:val="24"/>
        <w:tblW w:w="9638" w:type="dxa"/>
        <w:jc w:val="center"/>
        <w:tblLayout w:type="fixed"/>
        <w:tblCellMar>
          <w:top w:w="0" w:type="dxa"/>
          <w:left w:w="108" w:type="dxa"/>
          <w:bottom w:w="0" w:type="dxa"/>
          <w:right w:w="108" w:type="dxa"/>
        </w:tblCellMar>
      </w:tblPr>
      <w:tblGrid>
        <w:gridCol w:w="4819"/>
        <w:gridCol w:w="4819"/>
      </w:tblGrid>
      <w:tr>
        <w:tblPrEx>
          <w:tblCellMar>
            <w:top w:w="0" w:type="dxa"/>
            <w:left w:w="108" w:type="dxa"/>
            <w:bottom w:w="0" w:type="dxa"/>
            <w:right w:w="108" w:type="dxa"/>
          </w:tblCellMar>
        </w:tblPrEx>
        <w:trPr>
          <w:trHeight w:val="567" w:hRule="atLeast"/>
          <w:jc w:val="center"/>
        </w:trPr>
        <w:tc>
          <w:tcPr>
            <w:tcW w:w="4819" w:type="dxa"/>
          </w:tcPr>
          <w:p>
            <w:pPr>
              <w:pStyle w:val="39"/>
              <w:jc w:val="both"/>
              <w:rPr>
                <w:rFonts w:ascii="仿宋" w:hAnsi="仿宋" w:eastAsia="仿宋"/>
              </w:rPr>
            </w:pPr>
            <w:r>
              <w:rPr>
                <w:rFonts w:hint="eastAsia" w:ascii="仿宋" w:hAnsi="仿宋" w:eastAsia="仿宋"/>
              </w:rPr>
              <w:t>建设单位：中国石化销售股份有限公司江西抚州资溪石油分公司（盖章）</w:t>
            </w:r>
          </w:p>
        </w:tc>
        <w:tc>
          <w:tcPr>
            <w:tcW w:w="4819" w:type="dxa"/>
          </w:tcPr>
          <w:p>
            <w:pPr>
              <w:pStyle w:val="39"/>
              <w:jc w:val="both"/>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编制单位：江西省粤环科检测技术有限公司（盖章）</w:t>
            </w:r>
          </w:p>
        </w:tc>
      </w:tr>
      <w:tr>
        <w:tblPrEx>
          <w:tblCellMar>
            <w:top w:w="0" w:type="dxa"/>
            <w:left w:w="108" w:type="dxa"/>
            <w:bottom w:w="0" w:type="dxa"/>
            <w:right w:w="108" w:type="dxa"/>
          </w:tblCellMar>
        </w:tblPrEx>
        <w:trPr>
          <w:trHeight w:val="567" w:hRule="atLeast"/>
          <w:jc w:val="center"/>
        </w:trPr>
        <w:tc>
          <w:tcPr>
            <w:tcW w:w="4819" w:type="dxa"/>
          </w:tcPr>
          <w:p>
            <w:pPr>
              <w:pStyle w:val="39"/>
              <w:jc w:val="both"/>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电    话：13979497676</w:t>
            </w:r>
          </w:p>
        </w:tc>
        <w:tc>
          <w:tcPr>
            <w:tcW w:w="4819" w:type="dxa"/>
          </w:tcPr>
          <w:p>
            <w:pPr>
              <w:pStyle w:val="39"/>
              <w:jc w:val="both"/>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电    话：0791-88185956</w:t>
            </w:r>
          </w:p>
        </w:tc>
      </w:tr>
      <w:tr>
        <w:tblPrEx>
          <w:tblCellMar>
            <w:top w:w="0" w:type="dxa"/>
            <w:left w:w="108" w:type="dxa"/>
            <w:bottom w:w="0" w:type="dxa"/>
            <w:right w:w="108" w:type="dxa"/>
          </w:tblCellMar>
        </w:tblPrEx>
        <w:trPr>
          <w:trHeight w:val="567" w:hRule="atLeast"/>
          <w:jc w:val="center"/>
        </w:trPr>
        <w:tc>
          <w:tcPr>
            <w:tcW w:w="4819" w:type="dxa"/>
          </w:tcPr>
          <w:p>
            <w:pPr>
              <w:pStyle w:val="39"/>
              <w:jc w:val="both"/>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邮    编：335300</w:t>
            </w:r>
          </w:p>
        </w:tc>
        <w:tc>
          <w:tcPr>
            <w:tcW w:w="4819" w:type="dxa"/>
          </w:tcPr>
          <w:p>
            <w:pPr>
              <w:pStyle w:val="39"/>
              <w:jc w:val="both"/>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邮    编：330006</w:t>
            </w:r>
          </w:p>
        </w:tc>
      </w:tr>
      <w:tr>
        <w:tblPrEx>
          <w:tblCellMar>
            <w:top w:w="0" w:type="dxa"/>
            <w:left w:w="108" w:type="dxa"/>
            <w:bottom w:w="0" w:type="dxa"/>
            <w:right w:w="108" w:type="dxa"/>
          </w:tblCellMar>
        </w:tblPrEx>
        <w:trPr>
          <w:trHeight w:val="567" w:hRule="atLeast"/>
          <w:jc w:val="center"/>
        </w:trPr>
        <w:tc>
          <w:tcPr>
            <w:tcW w:w="4819" w:type="dxa"/>
          </w:tcPr>
          <w:p>
            <w:pPr>
              <w:pStyle w:val="39"/>
              <w:jc w:val="both"/>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地    址：江西省抚州市资溪县鹤城镇司前路35号</w:t>
            </w:r>
          </w:p>
        </w:tc>
        <w:tc>
          <w:tcPr>
            <w:tcW w:w="4819" w:type="dxa"/>
          </w:tcPr>
          <w:p>
            <w:pPr>
              <w:pStyle w:val="39"/>
              <w:jc w:val="both"/>
              <w:rPr>
                <w:rFonts w:ascii="仿宋" w:hAnsi="仿宋" w:eastAsia="仿宋"/>
                <w:color w:val="000000" w:themeColor="text1"/>
                <w14:textFill>
                  <w14:solidFill>
                    <w14:schemeClr w14:val="tx1"/>
                  </w14:solidFill>
                </w14:textFill>
              </w:rPr>
            </w:pPr>
            <w:r>
              <w:rPr>
                <w:rFonts w:hint="eastAsia" w:ascii="仿宋" w:hAnsi="仿宋" w:eastAsia="仿宋"/>
                <w:color w:val="000000" w:themeColor="text1"/>
                <w14:textFill>
                  <w14:solidFill>
                    <w14:schemeClr w14:val="tx1"/>
                  </w14:solidFill>
                </w14:textFill>
              </w:rPr>
              <w:t>地    址：南昌市青山湖区高新南大道3699号弘泰大厦八楼</w:t>
            </w:r>
          </w:p>
        </w:tc>
      </w:tr>
    </w:tbl>
    <w:p>
      <w:pPr>
        <w:pStyle w:val="39"/>
        <w:rPr>
          <w:rFonts w:ascii="Times New Roman" w:hAnsi="Times New Roman" w:cs="Times New Roman"/>
        </w:rPr>
      </w:pPr>
    </w:p>
    <w:p>
      <w:pPr>
        <w:widowControl/>
        <w:jc w:val="center"/>
        <w:rPr>
          <w:rFonts w:hAnsi="宋体"/>
          <w:b/>
          <w:sz w:val="52"/>
        </w:rPr>
      </w:pPr>
      <w:r>
        <w:rPr>
          <w:rFonts w:hAnsi="宋体"/>
          <w:b/>
          <w:sz w:val="52"/>
        </w:rPr>
        <w:br w:type="page"/>
      </w:r>
      <w:r>
        <w:rPr>
          <w:rFonts w:hint="eastAsia" w:hAnsi="宋体"/>
          <w:b/>
          <w:sz w:val="52"/>
        </w:rPr>
        <w:t>江西省粤环科检测技术有限公司资质</w:t>
      </w:r>
    </w:p>
    <w:p>
      <w:pPr>
        <w:pStyle w:val="2"/>
        <w:ind w:left="0" w:leftChars="0"/>
        <w:jc w:val="center"/>
      </w:pPr>
      <w:r>
        <w:drawing>
          <wp:inline distT="0" distB="0" distL="0" distR="0">
            <wp:extent cx="6096000" cy="8710930"/>
            <wp:effectExtent l="0" t="0" r="0" b="0"/>
            <wp:docPr id="1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7"/>
                    <pic:cNvPicPr>
                      <a:picLocks noChangeAspect="1" noChangeArrowheads="1"/>
                    </pic:cNvPicPr>
                  </pic:nvPicPr>
                  <pic:blipFill>
                    <a:blip r:embed="rId9" cstate="print"/>
                    <a:srcRect/>
                    <a:stretch>
                      <a:fillRect/>
                    </a:stretch>
                  </pic:blipFill>
                  <pic:spPr>
                    <a:xfrm>
                      <a:off x="0" y="0"/>
                      <a:ext cx="6103453" cy="8722063"/>
                    </a:xfrm>
                    <a:prstGeom prst="rect">
                      <a:avLst/>
                    </a:prstGeom>
                    <a:noFill/>
                    <a:ln>
                      <a:noFill/>
                    </a:ln>
                  </pic:spPr>
                </pic:pic>
              </a:graphicData>
            </a:graphic>
          </wp:inline>
        </w:drawing>
      </w:r>
    </w:p>
    <w:p>
      <w:pPr>
        <w:pStyle w:val="39"/>
        <w:rPr>
          <w:rFonts w:hAnsi="宋体"/>
          <w:b/>
          <w:sz w:val="52"/>
        </w:rPr>
        <w:sectPr>
          <w:headerReference r:id="rId4" w:type="default"/>
          <w:footerReference r:id="rId5" w:type="default"/>
          <w:pgSz w:w="11906" w:h="16838"/>
          <w:pgMar w:top="851" w:right="1134" w:bottom="992" w:left="1134" w:header="850" w:footer="992" w:gutter="0"/>
          <w:pgBorders>
            <w:top w:val="none" w:sz="0" w:space="0"/>
            <w:left w:val="none" w:sz="0" w:space="0"/>
            <w:bottom w:val="none" w:sz="0" w:space="0"/>
            <w:right w:val="none" w:sz="0" w:space="0"/>
          </w:pgBorders>
          <w:cols w:space="720" w:num="1"/>
          <w:docGrid w:linePitch="312" w:charSpace="0"/>
        </w:sectPr>
      </w:pPr>
    </w:p>
    <w:p>
      <w:pPr>
        <w:pStyle w:val="15"/>
        <w:tabs>
          <w:tab w:val="right" w:leader="dot" w:pos="9638"/>
        </w:tabs>
        <w:jc w:val="center"/>
        <w:rPr>
          <w:b/>
          <w:bCs/>
          <w:sz w:val="36"/>
          <w:szCs w:val="36"/>
        </w:rPr>
      </w:pPr>
      <w:r>
        <w:rPr>
          <w:rFonts w:hint="eastAsia"/>
          <w:b/>
          <w:bCs/>
          <w:sz w:val="36"/>
          <w:szCs w:val="36"/>
        </w:rPr>
        <w:t>目  录</w:t>
      </w:r>
    </w:p>
    <w:p>
      <w:pPr>
        <w:pStyle w:val="15"/>
        <w:tabs>
          <w:tab w:val="right" w:leader="dot" w:pos="9638"/>
        </w:tabs>
        <w:rPr>
          <w:rFonts w:asciiTheme="majorBidi" w:hAnsiTheme="majorBidi" w:cstheme="majorBidi"/>
          <w:sz w:val="24"/>
          <w:szCs w:val="24"/>
        </w:rPr>
      </w:pPr>
      <w:r>
        <w:rPr>
          <w:rFonts w:asciiTheme="majorBidi" w:hAnsiTheme="majorBidi" w:cstheme="majorBidi"/>
          <w:sz w:val="24"/>
          <w:szCs w:val="24"/>
        </w:rPr>
        <w:fldChar w:fldCharType="begin"/>
      </w:r>
      <w:r>
        <w:rPr>
          <w:rFonts w:asciiTheme="majorBidi" w:hAnsiTheme="majorBidi" w:cstheme="majorBidi"/>
          <w:sz w:val="24"/>
          <w:szCs w:val="24"/>
        </w:rPr>
        <w:instrText xml:space="preserve">TOC \o "1-3" \h \u </w:instrText>
      </w:r>
      <w:r>
        <w:rPr>
          <w:rFonts w:asciiTheme="majorBidi" w:hAnsiTheme="majorBidi" w:cstheme="majorBidi"/>
          <w:sz w:val="24"/>
          <w:szCs w:val="24"/>
        </w:rPr>
        <w:fldChar w:fldCharType="separate"/>
      </w:r>
      <w:r>
        <w:fldChar w:fldCharType="begin"/>
      </w:r>
      <w:r>
        <w:instrText xml:space="preserve"> HYPERLINK \l "_Toc5662" </w:instrText>
      </w:r>
      <w:r>
        <w:fldChar w:fldCharType="separate"/>
      </w:r>
      <w:r>
        <w:rPr>
          <w:rFonts w:asciiTheme="majorBidi" w:hAnsiTheme="majorBidi" w:cstheme="majorBidi"/>
          <w:sz w:val="24"/>
          <w:szCs w:val="24"/>
        </w:rPr>
        <w:t>前   言</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_Toc5662 \h </w:instrText>
      </w:r>
      <w:r>
        <w:rPr>
          <w:rFonts w:asciiTheme="majorBidi" w:hAnsiTheme="majorBidi" w:cstheme="majorBidi"/>
          <w:sz w:val="24"/>
          <w:szCs w:val="24"/>
        </w:rPr>
        <w:fldChar w:fldCharType="separate"/>
      </w:r>
      <w:r>
        <w:rPr>
          <w:rFonts w:asciiTheme="majorBidi" w:hAnsiTheme="majorBidi" w:cstheme="majorBidi"/>
          <w:sz w:val="24"/>
          <w:szCs w:val="24"/>
        </w:rPr>
        <w:t>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pPr>
        <w:pStyle w:val="15"/>
        <w:tabs>
          <w:tab w:val="right" w:leader="dot" w:pos="9638"/>
        </w:tabs>
        <w:rPr>
          <w:rFonts w:asciiTheme="majorBidi" w:hAnsiTheme="majorBidi" w:cstheme="majorBidi"/>
          <w:sz w:val="24"/>
          <w:szCs w:val="24"/>
        </w:rPr>
      </w:pPr>
      <w:r>
        <w:fldChar w:fldCharType="begin"/>
      </w:r>
      <w:r>
        <w:instrText xml:space="preserve"> HYPERLINK \l "_Toc21649" </w:instrText>
      </w:r>
      <w:r>
        <w:fldChar w:fldCharType="separate"/>
      </w:r>
      <w:r>
        <w:rPr>
          <w:rFonts w:asciiTheme="majorBidi" w:hAnsiTheme="majorBidi" w:cstheme="majorBidi"/>
          <w:bCs/>
          <w:sz w:val="24"/>
          <w:szCs w:val="24"/>
        </w:rPr>
        <w:t>表一 建设项目概况及验收监测依据</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_Toc21649 \h </w:instrText>
      </w:r>
      <w:r>
        <w:rPr>
          <w:rFonts w:asciiTheme="majorBidi" w:hAnsiTheme="majorBidi" w:cstheme="majorBidi"/>
          <w:sz w:val="24"/>
          <w:szCs w:val="24"/>
        </w:rPr>
        <w:fldChar w:fldCharType="separate"/>
      </w:r>
      <w:r>
        <w:rPr>
          <w:rFonts w:asciiTheme="majorBidi" w:hAnsiTheme="majorBidi" w:cstheme="majorBidi"/>
          <w:sz w:val="24"/>
          <w:szCs w:val="24"/>
        </w:rPr>
        <w:t>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pPr>
        <w:pStyle w:val="15"/>
        <w:tabs>
          <w:tab w:val="right" w:leader="dot" w:pos="9638"/>
        </w:tabs>
        <w:rPr>
          <w:rFonts w:asciiTheme="majorBidi" w:hAnsiTheme="majorBidi" w:cstheme="majorBidi"/>
          <w:sz w:val="24"/>
          <w:szCs w:val="24"/>
        </w:rPr>
      </w:pPr>
      <w:r>
        <w:fldChar w:fldCharType="begin"/>
      </w:r>
      <w:r>
        <w:instrText xml:space="preserve"> HYPERLINK \l "_Toc17167" </w:instrText>
      </w:r>
      <w:r>
        <w:fldChar w:fldCharType="separate"/>
      </w:r>
      <w:r>
        <w:rPr>
          <w:rFonts w:asciiTheme="majorBidi" w:hAnsiTheme="majorBidi" w:cstheme="majorBidi"/>
          <w:sz w:val="24"/>
          <w:szCs w:val="24"/>
        </w:rPr>
        <w:t>表二 工程建设内容及工艺流程、产污环节</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_Toc17167 \h </w:instrText>
      </w:r>
      <w:r>
        <w:rPr>
          <w:rFonts w:asciiTheme="majorBidi" w:hAnsiTheme="majorBidi" w:cstheme="majorBidi"/>
          <w:sz w:val="24"/>
          <w:szCs w:val="24"/>
        </w:rPr>
        <w:fldChar w:fldCharType="separate"/>
      </w:r>
      <w:r>
        <w:rPr>
          <w:rFonts w:asciiTheme="majorBidi" w:hAnsiTheme="majorBidi" w:cstheme="majorBidi"/>
          <w:sz w:val="24"/>
          <w:szCs w:val="24"/>
        </w:rPr>
        <w:t>4</w:t>
      </w:r>
      <w:r>
        <w:rPr>
          <w:rFonts w:asciiTheme="majorBidi" w:hAnsiTheme="majorBidi" w:cstheme="majorBidi"/>
          <w:sz w:val="24"/>
          <w:szCs w:val="24"/>
        </w:rPr>
        <w:fldChar w:fldCharType="end"/>
      </w:r>
      <w:r>
        <w:rPr>
          <w:rFonts w:asciiTheme="majorBidi" w:hAnsiTheme="majorBidi" w:cstheme="majorBidi"/>
          <w:sz w:val="24"/>
          <w:szCs w:val="24"/>
        </w:rPr>
        <w:fldChar w:fldCharType="end"/>
      </w:r>
    </w:p>
    <w:p>
      <w:pPr>
        <w:pStyle w:val="15"/>
        <w:tabs>
          <w:tab w:val="right" w:leader="dot" w:pos="9638"/>
        </w:tabs>
        <w:rPr>
          <w:rFonts w:asciiTheme="majorBidi" w:hAnsiTheme="majorBidi" w:cstheme="majorBidi"/>
          <w:sz w:val="24"/>
          <w:szCs w:val="24"/>
        </w:rPr>
      </w:pPr>
      <w:r>
        <w:fldChar w:fldCharType="begin"/>
      </w:r>
      <w:r>
        <w:instrText xml:space="preserve"> HYPERLINK \l "_Toc19012" </w:instrText>
      </w:r>
      <w:r>
        <w:fldChar w:fldCharType="separate"/>
      </w:r>
      <w:r>
        <w:rPr>
          <w:rFonts w:asciiTheme="majorBidi" w:hAnsiTheme="majorBidi" w:cstheme="majorBidi"/>
          <w:sz w:val="24"/>
          <w:szCs w:val="24"/>
        </w:rPr>
        <w:t>表三 主要污染源、污染物处理和排放（附处理流程示意图、标出废水、废气、厂界噪声监测点位）</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_Toc19012 \h </w:instrText>
      </w:r>
      <w:r>
        <w:rPr>
          <w:rFonts w:asciiTheme="majorBidi" w:hAnsiTheme="majorBidi" w:cstheme="majorBidi"/>
          <w:sz w:val="24"/>
          <w:szCs w:val="24"/>
        </w:rPr>
        <w:fldChar w:fldCharType="separate"/>
      </w:r>
      <w:r>
        <w:rPr>
          <w:rFonts w:asciiTheme="majorBidi" w:hAnsiTheme="majorBidi" w:cstheme="majorBidi"/>
          <w:sz w:val="24"/>
          <w:szCs w:val="24"/>
        </w:rPr>
        <w:t>12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pPr>
        <w:pStyle w:val="15"/>
        <w:tabs>
          <w:tab w:val="right" w:leader="dot" w:pos="9638"/>
        </w:tabs>
        <w:rPr>
          <w:rFonts w:asciiTheme="majorBidi" w:hAnsiTheme="majorBidi" w:cstheme="majorBidi"/>
          <w:sz w:val="24"/>
          <w:szCs w:val="24"/>
        </w:rPr>
      </w:pPr>
      <w:r>
        <w:fldChar w:fldCharType="begin"/>
      </w:r>
      <w:r>
        <w:instrText xml:space="preserve"> HYPERLINK \l "_Toc3084" </w:instrText>
      </w:r>
      <w:r>
        <w:fldChar w:fldCharType="separate"/>
      </w:r>
      <w:r>
        <w:rPr>
          <w:rFonts w:asciiTheme="majorBidi" w:hAnsiTheme="majorBidi" w:cstheme="majorBidi"/>
          <w:sz w:val="24"/>
          <w:szCs w:val="24"/>
        </w:rPr>
        <w:t>表四 建设项目环境影响报告表主要结论及审批部门审批决定</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_Toc3084 \h </w:instrText>
      </w:r>
      <w:r>
        <w:rPr>
          <w:rFonts w:asciiTheme="majorBidi" w:hAnsiTheme="majorBidi" w:cstheme="majorBidi"/>
          <w:sz w:val="24"/>
          <w:szCs w:val="24"/>
        </w:rPr>
        <w:fldChar w:fldCharType="separate"/>
      </w:r>
      <w:r>
        <w:rPr>
          <w:rFonts w:asciiTheme="majorBidi" w:hAnsiTheme="majorBidi" w:cstheme="majorBidi"/>
          <w:sz w:val="24"/>
          <w:szCs w:val="24"/>
        </w:rPr>
        <w:t>14</w:t>
      </w:r>
      <w:r>
        <w:rPr>
          <w:rFonts w:asciiTheme="majorBidi" w:hAnsiTheme="majorBidi" w:cstheme="majorBidi"/>
          <w:sz w:val="24"/>
          <w:szCs w:val="24"/>
        </w:rPr>
        <w:fldChar w:fldCharType="end"/>
      </w:r>
      <w:r>
        <w:rPr>
          <w:rFonts w:asciiTheme="majorBidi" w:hAnsiTheme="majorBidi" w:cstheme="majorBidi"/>
          <w:sz w:val="24"/>
          <w:szCs w:val="24"/>
        </w:rPr>
        <w:fldChar w:fldCharType="end"/>
      </w:r>
    </w:p>
    <w:p>
      <w:pPr>
        <w:pStyle w:val="15"/>
        <w:tabs>
          <w:tab w:val="right" w:leader="dot" w:pos="9638"/>
        </w:tabs>
        <w:rPr>
          <w:rFonts w:asciiTheme="majorBidi" w:hAnsiTheme="majorBidi" w:cstheme="majorBidi"/>
          <w:sz w:val="24"/>
          <w:szCs w:val="24"/>
        </w:rPr>
      </w:pPr>
      <w:r>
        <w:fldChar w:fldCharType="begin"/>
      </w:r>
      <w:r>
        <w:instrText xml:space="preserve"> HYPERLINK \l "_Toc4650" </w:instrText>
      </w:r>
      <w:r>
        <w:fldChar w:fldCharType="separate"/>
      </w:r>
      <w:r>
        <w:rPr>
          <w:rFonts w:asciiTheme="majorBidi" w:hAnsiTheme="majorBidi" w:cstheme="majorBidi"/>
          <w:sz w:val="24"/>
          <w:szCs w:val="24"/>
        </w:rPr>
        <w:t>表五 验收监测质量保证及质量控制</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_Toc4650 \h </w:instrText>
      </w:r>
      <w:r>
        <w:rPr>
          <w:rFonts w:asciiTheme="majorBidi" w:hAnsiTheme="majorBidi" w:cstheme="majorBidi"/>
          <w:sz w:val="24"/>
          <w:szCs w:val="24"/>
        </w:rPr>
        <w:fldChar w:fldCharType="separate"/>
      </w:r>
      <w:r>
        <w:rPr>
          <w:rFonts w:asciiTheme="majorBidi" w:hAnsiTheme="majorBidi" w:cstheme="majorBidi"/>
          <w:sz w:val="24"/>
          <w:szCs w:val="24"/>
        </w:rPr>
        <w:t>18</w:t>
      </w:r>
      <w:r>
        <w:rPr>
          <w:rFonts w:asciiTheme="majorBidi" w:hAnsiTheme="majorBidi" w:cstheme="majorBidi"/>
          <w:sz w:val="24"/>
          <w:szCs w:val="24"/>
        </w:rPr>
        <w:fldChar w:fldCharType="end"/>
      </w:r>
      <w:r>
        <w:rPr>
          <w:rFonts w:asciiTheme="majorBidi" w:hAnsiTheme="majorBidi" w:cstheme="majorBidi"/>
          <w:sz w:val="24"/>
          <w:szCs w:val="24"/>
        </w:rPr>
        <w:fldChar w:fldCharType="end"/>
      </w:r>
    </w:p>
    <w:p>
      <w:pPr>
        <w:pStyle w:val="15"/>
        <w:tabs>
          <w:tab w:val="right" w:leader="dot" w:pos="9638"/>
        </w:tabs>
        <w:rPr>
          <w:rFonts w:asciiTheme="majorBidi" w:hAnsiTheme="majorBidi" w:cstheme="majorBidi"/>
          <w:sz w:val="24"/>
          <w:szCs w:val="24"/>
        </w:rPr>
      </w:pPr>
      <w:r>
        <w:fldChar w:fldCharType="begin"/>
      </w:r>
      <w:r>
        <w:instrText xml:space="preserve"> HYPERLINK \l "_Toc26719" </w:instrText>
      </w:r>
      <w:r>
        <w:fldChar w:fldCharType="separate"/>
      </w:r>
      <w:r>
        <w:rPr>
          <w:rFonts w:asciiTheme="majorBidi" w:hAnsiTheme="majorBidi" w:cstheme="majorBidi"/>
          <w:sz w:val="24"/>
          <w:szCs w:val="24"/>
        </w:rPr>
        <w:t>表六 验收监测内容</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_Toc26719 \h </w:instrText>
      </w:r>
      <w:r>
        <w:rPr>
          <w:rFonts w:asciiTheme="majorBidi" w:hAnsiTheme="majorBidi" w:cstheme="majorBidi"/>
          <w:sz w:val="24"/>
          <w:szCs w:val="24"/>
        </w:rPr>
        <w:fldChar w:fldCharType="separate"/>
      </w:r>
      <w:r>
        <w:rPr>
          <w:rFonts w:asciiTheme="majorBidi" w:hAnsiTheme="majorBidi" w:cstheme="majorBidi"/>
          <w:sz w:val="24"/>
          <w:szCs w:val="24"/>
        </w:rPr>
        <w:t>21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pPr>
        <w:pStyle w:val="15"/>
        <w:tabs>
          <w:tab w:val="right" w:leader="dot" w:pos="9638"/>
        </w:tabs>
        <w:rPr>
          <w:rFonts w:asciiTheme="majorBidi" w:hAnsiTheme="majorBidi" w:cstheme="majorBidi"/>
          <w:sz w:val="24"/>
          <w:szCs w:val="24"/>
        </w:rPr>
      </w:pPr>
      <w:r>
        <w:fldChar w:fldCharType="begin"/>
      </w:r>
      <w:r>
        <w:instrText xml:space="preserve"> HYPERLINK \l "_Toc2887" </w:instrText>
      </w:r>
      <w:r>
        <w:fldChar w:fldCharType="separate"/>
      </w:r>
      <w:r>
        <w:rPr>
          <w:rFonts w:asciiTheme="majorBidi" w:hAnsiTheme="majorBidi" w:cstheme="majorBidi"/>
          <w:sz w:val="24"/>
          <w:szCs w:val="24"/>
        </w:rPr>
        <w:t>表七 验收监测生产工况及监测结果</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_Toc2887 \h </w:instrText>
      </w:r>
      <w:r>
        <w:rPr>
          <w:rFonts w:asciiTheme="majorBidi" w:hAnsiTheme="majorBidi" w:cstheme="majorBidi"/>
          <w:sz w:val="24"/>
          <w:szCs w:val="24"/>
        </w:rPr>
        <w:fldChar w:fldCharType="separate"/>
      </w:r>
      <w:r>
        <w:rPr>
          <w:rFonts w:asciiTheme="majorBidi" w:hAnsiTheme="majorBidi" w:cstheme="majorBidi"/>
          <w:sz w:val="24"/>
          <w:szCs w:val="24"/>
        </w:rPr>
        <w:t>22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pPr>
        <w:pStyle w:val="15"/>
        <w:tabs>
          <w:tab w:val="right" w:leader="dot" w:pos="9638"/>
        </w:tabs>
        <w:rPr>
          <w:rFonts w:asciiTheme="majorBidi" w:hAnsiTheme="majorBidi" w:cstheme="majorBidi"/>
          <w:sz w:val="24"/>
          <w:szCs w:val="24"/>
        </w:rPr>
      </w:pPr>
      <w:r>
        <w:fldChar w:fldCharType="begin"/>
      </w:r>
      <w:r>
        <w:instrText xml:space="preserve"> HYPERLINK \l "_Toc21613" </w:instrText>
      </w:r>
      <w:r>
        <w:fldChar w:fldCharType="separate"/>
      </w:r>
      <w:r>
        <w:rPr>
          <w:rFonts w:asciiTheme="majorBidi" w:hAnsiTheme="majorBidi" w:cstheme="majorBidi"/>
          <w:sz w:val="24"/>
          <w:szCs w:val="24"/>
        </w:rPr>
        <w:t>表八 环保检查结果</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_Toc21613 \h </w:instrText>
      </w:r>
      <w:r>
        <w:rPr>
          <w:rFonts w:asciiTheme="majorBidi" w:hAnsiTheme="majorBidi" w:cstheme="majorBidi"/>
          <w:sz w:val="24"/>
          <w:szCs w:val="24"/>
        </w:rPr>
        <w:fldChar w:fldCharType="separate"/>
      </w:r>
      <w:r>
        <w:rPr>
          <w:rFonts w:asciiTheme="majorBidi" w:hAnsiTheme="majorBidi" w:cstheme="majorBidi"/>
          <w:sz w:val="24"/>
          <w:szCs w:val="24"/>
        </w:rPr>
        <w:t>25</w:t>
      </w:r>
      <w:r>
        <w:rPr>
          <w:rFonts w:asciiTheme="majorBidi" w:hAnsiTheme="majorBidi" w:cstheme="majorBidi"/>
          <w:sz w:val="24"/>
          <w:szCs w:val="24"/>
        </w:rPr>
        <w:fldChar w:fldCharType="end"/>
      </w:r>
      <w:r>
        <w:rPr>
          <w:rFonts w:asciiTheme="majorBidi" w:hAnsiTheme="majorBidi" w:cstheme="majorBidi"/>
          <w:sz w:val="24"/>
          <w:szCs w:val="24"/>
        </w:rPr>
        <w:fldChar w:fldCharType="end"/>
      </w:r>
    </w:p>
    <w:p>
      <w:pPr>
        <w:pStyle w:val="15"/>
        <w:tabs>
          <w:tab w:val="right" w:leader="dot" w:pos="9638"/>
        </w:tabs>
        <w:rPr>
          <w:rFonts w:asciiTheme="majorBidi" w:hAnsiTheme="majorBidi" w:cstheme="majorBidi"/>
          <w:sz w:val="24"/>
          <w:szCs w:val="24"/>
        </w:rPr>
      </w:pPr>
      <w:r>
        <w:fldChar w:fldCharType="begin"/>
      </w:r>
      <w:r>
        <w:instrText xml:space="preserve"> HYPERLINK \l "_Toc15376" </w:instrText>
      </w:r>
      <w:r>
        <w:fldChar w:fldCharType="separate"/>
      </w:r>
      <w:r>
        <w:rPr>
          <w:rFonts w:asciiTheme="majorBidi" w:hAnsiTheme="majorBidi" w:cstheme="majorBidi"/>
          <w:sz w:val="24"/>
          <w:szCs w:val="24"/>
        </w:rPr>
        <w:t>表九 验收监测结论及建议</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_Toc15376 \h </w:instrText>
      </w:r>
      <w:r>
        <w:rPr>
          <w:rFonts w:asciiTheme="majorBidi" w:hAnsiTheme="majorBidi" w:cstheme="majorBidi"/>
          <w:sz w:val="24"/>
          <w:szCs w:val="24"/>
        </w:rPr>
        <w:fldChar w:fldCharType="separate"/>
      </w:r>
      <w:r>
        <w:rPr>
          <w:rFonts w:asciiTheme="majorBidi" w:hAnsiTheme="majorBidi" w:cstheme="majorBidi"/>
          <w:sz w:val="24"/>
          <w:szCs w:val="24"/>
        </w:rPr>
        <w:t>28</w:t>
      </w:r>
      <w:r>
        <w:rPr>
          <w:rFonts w:asciiTheme="majorBidi" w:hAnsiTheme="majorBidi" w:cstheme="majorBidi"/>
          <w:sz w:val="24"/>
          <w:szCs w:val="24"/>
        </w:rPr>
        <w:fldChar w:fldCharType="end"/>
      </w:r>
      <w:r>
        <w:rPr>
          <w:rFonts w:asciiTheme="majorBidi" w:hAnsiTheme="majorBidi" w:cstheme="majorBidi"/>
          <w:sz w:val="24"/>
          <w:szCs w:val="24"/>
        </w:rPr>
        <w:fldChar w:fldCharType="end"/>
      </w:r>
    </w:p>
    <w:p>
      <w:pPr>
        <w:pStyle w:val="15"/>
        <w:tabs>
          <w:tab w:val="right" w:leader="dot" w:pos="9638"/>
        </w:tabs>
        <w:rPr>
          <w:rFonts w:asciiTheme="majorBidi" w:hAnsiTheme="majorBidi" w:cstheme="majorBidi"/>
          <w:sz w:val="24"/>
          <w:szCs w:val="24"/>
        </w:rPr>
      </w:pPr>
      <w:r>
        <w:fldChar w:fldCharType="begin"/>
      </w:r>
      <w:r>
        <w:instrText xml:space="preserve"> HYPERLINK \l "_Toc29144" </w:instrText>
      </w:r>
      <w:r>
        <w:fldChar w:fldCharType="separate"/>
      </w:r>
      <w:r>
        <w:rPr>
          <w:rFonts w:asciiTheme="majorBidi" w:hAnsiTheme="majorBidi" w:cstheme="majorBidi"/>
          <w:sz w:val="24"/>
          <w:szCs w:val="24"/>
        </w:rPr>
        <w:t>建设项目工程竣工环境保护“三同时”验收登记表</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_Toc29144 \h </w:instrText>
      </w:r>
      <w:r>
        <w:rPr>
          <w:rFonts w:asciiTheme="majorBidi" w:hAnsiTheme="majorBidi" w:cstheme="majorBidi"/>
          <w:sz w:val="24"/>
          <w:szCs w:val="24"/>
        </w:rPr>
        <w:fldChar w:fldCharType="separate"/>
      </w:r>
      <w:r>
        <w:rPr>
          <w:rFonts w:asciiTheme="majorBidi" w:hAnsiTheme="majorBidi" w:cstheme="majorBidi"/>
          <w:sz w:val="24"/>
          <w:szCs w:val="24"/>
        </w:rPr>
        <w:t>30</w:t>
      </w:r>
      <w:r>
        <w:rPr>
          <w:rFonts w:asciiTheme="majorBidi" w:hAnsiTheme="majorBidi" w:cstheme="majorBidi"/>
          <w:sz w:val="24"/>
          <w:szCs w:val="24"/>
        </w:rPr>
        <w:fldChar w:fldCharType="end"/>
      </w:r>
      <w:r>
        <w:rPr>
          <w:rFonts w:asciiTheme="majorBidi" w:hAnsiTheme="majorBidi" w:cstheme="majorBidi"/>
          <w:sz w:val="24"/>
          <w:szCs w:val="24"/>
        </w:rPr>
        <w:fldChar w:fldCharType="end"/>
      </w:r>
    </w:p>
    <w:p>
      <w:pPr>
        <w:pStyle w:val="2"/>
        <w:ind w:left="0" w:leftChars="0"/>
      </w:pPr>
      <w:r>
        <w:fldChar w:fldCharType="end"/>
      </w:r>
      <w:bookmarkStart w:id="0" w:name="_Toc521315274"/>
    </w:p>
    <w:tbl>
      <w:tblPr>
        <w:tblStyle w:val="25"/>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819"/>
        <w:gridCol w:w="481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819" w:type="dxa"/>
          </w:tcPr>
          <w:p>
            <w:pPr>
              <w:spacing w:line="360" w:lineRule="auto"/>
              <w:jc w:val="left"/>
              <w:rPr>
                <w:b/>
                <w:bCs/>
                <w:color w:val="000000"/>
                <w:sz w:val="24"/>
                <w:lang w:val="fr-FR"/>
              </w:rPr>
            </w:pPr>
            <w:r>
              <w:rPr>
                <w:b/>
                <w:bCs/>
                <w:color w:val="000000"/>
                <w:sz w:val="24"/>
                <w:lang w:val="fr-FR"/>
              </w:rPr>
              <w:t>附件</w:t>
            </w:r>
          </w:p>
          <w:p>
            <w:pPr>
              <w:spacing w:line="360" w:lineRule="auto"/>
              <w:jc w:val="left"/>
              <w:rPr>
                <w:bCs/>
                <w:sz w:val="24"/>
              </w:rPr>
            </w:pPr>
            <w:r>
              <w:rPr>
                <w:rFonts w:hint="eastAsia"/>
                <w:bCs/>
                <w:sz w:val="24"/>
              </w:rPr>
              <w:t>附件一：环评批复</w:t>
            </w:r>
          </w:p>
          <w:p>
            <w:pPr>
              <w:spacing w:line="360" w:lineRule="auto"/>
              <w:jc w:val="left"/>
              <w:rPr>
                <w:bCs/>
                <w:sz w:val="24"/>
              </w:rPr>
            </w:pPr>
            <w:r>
              <w:rPr>
                <w:rFonts w:hint="eastAsia"/>
                <w:bCs/>
                <w:sz w:val="24"/>
              </w:rPr>
              <w:t>附件二：环保验收委托书</w:t>
            </w:r>
          </w:p>
          <w:p>
            <w:pPr>
              <w:spacing w:line="360" w:lineRule="auto"/>
              <w:jc w:val="left"/>
              <w:rPr>
                <w:bCs/>
                <w:sz w:val="24"/>
              </w:rPr>
            </w:pPr>
            <w:r>
              <w:rPr>
                <w:rFonts w:hint="eastAsia"/>
                <w:bCs/>
                <w:sz w:val="24"/>
              </w:rPr>
              <w:t>附件三：生产负荷证明</w:t>
            </w:r>
          </w:p>
          <w:p>
            <w:pPr>
              <w:spacing w:line="360" w:lineRule="auto"/>
              <w:jc w:val="left"/>
              <w:rPr>
                <w:bCs/>
                <w:sz w:val="24"/>
              </w:rPr>
            </w:pPr>
            <w:r>
              <w:rPr>
                <w:rFonts w:hint="eastAsia"/>
                <w:bCs/>
                <w:sz w:val="24"/>
              </w:rPr>
              <w:t>附件四：工作时间证明</w:t>
            </w:r>
          </w:p>
          <w:p>
            <w:pPr>
              <w:pStyle w:val="2"/>
              <w:spacing w:after="0" w:line="360" w:lineRule="auto"/>
              <w:ind w:left="0" w:leftChars="0"/>
              <w:rPr>
                <w:bCs/>
                <w:sz w:val="24"/>
              </w:rPr>
            </w:pPr>
            <w:r>
              <w:rPr>
                <w:rFonts w:hint="eastAsia"/>
                <w:sz w:val="24"/>
              </w:rPr>
              <w:t>附件五：</w:t>
            </w:r>
            <w:r>
              <w:rPr>
                <w:rFonts w:hint="eastAsia"/>
                <w:bCs/>
                <w:sz w:val="24"/>
              </w:rPr>
              <w:t>危险废物（液）处理处置合同</w:t>
            </w:r>
          </w:p>
          <w:p>
            <w:pPr>
              <w:pStyle w:val="2"/>
              <w:spacing w:after="0" w:line="360" w:lineRule="auto"/>
              <w:ind w:left="0" w:leftChars="0"/>
              <w:jc w:val="left"/>
              <w:rPr>
                <w:rFonts w:hint="eastAsia" w:eastAsia="宋体"/>
                <w:strike/>
                <w:dstrike w:val="0"/>
                <w:sz w:val="24"/>
                <w:highlight w:val="yellow"/>
                <w:lang w:eastAsia="zh-CN"/>
              </w:rPr>
            </w:pPr>
            <w:r>
              <w:rPr>
                <w:rFonts w:hint="eastAsia"/>
                <w:sz w:val="24"/>
                <w:lang w:eastAsia="zh-CN"/>
              </w:rPr>
              <w:t>附件六：危废处置单位营业执照及资质</w:t>
            </w:r>
          </w:p>
          <w:p>
            <w:pPr>
              <w:pStyle w:val="2"/>
              <w:spacing w:after="0" w:line="360" w:lineRule="auto"/>
              <w:ind w:left="0" w:leftChars="0"/>
              <w:jc w:val="left"/>
              <w:rPr>
                <w:rFonts w:hint="eastAsia"/>
                <w:sz w:val="24"/>
              </w:rPr>
            </w:pPr>
            <w:r>
              <w:rPr>
                <w:rFonts w:hint="eastAsia"/>
                <w:sz w:val="24"/>
                <w:lang w:val="en-US" w:eastAsia="zh-CN"/>
              </w:rPr>
              <w:t>附件七：消防应急预案</w:t>
            </w:r>
            <w:r>
              <w:rPr>
                <w:rFonts w:hint="eastAsia"/>
                <w:sz w:val="24"/>
                <w:highlight w:val="none"/>
                <w:lang w:val="en-US" w:eastAsia="zh-CN"/>
              </w:rPr>
              <w:t>备案</w:t>
            </w:r>
            <w:r>
              <w:rPr>
                <w:rFonts w:hint="eastAsia"/>
                <w:sz w:val="24"/>
                <w:lang w:val="en-US" w:eastAsia="zh-CN"/>
              </w:rPr>
              <w:t>登记表</w:t>
            </w:r>
          </w:p>
          <w:p>
            <w:pPr>
              <w:pStyle w:val="2"/>
              <w:spacing w:after="0" w:line="360" w:lineRule="auto"/>
              <w:ind w:left="0" w:leftChars="0"/>
              <w:jc w:val="left"/>
              <w:rPr>
                <w:rFonts w:hint="eastAsia"/>
                <w:sz w:val="24"/>
              </w:rPr>
            </w:pPr>
            <w:r>
              <w:rPr>
                <w:rFonts w:hint="eastAsia"/>
                <w:sz w:val="24"/>
              </w:rPr>
              <w:t>附件</w:t>
            </w:r>
            <w:r>
              <w:rPr>
                <w:rFonts w:hint="eastAsia"/>
                <w:sz w:val="24"/>
                <w:lang w:eastAsia="zh-CN"/>
              </w:rPr>
              <w:t>八</w:t>
            </w:r>
            <w:r>
              <w:rPr>
                <w:rFonts w:hint="eastAsia"/>
                <w:sz w:val="24"/>
              </w:rPr>
              <w:t>：验收监测报告</w:t>
            </w:r>
          </w:p>
          <w:p>
            <w:pPr>
              <w:pStyle w:val="2"/>
              <w:spacing w:after="0" w:line="360" w:lineRule="auto"/>
              <w:ind w:left="0" w:leftChars="0"/>
              <w:jc w:val="left"/>
              <w:rPr>
                <w:rFonts w:hint="eastAsia" w:eastAsia="宋体"/>
                <w:sz w:val="24"/>
                <w:lang w:eastAsia="zh-CN"/>
              </w:rPr>
            </w:pPr>
            <w:r>
              <w:rPr>
                <w:rFonts w:hint="eastAsia"/>
                <w:sz w:val="24"/>
                <w:lang w:eastAsia="zh-CN"/>
              </w:rPr>
              <w:t>附件九：验收意见</w:t>
            </w:r>
          </w:p>
          <w:p>
            <w:pPr>
              <w:pStyle w:val="2"/>
              <w:spacing w:after="0" w:line="360" w:lineRule="auto"/>
              <w:ind w:left="0" w:leftChars="0"/>
              <w:rPr>
                <w:sz w:val="24"/>
              </w:rPr>
            </w:pPr>
          </w:p>
        </w:tc>
        <w:tc>
          <w:tcPr>
            <w:tcW w:w="4819" w:type="dxa"/>
          </w:tcPr>
          <w:p>
            <w:pPr>
              <w:spacing w:line="360" w:lineRule="auto"/>
              <w:jc w:val="left"/>
              <w:rPr>
                <w:b/>
                <w:bCs/>
                <w:color w:val="000000"/>
                <w:sz w:val="24"/>
                <w:lang w:val="fr-FR"/>
              </w:rPr>
            </w:pPr>
            <w:r>
              <w:rPr>
                <w:b/>
                <w:bCs/>
                <w:color w:val="000000"/>
                <w:sz w:val="24"/>
                <w:lang w:val="fr-FR"/>
              </w:rPr>
              <w:t>附</w:t>
            </w:r>
            <w:r>
              <w:rPr>
                <w:rFonts w:hint="eastAsia"/>
                <w:b/>
                <w:bCs/>
                <w:color w:val="000000"/>
                <w:sz w:val="24"/>
                <w:lang w:val="fr-FR"/>
              </w:rPr>
              <w:t>图</w:t>
            </w:r>
          </w:p>
          <w:p>
            <w:pPr>
              <w:widowControl/>
              <w:spacing w:line="360" w:lineRule="auto"/>
              <w:jc w:val="both"/>
              <w:rPr>
                <w:bCs/>
                <w:color w:val="000000"/>
                <w:sz w:val="24"/>
              </w:rPr>
            </w:pPr>
            <w:r>
              <w:rPr>
                <w:bCs/>
                <w:color w:val="000000"/>
                <w:sz w:val="24"/>
              </w:rPr>
              <w:t>附</w:t>
            </w:r>
            <w:r>
              <w:rPr>
                <w:rFonts w:hint="eastAsia"/>
                <w:bCs/>
                <w:color w:val="000000"/>
                <w:sz w:val="24"/>
              </w:rPr>
              <w:t>图</w:t>
            </w:r>
            <w:r>
              <w:rPr>
                <w:bCs/>
                <w:color w:val="000000"/>
                <w:sz w:val="24"/>
              </w:rPr>
              <w:t>一：</w:t>
            </w:r>
            <w:r>
              <w:rPr>
                <w:rFonts w:hint="eastAsia"/>
                <w:bCs/>
                <w:color w:val="000000"/>
                <w:sz w:val="24"/>
              </w:rPr>
              <w:t>现场采样照片</w:t>
            </w:r>
          </w:p>
          <w:p>
            <w:pPr>
              <w:widowControl/>
              <w:spacing w:line="360" w:lineRule="auto"/>
              <w:jc w:val="both"/>
              <w:rPr>
                <w:sz w:val="24"/>
              </w:rPr>
            </w:pPr>
            <w:r>
              <w:rPr>
                <w:rFonts w:hint="eastAsia"/>
                <w:sz w:val="24"/>
              </w:rPr>
              <w:t>附图二：现场照片</w:t>
            </w:r>
          </w:p>
          <w:p>
            <w:pPr>
              <w:widowControl/>
              <w:spacing w:line="360" w:lineRule="auto"/>
              <w:jc w:val="both"/>
              <w:rPr>
                <w:rFonts w:hint="eastAsia"/>
                <w:color w:val="000000"/>
                <w:sz w:val="24"/>
              </w:rPr>
            </w:pPr>
            <w:r>
              <w:rPr>
                <w:rFonts w:hint="eastAsia"/>
                <w:color w:val="000000"/>
                <w:sz w:val="24"/>
              </w:rPr>
              <w:t>附图三：平面布置及监测点位图</w:t>
            </w:r>
          </w:p>
          <w:p>
            <w:pPr>
              <w:pStyle w:val="2"/>
              <w:spacing w:line="360" w:lineRule="auto"/>
              <w:ind w:left="0" w:leftChars="0" w:firstLine="0" w:firstLineChars="0"/>
              <w:jc w:val="both"/>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附图四：项目环境保护目标分布图</w:t>
            </w:r>
          </w:p>
          <w:p>
            <w:pPr>
              <w:widowControl/>
              <w:spacing w:line="360" w:lineRule="auto"/>
              <w:jc w:val="both"/>
              <w:rPr>
                <w:color w:val="000000"/>
                <w:sz w:val="24"/>
              </w:rPr>
            </w:pPr>
            <w:r>
              <w:rPr>
                <w:rFonts w:hint="eastAsia"/>
                <w:color w:val="000000"/>
                <w:sz w:val="24"/>
              </w:rPr>
              <w:t>附图</w:t>
            </w:r>
            <w:r>
              <w:rPr>
                <w:rFonts w:hint="eastAsia"/>
                <w:color w:val="000000"/>
                <w:sz w:val="24"/>
                <w:lang w:eastAsia="zh-CN"/>
              </w:rPr>
              <w:t>五</w:t>
            </w:r>
            <w:r>
              <w:rPr>
                <w:rFonts w:hint="eastAsia"/>
                <w:color w:val="000000"/>
                <w:sz w:val="24"/>
              </w:rPr>
              <w:t>：项目所在</w:t>
            </w:r>
            <w:r>
              <w:rPr>
                <w:rFonts w:hint="eastAsia"/>
                <w:color w:val="000000"/>
                <w:sz w:val="24"/>
                <w:highlight w:val="none"/>
                <w:lang w:eastAsia="zh-CN"/>
              </w:rPr>
              <w:t>地</w:t>
            </w:r>
            <w:r>
              <w:rPr>
                <w:rFonts w:hint="eastAsia"/>
                <w:color w:val="000000"/>
                <w:sz w:val="24"/>
              </w:rPr>
              <w:t>地理位置图</w:t>
            </w:r>
          </w:p>
          <w:p>
            <w:pPr>
              <w:pStyle w:val="2"/>
              <w:spacing w:after="0" w:line="360" w:lineRule="auto"/>
              <w:ind w:left="0" w:leftChars="0"/>
              <w:rPr>
                <w:sz w:val="24"/>
              </w:rPr>
            </w:pPr>
            <w:bookmarkStart w:id="46" w:name="_GoBack"/>
            <w:bookmarkEnd w:id="46"/>
          </w:p>
        </w:tc>
      </w:tr>
    </w:tbl>
    <w:p>
      <w:pPr>
        <w:spacing w:before="240" w:beforeLines="100" w:line="360" w:lineRule="auto"/>
        <w:jc w:val="left"/>
        <w:rPr>
          <w:rFonts w:asciiTheme="majorBidi" w:hAnsiTheme="majorBidi" w:eastAsiaTheme="minorEastAsia" w:cstheme="majorBidi"/>
          <w:sz w:val="28"/>
          <w:szCs w:val="28"/>
        </w:rPr>
      </w:pPr>
    </w:p>
    <w:bookmarkEnd w:id="0"/>
    <w:p>
      <w:pPr>
        <w:pStyle w:val="21"/>
        <w:spacing w:after="120"/>
        <w:rPr>
          <w:rFonts w:hAnsi="宋体"/>
        </w:rPr>
        <w:sectPr>
          <w:footerReference r:id="rId6" w:type="default"/>
          <w:pgSz w:w="11906" w:h="16838"/>
          <w:pgMar w:top="851" w:right="1134" w:bottom="992" w:left="1134" w:header="851" w:footer="992" w:gutter="0"/>
          <w:pgBorders>
            <w:top w:val="none" w:sz="0" w:space="0"/>
            <w:left w:val="none" w:sz="0" w:space="0"/>
            <w:bottom w:val="none" w:sz="0" w:space="0"/>
            <w:right w:val="none" w:sz="0" w:space="0"/>
          </w:pgBorders>
          <w:pgNumType w:start="1"/>
          <w:cols w:space="720" w:num="1"/>
          <w:docGrid w:linePitch="312" w:charSpace="0"/>
        </w:sectPr>
      </w:pPr>
      <w:bookmarkStart w:id="1" w:name="_Toc10169"/>
      <w:bookmarkStart w:id="2" w:name="_Toc52180558"/>
      <w:bookmarkStart w:id="3" w:name="_Toc5662"/>
    </w:p>
    <w:p>
      <w:pPr>
        <w:pStyle w:val="21"/>
        <w:spacing w:after="120"/>
      </w:pPr>
      <w:r>
        <w:rPr>
          <w:rFonts w:hAnsi="宋体"/>
        </w:rPr>
        <w:t>前</w:t>
      </w:r>
      <w:r>
        <w:t xml:space="preserve">   </w:t>
      </w:r>
      <w:r>
        <w:rPr>
          <w:rFonts w:hAnsi="宋体"/>
        </w:rPr>
        <w:t>言</w:t>
      </w:r>
      <w:bookmarkEnd w:id="1"/>
      <w:bookmarkEnd w:id="2"/>
      <w:bookmarkEnd w:id="3"/>
    </w:p>
    <w:p>
      <w:pPr>
        <w:spacing w:line="360" w:lineRule="auto"/>
        <w:ind w:firstLine="480" w:firstLineChars="200"/>
        <w:jc w:val="left"/>
        <w:rPr>
          <w:rFonts w:hint="eastAsia"/>
          <w:sz w:val="24"/>
        </w:rPr>
      </w:pPr>
      <w:bookmarkStart w:id="4" w:name="_Toc471289558"/>
      <w:r>
        <w:rPr>
          <w:rFonts w:hint="eastAsia"/>
          <w:bCs/>
          <w:color w:val="000000" w:themeColor="text1"/>
          <w:kern w:val="0"/>
          <w:sz w:val="24"/>
          <w14:textFill>
            <w14:solidFill>
              <w14:schemeClr w14:val="tx1"/>
            </w14:solidFill>
          </w14:textFill>
        </w:rPr>
        <w:t>中国石化销售股份有限公司江西抚州资溪石油分公司茶博城加油站建设项目</w:t>
      </w:r>
      <w:r>
        <w:rPr>
          <w:bCs/>
          <w:color w:val="000000" w:themeColor="text1"/>
          <w:kern w:val="0"/>
          <w:sz w:val="24"/>
          <w14:textFill>
            <w14:solidFill>
              <w14:schemeClr w14:val="tx1"/>
            </w14:solidFill>
          </w14:textFill>
        </w:rPr>
        <w:t>位于</w:t>
      </w:r>
      <w:r>
        <w:rPr>
          <w:rFonts w:hint="eastAsia"/>
          <w:bCs/>
          <w:color w:val="000000" w:themeColor="text1"/>
          <w:kern w:val="0"/>
          <w:sz w:val="24"/>
          <w14:textFill>
            <w14:solidFill>
              <w14:schemeClr w14:val="tx1"/>
            </w14:solidFill>
          </w14:textFill>
        </w:rPr>
        <w:t>江西省抚州市资溪</w:t>
      </w:r>
      <w:r>
        <w:rPr>
          <w:bCs/>
          <w:color w:val="000000" w:themeColor="text1"/>
          <w:kern w:val="0"/>
          <w:sz w:val="24"/>
          <w14:textFill>
            <w14:solidFill>
              <w14:schemeClr w14:val="tx1"/>
            </w14:solidFill>
          </w14:textFill>
        </w:rPr>
        <w:t>县鹤城镇沙苑村新</w:t>
      </w:r>
      <w:r>
        <w:rPr>
          <w:rFonts w:hint="eastAsia"/>
          <w:bCs/>
          <w:color w:val="000000" w:themeColor="text1"/>
          <w:kern w:val="0"/>
          <w:sz w:val="24"/>
          <w14:textFill>
            <w14:solidFill>
              <w14:schemeClr w14:val="tx1"/>
            </w14:solidFill>
          </w14:textFill>
        </w:rPr>
        <w:t>316国道</w:t>
      </w:r>
      <w:r>
        <w:rPr>
          <w:bCs/>
          <w:color w:val="000000" w:themeColor="text1"/>
          <w:kern w:val="0"/>
          <w:sz w:val="24"/>
          <w14:textFill>
            <w14:solidFill>
              <w14:schemeClr w14:val="tx1"/>
            </w14:solidFill>
          </w14:textFill>
        </w:rPr>
        <w:t>东侧（</w:t>
      </w:r>
      <w:r>
        <w:rPr>
          <w:rFonts w:hint="eastAsia"/>
          <w:bCs/>
          <w:color w:val="000000" w:themeColor="text1"/>
          <w:kern w:val="0"/>
          <w:sz w:val="24"/>
          <w14:textFill>
            <w14:solidFill>
              <w14:schemeClr w14:val="tx1"/>
            </w14:solidFill>
          </w14:textFill>
        </w:rPr>
        <w:t>茶博城</w:t>
      </w:r>
      <w:r>
        <w:rPr>
          <w:bCs/>
          <w:color w:val="000000" w:themeColor="text1"/>
          <w:kern w:val="0"/>
          <w:sz w:val="24"/>
          <w14:textFill>
            <w14:solidFill>
              <w14:schemeClr w14:val="tx1"/>
            </w14:solidFill>
          </w14:textFill>
        </w:rPr>
        <w:t>对</w:t>
      </w:r>
      <w:r>
        <w:rPr>
          <w:rFonts w:hint="eastAsia"/>
          <w:bCs/>
          <w:color w:val="000000" w:themeColor="text1"/>
          <w:kern w:val="0"/>
          <w:sz w:val="24"/>
          <w14:textFill>
            <w14:solidFill>
              <w14:schemeClr w14:val="tx1"/>
            </w14:solidFill>
          </w14:textFill>
        </w:rPr>
        <w:t>面</w:t>
      </w:r>
      <w:r>
        <w:rPr>
          <w:bCs/>
          <w:color w:val="000000" w:themeColor="text1"/>
          <w:kern w:val="0"/>
          <w:sz w:val="24"/>
          <w14:textFill>
            <w14:solidFill>
              <w14:schemeClr w14:val="tx1"/>
            </w14:solidFill>
          </w14:textFill>
        </w:rPr>
        <w:t>），地理坐标为东经</w:t>
      </w:r>
      <w:r>
        <w:rPr>
          <w:rFonts w:hint="eastAsia"/>
          <w:bCs/>
          <w:color w:val="000000" w:themeColor="text1"/>
          <w:kern w:val="0"/>
          <w:sz w:val="24"/>
          <w14:textFill>
            <w14:solidFill>
              <w14:schemeClr w14:val="tx1"/>
            </w14:solidFill>
          </w14:textFill>
        </w:rPr>
        <w:t>11</w:t>
      </w:r>
      <w:r>
        <w:rPr>
          <w:bCs/>
          <w:color w:val="000000" w:themeColor="text1"/>
          <w:kern w:val="0"/>
          <w:sz w:val="24"/>
          <w14:textFill>
            <w14:solidFill>
              <w14:schemeClr w14:val="tx1"/>
            </w14:solidFill>
          </w14:textFill>
        </w:rPr>
        <w:t>7</w:t>
      </w:r>
      <w:r>
        <w:rPr>
          <w:rFonts w:hint="eastAsia"/>
          <w:bCs/>
          <w:color w:val="000000" w:themeColor="text1"/>
          <w:kern w:val="0"/>
          <w:sz w:val="24"/>
          <w14:textFill>
            <w14:solidFill>
              <w14:schemeClr w14:val="tx1"/>
            </w14:solidFill>
          </w14:textFill>
        </w:rPr>
        <w:t>°5′19.52″，</w:t>
      </w:r>
      <w:r>
        <w:rPr>
          <w:bCs/>
          <w:color w:val="000000" w:themeColor="text1"/>
          <w:kern w:val="0"/>
          <w:sz w:val="24"/>
          <w14:textFill>
            <w14:solidFill>
              <w14:schemeClr w14:val="tx1"/>
            </w14:solidFill>
          </w14:textFill>
        </w:rPr>
        <w:t>北纬</w:t>
      </w:r>
      <w:r>
        <w:rPr>
          <w:rFonts w:hint="eastAsia"/>
          <w:bCs/>
          <w:color w:val="000000" w:themeColor="text1"/>
          <w:kern w:val="0"/>
          <w:sz w:val="24"/>
          <w14:textFill>
            <w14:solidFill>
              <w14:schemeClr w14:val="tx1"/>
            </w14:solidFill>
          </w14:textFill>
        </w:rPr>
        <w:t>2</w:t>
      </w:r>
      <w:r>
        <w:rPr>
          <w:bCs/>
          <w:color w:val="000000" w:themeColor="text1"/>
          <w:kern w:val="0"/>
          <w:sz w:val="24"/>
          <w14:textFill>
            <w14:solidFill>
              <w14:schemeClr w14:val="tx1"/>
            </w14:solidFill>
          </w14:textFill>
        </w:rPr>
        <w:t>7</w:t>
      </w:r>
      <w:r>
        <w:rPr>
          <w:rFonts w:hint="eastAsia"/>
          <w:bCs/>
          <w:color w:val="000000" w:themeColor="text1"/>
          <w:kern w:val="0"/>
          <w:sz w:val="24"/>
          <w14:textFill>
            <w14:solidFill>
              <w14:schemeClr w14:val="tx1"/>
            </w14:solidFill>
          </w14:textFill>
        </w:rPr>
        <w:t>°4</w:t>
      </w:r>
      <w:r>
        <w:rPr>
          <w:bCs/>
          <w:color w:val="000000" w:themeColor="text1"/>
          <w:kern w:val="0"/>
          <w:sz w:val="24"/>
          <w14:textFill>
            <w14:solidFill>
              <w14:schemeClr w14:val="tx1"/>
            </w14:solidFill>
          </w14:textFill>
        </w:rPr>
        <w:t>3</w:t>
      </w:r>
      <w:r>
        <w:rPr>
          <w:rFonts w:hint="eastAsia"/>
          <w:bCs/>
          <w:color w:val="000000" w:themeColor="text1"/>
          <w:kern w:val="0"/>
          <w:sz w:val="24"/>
          <w14:textFill>
            <w14:solidFill>
              <w14:schemeClr w14:val="tx1"/>
            </w14:solidFill>
          </w14:textFill>
        </w:rPr>
        <w:t>′</w:t>
      </w:r>
      <w:r>
        <w:rPr>
          <w:bCs/>
          <w:color w:val="000000" w:themeColor="text1"/>
          <w:kern w:val="0"/>
          <w:sz w:val="24"/>
          <w14:textFill>
            <w14:solidFill>
              <w14:schemeClr w14:val="tx1"/>
            </w14:solidFill>
          </w14:textFill>
        </w:rPr>
        <w:t>23.57</w:t>
      </w:r>
      <w:r>
        <w:rPr>
          <w:rFonts w:hint="eastAsia"/>
          <w:bCs/>
          <w:color w:val="000000" w:themeColor="text1"/>
          <w:kern w:val="0"/>
          <w:sz w:val="24"/>
          <w14:textFill>
            <w14:solidFill>
              <w14:schemeClr w14:val="tx1"/>
            </w14:solidFill>
          </w14:textFill>
        </w:rPr>
        <w:t>″</w:t>
      </w:r>
      <w:r>
        <w:rPr>
          <w:bCs/>
          <w:color w:val="000000" w:themeColor="text1"/>
          <w:kern w:val="0"/>
          <w:sz w:val="24"/>
          <w14:textFill>
            <w14:solidFill>
              <w14:schemeClr w14:val="tx1"/>
            </w14:solidFill>
          </w14:textFill>
        </w:rPr>
        <w:t>，</w:t>
      </w:r>
      <w:r>
        <w:rPr>
          <w:rFonts w:hint="eastAsia"/>
          <w:bCs/>
          <w:color w:val="000000" w:themeColor="text1"/>
          <w:kern w:val="0"/>
          <w:sz w:val="24"/>
          <w14:textFill>
            <w14:solidFill>
              <w14:schemeClr w14:val="tx1"/>
            </w14:solidFill>
          </w14:textFill>
        </w:rPr>
        <w:t>项目总投资</w:t>
      </w:r>
      <w:r>
        <w:rPr>
          <w:rFonts w:hint="eastAsia"/>
          <w:bCs/>
          <w:color w:val="000000" w:themeColor="text1"/>
          <w:kern w:val="0"/>
          <w:sz w:val="24"/>
          <w:lang w:val="en-US" w:eastAsia="zh-CN"/>
          <w14:textFill>
            <w14:solidFill>
              <w14:schemeClr w14:val="tx1"/>
            </w14:solidFill>
          </w14:textFill>
        </w:rPr>
        <w:t>534</w:t>
      </w:r>
      <w:r>
        <w:rPr>
          <w:rFonts w:hint="eastAsia"/>
          <w:bCs/>
          <w:color w:val="000000" w:themeColor="text1"/>
          <w:kern w:val="0"/>
          <w:sz w:val="24"/>
          <w14:textFill>
            <w14:solidFill>
              <w14:schemeClr w14:val="tx1"/>
            </w14:solidFill>
          </w14:textFill>
        </w:rPr>
        <w:t>万元</w:t>
      </w:r>
      <w:r>
        <w:rPr>
          <w:bCs/>
          <w:color w:val="000000" w:themeColor="text1"/>
          <w:kern w:val="0"/>
          <w:sz w:val="24"/>
          <w14:textFill>
            <w14:solidFill>
              <w14:schemeClr w14:val="tx1"/>
            </w14:solidFill>
          </w14:textFill>
        </w:rPr>
        <w:t>，</w:t>
      </w:r>
      <w:r>
        <w:rPr>
          <w:rFonts w:hint="eastAsia"/>
          <w:bCs/>
          <w:color w:val="000000" w:themeColor="text1"/>
          <w:kern w:val="0"/>
          <w:sz w:val="24"/>
          <w:lang w:eastAsia="zh-CN"/>
          <w14:textFill>
            <w14:solidFill>
              <w14:schemeClr w14:val="tx1"/>
            </w14:solidFill>
          </w14:textFill>
        </w:rPr>
        <w:t>其中环保投资</w:t>
      </w:r>
      <w:r>
        <w:rPr>
          <w:rFonts w:hint="eastAsia"/>
          <w:bCs/>
          <w:color w:val="000000" w:themeColor="text1"/>
          <w:kern w:val="0"/>
          <w:sz w:val="24"/>
          <w:lang w:val="en-US" w:eastAsia="zh-CN"/>
          <w14:textFill>
            <w14:solidFill>
              <w14:schemeClr w14:val="tx1"/>
            </w14:solidFill>
          </w14:textFill>
        </w:rPr>
        <w:t>41万元，占总投资的7.68%。</w:t>
      </w:r>
      <w:r>
        <w:rPr>
          <w:rFonts w:hint="eastAsia"/>
          <w:sz w:val="24"/>
          <w:szCs w:val="24"/>
        </w:rPr>
        <w:t>茶博城加油站占地面积</w:t>
      </w:r>
      <w:r>
        <w:rPr>
          <w:sz w:val="24"/>
          <w:szCs w:val="24"/>
        </w:rPr>
        <w:t>1644.3</w:t>
      </w:r>
      <w:r>
        <w:rPr>
          <w:rFonts w:hint="eastAsia"/>
          <w:sz w:val="24"/>
          <w:szCs w:val="24"/>
        </w:rPr>
        <w:t>m</w:t>
      </w:r>
      <w:r>
        <w:rPr>
          <w:rFonts w:hint="eastAsia"/>
          <w:sz w:val="24"/>
          <w:szCs w:val="24"/>
          <w:vertAlign w:val="superscript"/>
        </w:rPr>
        <w:t>2</w:t>
      </w:r>
      <w:r>
        <w:rPr>
          <w:rFonts w:hint="eastAsia"/>
          <w:sz w:val="24"/>
          <w:szCs w:val="24"/>
        </w:rPr>
        <w:t>，包括主体工程、辅助工程和环保工程。主体工程包括加油区和油罐区，加油区建筑面积为</w:t>
      </w:r>
      <w:r>
        <w:rPr>
          <w:sz w:val="24"/>
          <w:szCs w:val="24"/>
        </w:rPr>
        <w:t>246.57</w:t>
      </w:r>
      <w:r>
        <w:rPr>
          <w:rFonts w:hint="eastAsia"/>
          <w:sz w:val="24"/>
          <w:szCs w:val="24"/>
        </w:rPr>
        <w:t>m</w:t>
      </w:r>
      <w:r>
        <w:rPr>
          <w:rFonts w:hint="eastAsia"/>
          <w:sz w:val="24"/>
          <w:szCs w:val="24"/>
          <w:vertAlign w:val="superscript"/>
        </w:rPr>
        <w:t>2</w:t>
      </w:r>
      <w:r>
        <w:rPr>
          <w:rFonts w:hint="eastAsia"/>
          <w:sz w:val="24"/>
          <w:szCs w:val="24"/>
        </w:rPr>
        <w:t>，油罐区占地面积</w:t>
      </w:r>
      <w:r>
        <w:rPr>
          <w:sz w:val="24"/>
          <w:szCs w:val="24"/>
        </w:rPr>
        <w:t>为</w:t>
      </w:r>
      <w:r>
        <w:rPr>
          <w:rFonts w:hint="eastAsia"/>
          <w:sz w:val="24"/>
          <w:szCs w:val="24"/>
        </w:rPr>
        <w:t>100m</w:t>
      </w:r>
      <w:r>
        <w:rPr>
          <w:sz w:val="24"/>
          <w:szCs w:val="24"/>
          <w:vertAlign w:val="superscript"/>
        </w:rPr>
        <w:t>2</w:t>
      </w:r>
      <w:r>
        <w:rPr>
          <w:rFonts w:hint="eastAsia"/>
          <w:sz w:val="24"/>
          <w:szCs w:val="24"/>
        </w:rPr>
        <w:t>；辅助工程包括站房（一层框架结构、便利店、办公区</w:t>
      </w:r>
      <w:r>
        <w:rPr>
          <w:sz w:val="24"/>
          <w:szCs w:val="24"/>
        </w:rPr>
        <w:t>等</w:t>
      </w:r>
      <w:r>
        <w:rPr>
          <w:rFonts w:hint="eastAsia"/>
          <w:sz w:val="24"/>
          <w:szCs w:val="24"/>
        </w:rPr>
        <w:t>），总建筑面积为</w:t>
      </w:r>
      <w:r>
        <w:rPr>
          <w:sz w:val="24"/>
          <w:szCs w:val="24"/>
        </w:rPr>
        <w:t>161.28</w:t>
      </w:r>
      <w:r>
        <w:rPr>
          <w:rFonts w:hint="eastAsia"/>
          <w:sz w:val="24"/>
          <w:szCs w:val="24"/>
        </w:rPr>
        <w:t>m</w:t>
      </w:r>
      <w:r>
        <w:rPr>
          <w:rFonts w:hint="eastAsia"/>
          <w:sz w:val="24"/>
          <w:szCs w:val="24"/>
          <w:vertAlign w:val="superscript"/>
        </w:rPr>
        <w:t>2</w:t>
      </w:r>
      <w:r>
        <w:rPr>
          <w:rFonts w:hint="eastAsia"/>
          <w:sz w:val="24"/>
          <w:szCs w:val="24"/>
        </w:rPr>
        <w:t>；环保工程包括化粪池（</w:t>
      </w:r>
      <w:r>
        <w:rPr>
          <w:sz w:val="24"/>
          <w:szCs w:val="24"/>
        </w:rPr>
        <w:t>7.5</w:t>
      </w:r>
      <w:r>
        <w:rPr>
          <w:rFonts w:hint="eastAsia"/>
          <w:sz w:val="24"/>
          <w:szCs w:val="24"/>
        </w:rPr>
        <w:t>m</w:t>
      </w:r>
      <w:r>
        <w:rPr>
          <w:rFonts w:hint="eastAsia"/>
          <w:sz w:val="24"/>
          <w:szCs w:val="24"/>
          <w:vertAlign w:val="superscript"/>
        </w:rPr>
        <w:t>3</w:t>
      </w:r>
      <w:r>
        <w:rPr>
          <w:rFonts w:hint="eastAsia"/>
          <w:sz w:val="24"/>
          <w:szCs w:val="24"/>
        </w:rPr>
        <w:t>）、隔油沉淀池（</w:t>
      </w:r>
      <w:r>
        <w:rPr>
          <w:sz w:val="24"/>
          <w:szCs w:val="24"/>
        </w:rPr>
        <w:t>12</w:t>
      </w:r>
      <w:r>
        <w:rPr>
          <w:rFonts w:hint="eastAsia"/>
          <w:sz w:val="24"/>
          <w:szCs w:val="24"/>
        </w:rPr>
        <w:t>m</w:t>
      </w:r>
      <w:r>
        <w:rPr>
          <w:rFonts w:hint="eastAsia"/>
          <w:sz w:val="24"/>
          <w:szCs w:val="24"/>
          <w:vertAlign w:val="superscript"/>
        </w:rPr>
        <w:t>3</w:t>
      </w:r>
      <w:r>
        <w:rPr>
          <w:rFonts w:hint="eastAsia"/>
          <w:sz w:val="24"/>
          <w:szCs w:val="24"/>
        </w:rPr>
        <w:t>）、油气回收装置。</w:t>
      </w:r>
      <w:r>
        <w:rPr>
          <w:sz w:val="24"/>
        </w:rPr>
        <w:t>加油站共设置4</w:t>
      </w:r>
      <w:r>
        <w:rPr>
          <w:rFonts w:hint="eastAsia"/>
          <w:sz w:val="24"/>
        </w:rPr>
        <w:t>台油罐，包括</w:t>
      </w:r>
      <w:r>
        <w:rPr>
          <w:sz w:val="24"/>
        </w:rPr>
        <w:t>1</w:t>
      </w:r>
      <w:r>
        <w:rPr>
          <w:rFonts w:hint="eastAsia"/>
          <w:sz w:val="24"/>
        </w:rPr>
        <w:t>台30m</w:t>
      </w:r>
      <w:r>
        <w:rPr>
          <w:rFonts w:hint="eastAsia"/>
          <w:sz w:val="24"/>
          <w:vertAlign w:val="superscript"/>
        </w:rPr>
        <w:t>3</w:t>
      </w:r>
      <w:r>
        <w:rPr>
          <w:rFonts w:hint="eastAsia"/>
          <w:sz w:val="24"/>
        </w:rPr>
        <w:t>的0#柴油埋地卧式油罐、</w:t>
      </w:r>
      <w:r>
        <w:rPr>
          <w:sz w:val="24"/>
        </w:rPr>
        <w:t>1</w:t>
      </w:r>
      <w:r>
        <w:rPr>
          <w:rFonts w:hint="eastAsia"/>
          <w:sz w:val="24"/>
        </w:rPr>
        <w:t>台30m</w:t>
      </w:r>
      <w:r>
        <w:rPr>
          <w:rFonts w:hint="eastAsia"/>
          <w:sz w:val="24"/>
          <w:vertAlign w:val="superscript"/>
        </w:rPr>
        <w:t>3</w:t>
      </w:r>
      <w:r>
        <w:rPr>
          <w:rFonts w:hint="eastAsia"/>
          <w:sz w:val="24"/>
        </w:rPr>
        <w:t>的92#汽油埋地卧式油罐、1 台30m</w:t>
      </w:r>
      <w:r>
        <w:rPr>
          <w:rFonts w:hint="eastAsia"/>
          <w:sz w:val="24"/>
          <w:vertAlign w:val="superscript"/>
        </w:rPr>
        <w:t>3</w:t>
      </w:r>
      <w:r>
        <w:rPr>
          <w:rFonts w:hint="eastAsia"/>
          <w:sz w:val="24"/>
        </w:rPr>
        <w:t>的95#汽油埋地卧式油罐及1 台30m</w:t>
      </w:r>
      <w:r>
        <w:rPr>
          <w:rFonts w:hint="eastAsia"/>
          <w:sz w:val="24"/>
          <w:vertAlign w:val="superscript"/>
        </w:rPr>
        <w:t>3</w:t>
      </w:r>
      <w:r>
        <w:rPr>
          <w:rFonts w:hint="eastAsia"/>
          <w:sz w:val="24"/>
        </w:rPr>
        <w:t>的9</w:t>
      </w:r>
      <w:r>
        <w:rPr>
          <w:sz w:val="24"/>
        </w:rPr>
        <w:t>8</w:t>
      </w:r>
      <w:r>
        <w:rPr>
          <w:rFonts w:hint="eastAsia"/>
          <w:sz w:val="24"/>
        </w:rPr>
        <w:t>#汽油埋地卧式油罐，油品总贮存能力为</w:t>
      </w:r>
      <w:r>
        <w:rPr>
          <w:sz w:val="24"/>
        </w:rPr>
        <w:t>10</w:t>
      </w:r>
      <w:r>
        <w:rPr>
          <w:rFonts w:hint="eastAsia"/>
          <w:sz w:val="24"/>
        </w:rPr>
        <w:t>5m</w:t>
      </w:r>
      <w:r>
        <w:rPr>
          <w:rFonts w:hint="eastAsia"/>
          <w:sz w:val="24"/>
          <w:vertAlign w:val="superscript"/>
        </w:rPr>
        <w:t>3</w:t>
      </w:r>
      <w:r>
        <w:rPr>
          <w:rFonts w:hint="eastAsia"/>
          <w:sz w:val="24"/>
        </w:rPr>
        <w:t>（柴油罐容积可折半计入油罐总容积），根据《汽车加油加气站设计与施工规范》（GB50156-2012）（2014 年修订版），本站为二级加油站。</w:t>
      </w:r>
    </w:p>
    <w:p>
      <w:pPr>
        <w:spacing w:line="360" w:lineRule="auto"/>
        <w:ind w:firstLine="480" w:firstLineChars="200"/>
        <w:jc w:val="left"/>
        <w:rPr>
          <w:bCs/>
          <w:color w:val="000000" w:themeColor="text1"/>
          <w:kern w:val="0"/>
          <w:sz w:val="24"/>
          <w:highlight w:val="none"/>
          <w14:textFill>
            <w14:solidFill>
              <w14:schemeClr w14:val="tx1"/>
            </w14:solidFill>
          </w14:textFill>
        </w:rPr>
      </w:pPr>
      <w:r>
        <w:rPr>
          <w:rFonts w:hint="eastAsia"/>
          <w:bCs/>
          <w:color w:val="000000" w:themeColor="text1"/>
          <w:kern w:val="0"/>
          <w:sz w:val="24"/>
          <w:highlight w:val="none"/>
          <w14:textFill>
            <w14:solidFill>
              <w14:schemeClr w14:val="tx1"/>
            </w14:solidFill>
          </w14:textFill>
        </w:rPr>
        <w:t>江西省核工业地质局测试研究中心于</w:t>
      </w:r>
      <w:r>
        <w:rPr>
          <w:rFonts w:hint="eastAsia"/>
          <w:bCs/>
          <w:color w:val="000000" w:themeColor="text1"/>
          <w:kern w:val="0"/>
          <w:sz w:val="24"/>
          <w:highlight w:val="none"/>
          <w:lang w:val="en-US" w:eastAsia="zh-CN"/>
          <w14:textFill>
            <w14:solidFill>
              <w14:schemeClr w14:val="tx1"/>
            </w14:solidFill>
          </w14:textFill>
        </w:rPr>
        <w:t>2020</w:t>
      </w:r>
      <w:r>
        <w:rPr>
          <w:rFonts w:hint="eastAsia"/>
          <w:bCs/>
          <w:color w:val="000000" w:themeColor="text1"/>
          <w:kern w:val="0"/>
          <w:sz w:val="24"/>
          <w:highlight w:val="none"/>
          <w14:textFill>
            <w14:solidFill>
              <w14:schemeClr w14:val="tx1"/>
            </w14:solidFill>
          </w14:textFill>
        </w:rPr>
        <w:t>年</w:t>
      </w:r>
      <w:r>
        <w:rPr>
          <w:rFonts w:hint="eastAsia"/>
          <w:bCs/>
          <w:color w:val="000000" w:themeColor="text1"/>
          <w:kern w:val="0"/>
          <w:sz w:val="24"/>
          <w:highlight w:val="none"/>
          <w:lang w:val="en-US" w:eastAsia="zh-CN"/>
          <w14:textFill>
            <w14:solidFill>
              <w14:schemeClr w14:val="tx1"/>
            </w14:solidFill>
          </w14:textFill>
        </w:rPr>
        <w:t>10</w:t>
      </w:r>
      <w:r>
        <w:rPr>
          <w:rFonts w:hint="eastAsia"/>
          <w:bCs/>
          <w:color w:val="000000" w:themeColor="text1"/>
          <w:kern w:val="0"/>
          <w:sz w:val="24"/>
          <w:highlight w:val="none"/>
          <w14:textFill>
            <w14:solidFill>
              <w14:schemeClr w14:val="tx1"/>
            </w14:solidFill>
          </w14:textFill>
        </w:rPr>
        <w:t>月编制</w:t>
      </w:r>
      <w:r>
        <w:rPr>
          <w:bCs/>
          <w:color w:val="000000" w:themeColor="text1"/>
          <w:kern w:val="0"/>
          <w:sz w:val="24"/>
          <w:highlight w:val="none"/>
          <w14:textFill>
            <w14:solidFill>
              <w14:schemeClr w14:val="tx1"/>
            </w14:solidFill>
          </w14:textFill>
        </w:rPr>
        <w:t>完成了《</w:t>
      </w:r>
      <w:r>
        <w:rPr>
          <w:rFonts w:hint="eastAsia"/>
          <w:bCs/>
          <w:color w:val="000000" w:themeColor="text1"/>
          <w:kern w:val="0"/>
          <w:sz w:val="24"/>
          <w14:textFill>
            <w14:solidFill>
              <w14:schemeClr w14:val="tx1"/>
            </w14:solidFill>
          </w14:textFill>
        </w:rPr>
        <w:t>中国石化销售股份有限公司江西抚州资溪石油分公司</w:t>
      </w:r>
      <w:r>
        <w:rPr>
          <w:rFonts w:hint="eastAsia"/>
          <w:bCs/>
          <w:color w:val="000000" w:themeColor="text1"/>
          <w:kern w:val="0"/>
          <w:sz w:val="24"/>
          <w:highlight w:val="none"/>
          <w14:textFill>
            <w14:solidFill>
              <w14:schemeClr w14:val="tx1"/>
            </w14:solidFill>
          </w14:textFill>
        </w:rPr>
        <w:t>茶博城加油站建设项目环境影响报告表</w:t>
      </w:r>
      <w:r>
        <w:rPr>
          <w:rFonts w:hint="eastAsia"/>
          <w:bCs/>
          <w:color w:val="000000" w:themeColor="text1"/>
          <w:kern w:val="0"/>
          <w:sz w:val="24"/>
          <w:highlight w:val="none"/>
          <w:lang w:eastAsia="zh-CN"/>
          <w14:textFill>
            <w14:solidFill>
              <w14:schemeClr w14:val="tx1"/>
            </w14:solidFill>
          </w14:textFill>
        </w:rPr>
        <w:t>》</w:t>
      </w:r>
      <w:r>
        <w:rPr>
          <w:rFonts w:hint="eastAsia"/>
          <w:bCs/>
          <w:color w:val="000000" w:themeColor="text1"/>
          <w:kern w:val="0"/>
          <w:sz w:val="24"/>
          <w:highlight w:val="none"/>
          <w:lang w:val="en-US" w:eastAsia="zh-CN"/>
          <w14:textFill>
            <w14:solidFill>
              <w14:schemeClr w14:val="tx1"/>
            </w14:solidFill>
          </w14:textFill>
        </w:rPr>
        <w:t xml:space="preserve"> </w:t>
      </w:r>
      <w:r>
        <w:rPr>
          <w:bCs/>
          <w:color w:val="000000" w:themeColor="text1"/>
          <w:kern w:val="0"/>
          <w:sz w:val="24"/>
          <w:highlight w:val="none"/>
          <w14:textFill>
            <w14:solidFill>
              <w14:schemeClr w14:val="tx1"/>
            </w14:solidFill>
          </w14:textFill>
        </w:rPr>
        <w:t>的编写工作，</w:t>
      </w:r>
      <w:r>
        <w:rPr>
          <w:rFonts w:hint="eastAsia"/>
          <w:bCs/>
          <w:color w:val="000000" w:themeColor="text1"/>
          <w:kern w:val="0"/>
          <w:sz w:val="24"/>
          <w:highlight w:val="none"/>
          <w:lang w:eastAsia="zh-CN"/>
          <w14:textFill>
            <w14:solidFill>
              <w14:schemeClr w14:val="tx1"/>
            </w14:solidFill>
          </w14:textFill>
        </w:rPr>
        <w:t>资溪县行政审批局</w:t>
      </w:r>
      <w:r>
        <w:rPr>
          <w:bCs/>
          <w:color w:val="000000" w:themeColor="text1"/>
          <w:kern w:val="0"/>
          <w:sz w:val="24"/>
          <w:highlight w:val="none"/>
          <w14:textFill>
            <w14:solidFill>
              <w14:schemeClr w14:val="tx1"/>
            </w14:solidFill>
          </w14:textFill>
        </w:rPr>
        <w:t>于20</w:t>
      </w:r>
      <w:r>
        <w:rPr>
          <w:rFonts w:hint="eastAsia"/>
          <w:bCs/>
          <w:color w:val="000000" w:themeColor="text1"/>
          <w:kern w:val="0"/>
          <w:sz w:val="24"/>
          <w:highlight w:val="none"/>
          <w:lang w:val="en-US" w:eastAsia="zh-CN"/>
          <w14:textFill>
            <w14:solidFill>
              <w14:schemeClr w14:val="tx1"/>
            </w14:solidFill>
          </w14:textFill>
        </w:rPr>
        <w:t>20</w:t>
      </w:r>
      <w:r>
        <w:rPr>
          <w:bCs/>
          <w:color w:val="000000" w:themeColor="text1"/>
          <w:kern w:val="0"/>
          <w:sz w:val="24"/>
          <w:highlight w:val="none"/>
          <w14:textFill>
            <w14:solidFill>
              <w14:schemeClr w14:val="tx1"/>
            </w14:solidFill>
          </w14:textFill>
        </w:rPr>
        <w:t>年</w:t>
      </w:r>
      <w:r>
        <w:rPr>
          <w:rFonts w:hint="eastAsia"/>
          <w:bCs/>
          <w:color w:val="000000" w:themeColor="text1"/>
          <w:kern w:val="0"/>
          <w:sz w:val="24"/>
          <w:highlight w:val="none"/>
          <w:lang w:val="en-US" w:eastAsia="zh-CN"/>
          <w14:textFill>
            <w14:solidFill>
              <w14:schemeClr w14:val="tx1"/>
            </w14:solidFill>
          </w14:textFill>
        </w:rPr>
        <w:t>11</w:t>
      </w:r>
      <w:r>
        <w:rPr>
          <w:bCs/>
          <w:color w:val="000000" w:themeColor="text1"/>
          <w:kern w:val="0"/>
          <w:sz w:val="24"/>
          <w:highlight w:val="none"/>
          <w14:textFill>
            <w14:solidFill>
              <w14:schemeClr w14:val="tx1"/>
            </w14:solidFill>
          </w14:textFill>
        </w:rPr>
        <w:t>月</w:t>
      </w:r>
      <w:r>
        <w:rPr>
          <w:rFonts w:hint="eastAsia"/>
          <w:bCs/>
          <w:color w:val="000000" w:themeColor="text1"/>
          <w:kern w:val="0"/>
          <w:sz w:val="24"/>
          <w:highlight w:val="none"/>
          <w:lang w:val="en-US" w:eastAsia="zh-CN"/>
          <w14:textFill>
            <w14:solidFill>
              <w14:schemeClr w14:val="tx1"/>
            </w14:solidFill>
          </w14:textFill>
        </w:rPr>
        <w:t>12</w:t>
      </w:r>
      <w:r>
        <w:rPr>
          <w:bCs/>
          <w:color w:val="000000" w:themeColor="text1"/>
          <w:kern w:val="0"/>
          <w:sz w:val="24"/>
          <w:highlight w:val="none"/>
          <w14:textFill>
            <w14:solidFill>
              <w14:schemeClr w14:val="tx1"/>
            </w14:solidFill>
          </w14:textFill>
        </w:rPr>
        <w:t>日以</w:t>
      </w:r>
      <w:r>
        <w:rPr>
          <w:rFonts w:hint="eastAsia"/>
          <w:bCs/>
          <w:color w:val="000000" w:themeColor="text1"/>
          <w:kern w:val="0"/>
          <w:sz w:val="24"/>
          <w:highlight w:val="none"/>
          <w14:textFill>
            <w14:solidFill>
              <w14:schemeClr w14:val="tx1"/>
            </w14:solidFill>
          </w14:textFill>
        </w:rPr>
        <w:t>“</w:t>
      </w:r>
      <w:r>
        <w:rPr>
          <w:rFonts w:hint="eastAsia"/>
          <w:bCs/>
          <w:color w:val="000000" w:themeColor="text1"/>
          <w:kern w:val="0"/>
          <w:sz w:val="24"/>
          <w:highlight w:val="none"/>
          <w:lang w:eastAsia="zh-CN"/>
          <w14:textFill>
            <w14:solidFill>
              <w14:schemeClr w14:val="tx1"/>
            </w14:solidFill>
          </w14:textFill>
        </w:rPr>
        <w:t>资行审批</w:t>
      </w:r>
      <w:r>
        <w:rPr>
          <w:rFonts w:hint="eastAsia"/>
          <w:bCs/>
          <w:color w:val="000000" w:themeColor="text1"/>
          <w:kern w:val="0"/>
          <w:sz w:val="24"/>
          <w:highlight w:val="none"/>
          <w14:textFill>
            <w14:solidFill>
              <w14:schemeClr w14:val="tx1"/>
            </w14:solidFill>
          </w14:textFill>
        </w:rPr>
        <w:t>[20</w:t>
      </w:r>
      <w:r>
        <w:rPr>
          <w:rFonts w:hint="eastAsia"/>
          <w:bCs/>
          <w:color w:val="000000" w:themeColor="text1"/>
          <w:kern w:val="0"/>
          <w:sz w:val="24"/>
          <w:highlight w:val="none"/>
          <w:lang w:val="en-US" w:eastAsia="zh-CN"/>
          <w14:textFill>
            <w14:solidFill>
              <w14:schemeClr w14:val="tx1"/>
            </w14:solidFill>
          </w14:textFill>
        </w:rPr>
        <w:t>20</w:t>
      </w:r>
      <w:r>
        <w:rPr>
          <w:rFonts w:hint="eastAsia"/>
          <w:bCs/>
          <w:color w:val="000000" w:themeColor="text1"/>
          <w:kern w:val="0"/>
          <w:sz w:val="24"/>
          <w:highlight w:val="none"/>
          <w14:textFill>
            <w14:solidFill>
              <w14:schemeClr w14:val="tx1"/>
            </w14:solidFill>
          </w14:textFill>
        </w:rPr>
        <w:t>]</w:t>
      </w:r>
      <w:r>
        <w:rPr>
          <w:rFonts w:hint="eastAsia"/>
          <w:bCs/>
          <w:color w:val="000000" w:themeColor="text1"/>
          <w:kern w:val="0"/>
          <w:sz w:val="24"/>
          <w:highlight w:val="none"/>
          <w:lang w:val="en-US" w:eastAsia="zh-CN"/>
          <w14:textFill>
            <w14:solidFill>
              <w14:schemeClr w14:val="tx1"/>
            </w14:solidFill>
          </w14:textFill>
        </w:rPr>
        <w:t>467</w:t>
      </w:r>
      <w:r>
        <w:rPr>
          <w:rFonts w:hint="eastAsia"/>
          <w:bCs/>
          <w:color w:val="000000" w:themeColor="text1"/>
          <w:kern w:val="0"/>
          <w:sz w:val="24"/>
          <w:highlight w:val="none"/>
          <w14:textFill>
            <w14:solidFill>
              <w14:schemeClr w14:val="tx1"/>
            </w14:solidFill>
          </w14:textFill>
        </w:rPr>
        <w:t>号”文</w:t>
      </w:r>
      <w:r>
        <w:rPr>
          <w:bCs/>
          <w:color w:val="000000" w:themeColor="text1"/>
          <w:kern w:val="0"/>
          <w:sz w:val="24"/>
          <w:highlight w:val="none"/>
          <w14:textFill>
            <w14:solidFill>
              <w14:schemeClr w14:val="tx1"/>
            </w14:solidFill>
          </w14:textFill>
        </w:rPr>
        <w:t>予以批复。</w:t>
      </w:r>
      <w:r>
        <w:rPr>
          <w:rFonts w:hint="eastAsia"/>
          <w:bCs/>
          <w:color w:val="000000" w:themeColor="text1"/>
          <w:kern w:val="0"/>
          <w:sz w:val="24"/>
          <w:highlight w:val="none"/>
          <w14:textFill>
            <w14:solidFill>
              <w14:schemeClr w14:val="tx1"/>
            </w14:solidFill>
          </w14:textFill>
        </w:rPr>
        <w:t>截至目前，项目各主体、配套设施及环保设施运行工况正常，已具备建设项目竣工环境保护验收监测的条件</w:t>
      </w:r>
      <w:r>
        <w:rPr>
          <w:bCs/>
          <w:color w:val="000000" w:themeColor="text1"/>
          <w:kern w:val="0"/>
          <w:sz w:val="24"/>
          <w:highlight w:val="none"/>
          <w14:textFill>
            <w14:solidFill>
              <w14:schemeClr w14:val="tx1"/>
            </w14:solidFill>
          </w14:textFill>
        </w:rPr>
        <w:t>。本项目</w:t>
      </w:r>
      <w:r>
        <w:rPr>
          <w:rFonts w:hint="eastAsia"/>
          <w:bCs/>
          <w:color w:val="000000" w:themeColor="text1"/>
          <w:kern w:val="0"/>
          <w:sz w:val="24"/>
          <w:highlight w:val="none"/>
          <w14:textFill>
            <w14:solidFill>
              <w14:schemeClr w14:val="tx1"/>
            </w14:solidFill>
          </w14:textFill>
        </w:rPr>
        <w:t>加油站于20</w:t>
      </w:r>
      <w:r>
        <w:rPr>
          <w:rFonts w:hint="eastAsia"/>
          <w:bCs/>
          <w:color w:val="000000" w:themeColor="text1"/>
          <w:kern w:val="0"/>
          <w:sz w:val="24"/>
          <w:highlight w:val="none"/>
          <w:lang w:val="en-US" w:eastAsia="zh-CN"/>
          <w14:textFill>
            <w14:solidFill>
              <w14:schemeClr w14:val="tx1"/>
            </w14:solidFill>
          </w14:textFill>
        </w:rPr>
        <w:t>20</w:t>
      </w:r>
      <w:r>
        <w:rPr>
          <w:rFonts w:hint="eastAsia"/>
          <w:bCs/>
          <w:color w:val="000000" w:themeColor="text1"/>
          <w:kern w:val="0"/>
          <w:sz w:val="24"/>
          <w:highlight w:val="none"/>
          <w14:textFill>
            <w14:solidFill>
              <w14:schemeClr w14:val="tx1"/>
            </w14:solidFill>
          </w14:textFill>
        </w:rPr>
        <w:t>年</w:t>
      </w:r>
      <w:r>
        <w:rPr>
          <w:rFonts w:hint="eastAsia"/>
          <w:bCs/>
          <w:color w:val="000000" w:themeColor="text1"/>
          <w:kern w:val="0"/>
          <w:sz w:val="24"/>
          <w:highlight w:val="none"/>
          <w:lang w:val="en-US" w:eastAsia="zh-CN"/>
          <w14:textFill>
            <w14:solidFill>
              <w14:schemeClr w14:val="tx1"/>
            </w14:solidFill>
          </w14:textFill>
        </w:rPr>
        <w:t>11</w:t>
      </w:r>
      <w:r>
        <w:rPr>
          <w:rFonts w:hint="eastAsia"/>
          <w:bCs/>
          <w:color w:val="000000" w:themeColor="text1"/>
          <w:kern w:val="0"/>
          <w:sz w:val="24"/>
          <w:highlight w:val="none"/>
          <w14:textFill>
            <w14:solidFill>
              <w14:schemeClr w14:val="tx1"/>
            </w14:solidFill>
          </w14:textFill>
        </w:rPr>
        <w:t>月动工，20</w:t>
      </w:r>
      <w:r>
        <w:rPr>
          <w:rFonts w:hint="eastAsia"/>
          <w:bCs/>
          <w:color w:val="000000" w:themeColor="text1"/>
          <w:kern w:val="0"/>
          <w:sz w:val="24"/>
          <w:highlight w:val="none"/>
          <w:lang w:val="en-US" w:eastAsia="zh-CN"/>
          <w14:textFill>
            <w14:solidFill>
              <w14:schemeClr w14:val="tx1"/>
            </w14:solidFill>
          </w14:textFill>
        </w:rPr>
        <w:t>20</w:t>
      </w:r>
      <w:r>
        <w:rPr>
          <w:rFonts w:hint="eastAsia"/>
          <w:bCs/>
          <w:color w:val="000000" w:themeColor="text1"/>
          <w:kern w:val="0"/>
          <w:sz w:val="24"/>
          <w:highlight w:val="none"/>
          <w14:textFill>
            <w14:solidFill>
              <w14:schemeClr w14:val="tx1"/>
            </w14:solidFill>
          </w14:textFill>
        </w:rPr>
        <w:t>年</w:t>
      </w:r>
      <w:r>
        <w:rPr>
          <w:rFonts w:hint="eastAsia"/>
          <w:bCs/>
          <w:color w:val="000000" w:themeColor="text1"/>
          <w:kern w:val="0"/>
          <w:sz w:val="24"/>
          <w:highlight w:val="none"/>
          <w:lang w:val="en-US" w:eastAsia="zh-CN"/>
          <w14:textFill>
            <w14:solidFill>
              <w14:schemeClr w14:val="tx1"/>
            </w14:solidFill>
          </w14:textFill>
        </w:rPr>
        <w:t>12</w:t>
      </w:r>
      <w:r>
        <w:rPr>
          <w:rFonts w:hint="eastAsia"/>
          <w:bCs/>
          <w:color w:val="000000" w:themeColor="text1"/>
          <w:kern w:val="0"/>
          <w:sz w:val="24"/>
          <w:highlight w:val="none"/>
          <w14:textFill>
            <w14:solidFill>
              <w14:schemeClr w14:val="tx1"/>
            </w14:solidFill>
          </w14:textFill>
        </w:rPr>
        <w:t>月竣工试运营。</w:t>
      </w:r>
    </w:p>
    <w:p>
      <w:pPr>
        <w:spacing w:line="360" w:lineRule="auto"/>
        <w:ind w:firstLine="480" w:firstLineChars="200"/>
        <w:jc w:val="left"/>
        <w:rPr>
          <w:bCs/>
          <w:color w:val="000000" w:themeColor="text1"/>
          <w:kern w:val="0"/>
          <w:sz w:val="24"/>
          <w:highlight w:val="none"/>
          <w14:textFill>
            <w14:solidFill>
              <w14:schemeClr w14:val="tx1"/>
            </w14:solidFill>
          </w14:textFill>
        </w:rPr>
      </w:pPr>
      <w:r>
        <w:rPr>
          <w:rFonts w:hint="eastAsia"/>
          <w:bCs/>
          <w:color w:val="000000" w:themeColor="text1"/>
          <w:kern w:val="0"/>
          <w:sz w:val="24"/>
          <w:highlight w:val="none"/>
          <w14:textFill>
            <w14:solidFill>
              <w14:schemeClr w14:val="tx1"/>
            </w14:solidFill>
          </w14:textFill>
        </w:rPr>
        <w:t>中国石化销售股份有限公司江西抚州资溪石油分公司于20</w:t>
      </w:r>
      <w:r>
        <w:rPr>
          <w:rFonts w:hint="eastAsia"/>
          <w:bCs/>
          <w:color w:val="000000" w:themeColor="text1"/>
          <w:kern w:val="0"/>
          <w:sz w:val="24"/>
          <w:highlight w:val="none"/>
          <w:lang w:val="en-US" w:eastAsia="zh-CN"/>
          <w14:textFill>
            <w14:solidFill>
              <w14:schemeClr w14:val="tx1"/>
            </w14:solidFill>
          </w14:textFill>
        </w:rPr>
        <w:t>20</w:t>
      </w:r>
      <w:r>
        <w:rPr>
          <w:rFonts w:hint="eastAsia"/>
          <w:bCs/>
          <w:color w:val="000000" w:themeColor="text1"/>
          <w:kern w:val="0"/>
          <w:sz w:val="24"/>
          <w:highlight w:val="none"/>
          <w14:textFill>
            <w14:solidFill>
              <w14:schemeClr w14:val="tx1"/>
            </w14:solidFill>
          </w14:textFill>
        </w:rPr>
        <w:t>年</w:t>
      </w:r>
      <w:r>
        <w:rPr>
          <w:rFonts w:hint="eastAsia"/>
          <w:bCs/>
          <w:color w:val="000000" w:themeColor="text1"/>
          <w:kern w:val="0"/>
          <w:sz w:val="24"/>
          <w:highlight w:val="none"/>
          <w:lang w:val="en-US" w:eastAsia="zh-CN"/>
          <w14:textFill>
            <w14:solidFill>
              <w14:schemeClr w14:val="tx1"/>
            </w14:solidFill>
          </w14:textFill>
        </w:rPr>
        <w:t>12</w:t>
      </w:r>
      <w:r>
        <w:rPr>
          <w:rFonts w:hint="eastAsia"/>
          <w:bCs/>
          <w:color w:val="000000" w:themeColor="text1"/>
          <w:kern w:val="0"/>
          <w:sz w:val="24"/>
          <w:highlight w:val="none"/>
          <w14:textFill>
            <w14:solidFill>
              <w14:schemeClr w14:val="tx1"/>
            </w14:solidFill>
          </w14:textFill>
        </w:rPr>
        <w:t>月</w:t>
      </w:r>
      <w:r>
        <w:rPr>
          <w:rFonts w:hint="eastAsia"/>
          <w:bCs/>
          <w:color w:val="000000" w:themeColor="text1"/>
          <w:kern w:val="0"/>
          <w:sz w:val="24"/>
          <w:highlight w:val="none"/>
          <w:lang w:val="en-US" w:eastAsia="zh-CN"/>
          <w14:textFill>
            <w14:solidFill>
              <w14:schemeClr w14:val="tx1"/>
            </w14:solidFill>
          </w14:textFill>
        </w:rPr>
        <w:t>20</w:t>
      </w:r>
      <w:r>
        <w:rPr>
          <w:rFonts w:hint="eastAsia"/>
          <w:bCs/>
          <w:color w:val="000000" w:themeColor="text1"/>
          <w:kern w:val="0"/>
          <w:sz w:val="24"/>
          <w:highlight w:val="none"/>
          <w14:textFill>
            <w14:solidFill>
              <w14:schemeClr w14:val="tx1"/>
            </w14:solidFill>
          </w14:textFill>
        </w:rPr>
        <w:t>日正式</w:t>
      </w:r>
      <w:r>
        <w:rPr>
          <w:bCs/>
          <w:color w:val="000000" w:themeColor="text1"/>
          <w:kern w:val="0"/>
          <w:sz w:val="24"/>
          <w:highlight w:val="none"/>
          <w14:textFill>
            <w14:solidFill>
              <w14:schemeClr w14:val="tx1"/>
            </w14:solidFill>
          </w14:textFill>
        </w:rPr>
        <w:t>委托</w:t>
      </w:r>
      <w:r>
        <w:rPr>
          <w:rFonts w:hint="eastAsia"/>
          <w:bCs/>
          <w:color w:val="000000" w:themeColor="text1"/>
          <w:kern w:val="0"/>
          <w:sz w:val="24"/>
          <w:highlight w:val="none"/>
          <w14:textFill>
            <w14:solidFill>
              <w14:schemeClr w14:val="tx1"/>
            </w14:solidFill>
          </w14:textFill>
        </w:rPr>
        <w:t>我公司</w:t>
      </w:r>
      <w:r>
        <w:rPr>
          <w:bCs/>
          <w:color w:val="000000" w:themeColor="text1"/>
          <w:kern w:val="0"/>
          <w:sz w:val="24"/>
          <w:highlight w:val="none"/>
          <w14:textFill>
            <w14:solidFill>
              <w14:schemeClr w14:val="tx1"/>
            </w14:solidFill>
          </w14:textFill>
        </w:rPr>
        <w:t>承担该项目的验收监测工作。</w:t>
      </w:r>
      <w:r>
        <w:rPr>
          <w:rFonts w:hint="eastAsia"/>
          <w:bCs/>
          <w:color w:val="000000" w:themeColor="text1"/>
          <w:kern w:val="0"/>
          <w:sz w:val="24"/>
          <w:highlight w:val="none"/>
          <w14:textFill>
            <w14:solidFill>
              <w14:schemeClr w14:val="tx1"/>
            </w14:solidFill>
          </w14:textFill>
        </w:rPr>
        <w:t>依据《建设项目环境保护管理条例》（国务院第682号令）、国家环境保护部《建设项目竣工环境保护验收暂行办法》（国环规环评[2017]4号），我公司于</w:t>
      </w:r>
      <w:r>
        <w:rPr>
          <w:rFonts w:hint="eastAsia"/>
          <w:bCs/>
          <w:color w:val="000000" w:themeColor="text1"/>
          <w:kern w:val="0"/>
          <w:sz w:val="24"/>
          <w:highlight w:val="none"/>
          <w:lang w:val="en-US" w:eastAsia="zh-CN"/>
          <w14:textFill>
            <w14:solidFill>
              <w14:schemeClr w14:val="tx1"/>
            </w14:solidFill>
          </w14:textFill>
        </w:rPr>
        <w:t>2021年1</w:t>
      </w:r>
      <w:r>
        <w:rPr>
          <w:rFonts w:hint="eastAsia"/>
          <w:bCs/>
          <w:color w:val="000000" w:themeColor="text1"/>
          <w:kern w:val="0"/>
          <w:sz w:val="24"/>
          <w:highlight w:val="none"/>
          <w14:textFill>
            <w14:solidFill>
              <w14:schemeClr w14:val="tx1"/>
            </w14:solidFill>
          </w14:textFill>
        </w:rPr>
        <w:t>月</w:t>
      </w:r>
      <w:r>
        <w:rPr>
          <w:bCs/>
          <w:color w:val="000000" w:themeColor="text1"/>
          <w:kern w:val="0"/>
          <w:sz w:val="24"/>
          <w:highlight w:val="none"/>
          <w14:textFill>
            <w14:solidFill>
              <w14:schemeClr w14:val="tx1"/>
            </w14:solidFill>
          </w14:textFill>
        </w:rPr>
        <w:t>派出相关技术人员对该项目环保设施的配置、运行情况进行现场勘察，按照该项目环境影响报告</w:t>
      </w:r>
      <w:r>
        <w:rPr>
          <w:rFonts w:hint="eastAsia"/>
          <w:bCs/>
          <w:color w:val="000000" w:themeColor="text1"/>
          <w:kern w:val="0"/>
          <w:sz w:val="24"/>
          <w:highlight w:val="none"/>
          <w14:textFill>
            <w14:solidFill>
              <w14:schemeClr w14:val="tx1"/>
            </w14:solidFill>
          </w14:textFill>
        </w:rPr>
        <w:t>表</w:t>
      </w:r>
      <w:r>
        <w:rPr>
          <w:bCs/>
          <w:color w:val="000000" w:themeColor="text1"/>
          <w:kern w:val="0"/>
          <w:sz w:val="24"/>
          <w:highlight w:val="none"/>
          <w14:textFill>
            <w14:solidFill>
              <w14:schemeClr w14:val="tx1"/>
            </w14:solidFill>
          </w14:textFill>
        </w:rPr>
        <w:t>及其批复要求，查阅和收集相关技术资料，在此基础上，编制完成了本项目竣工环境保护验收监测方案。</w:t>
      </w:r>
      <w:r>
        <w:rPr>
          <w:rFonts w:hint="eastAsia"/>
          <w:bCs/>
          <w:color w:val="000000" w:themeColor="text1"/>
          <w:kern w:val="0"/>
          <w:sz w:val="24"/>
          <w:highlight w:val="none"/>
          <w14:textFill>
            <w14:solidFill>
              <w14:schemeClr w14:val="tx1"/>
            </w14:solidFill>
          </w14:textFill>
        </w:rPr>
        <w:t>依据编写的该项目竣工环境保护验收监测方案，江西省粤环科检测技术有限公司于202</w:t>
      </w:r>
      <w:r>
        <w:rPr>
          <w:rFonts w:hint="eastAsia"/>
          <w:bCs/>
          <w:color w:val="000000" w:themeColor="text1"/>
          <w:kern w:val="0"/>
          <w:sz w:val="24"/>
          <w:highlight w:val="none"/>
          <w:lang w:val="en-US" w:eastAsia="zh-CN"/>
          <w14:textFill>
            <w14:solidFill>
              <w14:schemeClr w14:val="tx1"/>
            </w14:solidFill>
          </w14:textFill>
        </w:rPr>
        <w:t>1</w:t>
      </w:r>
      <w:r>
        <w:rPr>
          <w:rFonts w:hint="eastAsia"/>
          <w:bCs/>
          <w:color w:val="000000" w:themeColor="text1"/>
          <w:kern w:val="0"/>
          <w:sz w:val="24"/>
          <w:highlight w:val="none"/>
          <w14:textFill>
            <w14:solidFill>
              <w14:schemeClr w14:val="tx1"/>
            </w14:solidFill>
          </w14:textFill>
        </w:rPr>
        <w:t>年</w:t>
      </w:r>
      <w:r>
        <w:rPr>
          <w:rFonts w:hint="eastAsia"/>
          <w:bCs/>
          <w:color w:val="000000" w:themeColor="text1"/>
          <w:kern w:val="0"/>
          <w:sz w:val="24"/>
          <w:highlight w:val="none"/>
          <w:lang w:val="en-US" w:eastAsia="zh-CN"/>
          <w14:textFill>
            <w14:solidFill>
              <w14:schemeClr w14:val="tx1"/>
            </w14:solidFill>
          </w14:textFill>
        </w:rPr>
        <w:t>1</w:t>
      </w:r>
      <w:r>
        <w:rPr>
          <w:rFonts w:hint="eastAsia"/>
          <w:bCs/>
          <w:color w:val="000000" w:themeColor="text1"/>
          <w:kern w:val="0"/>
          <w:sz w:val="24"/>
          <w:highlight w:val="none"/>
          <w14:textFill>
            <w14:solidFill>
              <w14:schemeClr w14:val="tx1"/>
            </w14:solidFill>
          </w14:textFill>
        </w:rPr>
        <w:t>月</w:t>
      </w:r>
      <w:r>
        <w:rPr>
          <w:rFonts w:hint="eastAsia"/>
          <w:bCs/>
          <w:color w:val="000000" w:themeColor="text1"/>
          <w:kern w:val="0"/>
          <w:sz w:val="24"/>
          <w:highlight w:val="none"/>
          <w:lang w:val="en-US" w:eastAsia="zh-CN"/>
          <w14:textFill>
            <w14:solidFill>
              <w14:schemeClr w14:val="tx1"/>
            </w14:solidFill>
          </w14:textFill>
        </w:rPr>
        <w:t>6~7</w:t>
      </w:r>
      <w:r>
        <w:rPr>
          <w:rFonts w:hint="eastAsia"/>
          <w:bCs/>
          <w:color w:val="000000" w:themeColor="text1"/>
          <w:kern w:val="0"/>
          <w:sz w:val="24"/>
          <w:highlight w:val="none"/>
          <w14:textFill>
            <w14:solidFill>
              <w14:schemeClr w14:val="tx1"/>
            </w14:solidFill>
          </w14:textFill>
        </w:rPr>
        <w:t>日对该加油站的废水、废气、噪声等污染防治设施进行了现场监测，并对该项目的“三同时”、环评批复执行情况及环保设施的建设、管理、绿化等方面进行了核查，并在此基础上编制了《中国石化销售股份有限公司江西抚州资溪石油分公司茶博城加油站建设项目竣工环境保护验收监测报告表》。</w:t>
      </w:r>
    </w:p>
    <w:bookmarkEnd w:id="4"/>
    <w:p>
      <w:pPr>
        <w:pStyle w:val="2"/>
      </w:pPr>
    </w:p>
    <w:p>
      <w:pPr>
        <w:pStyle w:val="21"/>
        <w:jc w:val="left"/>
        <w:rPr>
          <w:rStyle w:val="28"/>
          <w:b/>
          <w:bCs/>
        </w:rPr>
      </w:pPr>
      <w:r>
        <w:rPr>
          <w:rFonts w:hAnsi="宋体"/>
          <w:sz w:val="28"/>
          <w:szCs w:val="28"/>
        </w:rPr>
        <w:br w:type="page"/>
      </w:r>
      <w:bookmarkStart w:id="5" w:name="_Toc21649"/>
      <w:bookmarkStart w:id="6" w:name="_Toc52180559"/>
      <w:bookmarkStart w:id="7" w:name="_Toc11444"/>
      <w:r>
        <w:rPr>
          <w:rStyle w:val="28"/>
          <w:b/>
          <w:bCs/>
        </w:rPr>
        <w:t>表一</w:t>
      </w:r>
      <w:r>
        <w:rPr>
          <w:rStyle w:val="28"/>
          <w:rFonts w:hint="eastAsia"/>
          <w:b/>
          <w:bCs/>
        </w:rPr>
        <w:t xml:space="preserve"> </w:t>
      </w:r>
      <w:r>
        <w:rPr>
          <w:rStyle w:val="28"/>
          <w:b/>
          <w:bCs/>
        </w:rPr>
        <w:t>建设项目概况及验收监测依据</w:t>
      </w:r>
      <w:bookmarkEnd w:id="5"/>
      <w:bookmarkEnd w:id="6"/>
      <w:bookmarkEnd w:id="7"/>
    </w:p>
    <w:tbl>
      <w:tblPr>
        <w:tblStyle w:val="24"/>
        <w:tblpPr w:leftFromText="180" w:rightFromText="180" w:vertAnchor="text" w:tblpXSpec="center" w:tblpY="1"/>
        <w:tblOverlap w:val="never"/>
        <w:tblW w:w="974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6"/>
        <w:gridCol w:w="1407"/>
        <w:gridCol w:w="1570"/>
        <w:gridCol w:w="1998"/>
        <w:gridCol w:w="1017"/>
        <w:gridCol w:w="1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6" w:type="dxa"/>
            <w:vAlign w:val="center"/>
          </w:tcPr>
          <w:p>
            <w:pPr>
              <w:spacing w:line="240" w:lineRule="exact"/>
              <w:ind w:left="-105" w:leftChars="-50" w:right="-105" w:rightChars="-50"/>
              <w:jc w:val="center"/>
              <w:rPr>
                <w:szCs w:val="21"/>
              </w:rPr>
            </w:pPr>
            <w:r>
              <w:rPr>
                <w:rFonts w:hAnsi="宋体"/>
                <w:szCs w:val="21"/>
              </w:rPr>
              <w:t>建设项目名称</w:t>
            </w:r>
          </w:p>
        </w:tc>
        <w:tc>
          <w:tcPr>
            <w:tcW w:w="7951" w:type="dxa"/>
            <w:gridSpan w:val="5"/>
            <w:vAlign w:val="center"/>
          </w:tcPr>
          <w:p>
            <w:pPr>
              <w:spacing w:line="240" w:lineRule="exact"/>
              <w:ind w:right="641"/>
              <w:rPr>
                <w:szCs w:val="21"/>
              </w:rPr>
            </w:pPr>
            <w:r>
              <w:rPr>
                <w:rFonts w:hint="eastAsia"/>
                <w:szCs w:val="21"/>
                <w:highlight w:val="none"/>
              </w:rPr>
              <w:t>中国石化销售股份有限公司江西抚州资溪石油分公司茶博城加油站建设项目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6" w:type="dxa"/>
            <w:vAlign w:val="center"/>
          </w:tcPr>
          <w:p>
            <w:pPr>
              <w:spacing w:line="240" w:lineRule="exact"/>
              <w:ind w:left="-105" w:leftChars="-50" w:right="-105" w:rightChars="-50"/>
              <w:jc w:val="center"/>
              <w:rPr>
                <w:szCs w:val="21"/>
              </w:rPr>
            </w:pPr>
            <w:r>
              <w:rPr>
                <w:rFonts w:hAnsi="宋体"/>
                <w:szCs w:val="21"/>
              </w:rPr>
              <w:t>建设单位名称</w:t>
            </w:r>
          </w:p>
        </w:tc>
        <w:tc>
          <w:tcPr>
            <w:tcW w:w="7951" w:type="dxa"/>
            <w:gridSpan w:val="5"/>
            <w:vAlign w:val="center"/>
          </w:tcPr>
          <w:p>
            <w:pPr>
              <w:spacing w:line="240" w:lineRule="exact"/>
              <w:ind w:right="641"/>
              <w:rPr>
                <w:szCs w:val="21"/>
              </w:rPr>
            </w:pPr>
            <w:r>
              <w:rPr>
                <w:rFonts w:hint="eastAsia"/>
                <w:szCs w:val="21"/>
              </w:rPr>
              <w:t>中国石化销售股份有限公司江西抚州资溪石油分公司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796" w:type="dxa"/>
            <w:vAlign w:val="center"/>
          </w:tcPr>
          <w:p>
            <w:pPr>
              <w:spacing w:line="240" w:lineRule="exact"/>
              <w:ind w:left="-105" w:leftChars="-50" w:right="-105" w:rightChars="-50"/>
              <w:jc w:val="center"/>
              <w:rPr>
                <w:szCs w:val="21"/>
              </w:rPr>
            </w:pPr>
            <w:r>
              <w:rPr>
                <w:rFonts w:hAnsi="宋体"/>
                <w:szCs w:val="21"/>
              </w:rPr>
              <w:t>建设项目性质</w:t>
            </w:r>
          </w:p>
        </w:tc>
        <w:tc>
          <w:tcPr>
            <w:tcW w:w="7951" w:type="dxa"/>
            <w:gridSpan w:val="5"/>
            <w:vAlign w:val="center"/>
          </w:tcPr>
          <w:p>
            <w:pPr>
              <w:spacing w:line="240" w:lineRule="exact"/>
              <w:rPr>
                <w:szCs w:val="21"/>
              </w:rPr>
            </w:pPr>
            <w:r>
              <w:rPr>
                <w:rFonts w:ascii="宋体" w:hAnsi="宋体" w:cs="宋体"/>
              </w:rPr>
              <w:pict>
                <v:shape id="CheckBox4" o:spid="_x0000_s1035" o:spt="201" alt="" type="#_x0000_t201" style="position:absolute;left:0pt;margin-left:155.05pt;margin-top:1.55pt;height:23.25pt;width:38.25pt;z-index:251848704;mso-width-relative:page;mso-height-relative:page;" o:ole="t" filled="f" o:preferrelative="t" stroked="f" coordsize="21600,21600">
                  <v:path/>
                  <v:fill on="f" focussize="0,0"/>
                  <v:stroke on="f"/>
                  <v:imagedata r:id="rId11" o:title=""/>
                  <o:lock v:ext="edit" aspectratio="f"/>
                </v:shape>
                <w:control r:id="rId10" w:name="CheckBox4" w:shapeid="CheckBox4"/>
              </w:pict>
            </w:r>
            <w:r>
              <w:rPr>
                <w:rFonts w:ascii="宋体" w:hAnsi="宋体" w:cs="宋体"/>
              </w:rPr>
              <w:pict>
                <v:shape id="CheckBox3" o:spid="_x0000_s1034" o:spt="201" alt="" type="#_x0000_t201" style="position:absolute;left:0pt;margin-left:107.05pt;margin-top:1.55pt;height:23.25pt;width:38.25pt;z-index:251847680;mso-width-relative:page;mso-height-relative:page;" o:ole="t" filled="f" o:preferrelative="t" stroked="f" coordsize="21600,21600">
                  <v:path/>
                  <v:fill on="f" focussize="0,0"/>
                  <v:stroke on="f"/>
                  <v:imagedata r:id="rId13" o:title=""/>
                  <o:lock v:ext="edit" aspectratio="f"/>
                </v:shape>
                <w:control r:id="rId12" w:name="CheckBox3" w:shapeid="CheckBox3"/>
              </w:pict>
            </w:r>
            <w:r>
              <w:rPr>
                <w:rFonts w:ascii="宋体" w:hAnsi="宋体" w:cs="宋体"/>
              </w:rPr>
              <w:pict>
                <v:shape id="CheckBox2" o:spid="_x0000_s1033" o:spt="201" alt="" type="#_x0000_t201" style="position:absolute;left:0pt;margin-left:49pt;margin-top:2.55pt;height:22.5pt;width:52.5pt;z-index:251846656;mso-width-relative:page;mso-height-relative:page;" o:ole="t" filled="f" o:preferrelative="t" stroked="f" coordsize="21600,21600">
                  <v:path/>
                  <v:fill on="f" focussize="0,0"/>
                  <v:stroke on="f"/>
                  <v:imagedata r:id="rId15" o:title=""/>
                  <o:lock v:ext="edit" aspectratio="f"/>
                </v:shape>
                <w:control r:id="rId14" w:name="CheckBox2" w:shapeid="CheckBox2"/>
              </w:pict>
            </w:r>
            <w:r>
              <w:rPr>
                <w:rFonts w:ascii="宋体" w:hAnsi="宋体" w:cs="宋体"/>
              </w:rPr>
              <w:pict>
                <v:shape id="CheckBox1" o:spid="_x0000_s1032" o:spt="201" alt="" type="#_x0000_t201" style="position:absolute;left:0pt;margin-left:0.55pt;margin-top:1.55pt;height:23.25pt;width:38.25pt;z-index:251845632;mso-width-relative:page;mso-height-relative:page;" o:ole="t" filled="f" o:preferrelative="t" stroked="f" coordsize="21600,21600">
                  <v:path/>
                  <v:fill on="f" focussize="0,0"/>
                  <v:stroke on="f"/>
                  <v:imagedata r:id="rId17" o:title=""/>
                  <o:lock v:ext="edit" aspectratio="f"/>
                </v:shape>
                <w:control r:id="rId16" w:name="CheckBox1" w:shapeid="CheckBox1"/>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796" w:type="dxa"/>
            <w:vAlign w:val="center"/>
          </w:tcPr>
          <w:p>
            <w:pPr>
              <w:spacing w:line="240" w:lineRule="exact"/>
              <w:ind w:left="-105" w:leftChars="-50" w:right="-105" w:rightChars="-50"/>
              <w:jc w:val="center"/>
              <w:rPr>
                <w:rFonts w:hAnsi="宋体"/>
                <w:szCs w:val="21"/>
              </w:rPr>
            </w:pPr>
            <w:r>
              <w:rPr>
                <w:rFonts w:hint="eastAsia" w:hAnsi="宋体"/>
                <w:szCs w:val="21"/>
              </w:rPr>
              <w:t>建设地点</w:t>
            </w:r>
          </w:p>
        </w:tc>
        <w:tc>
          <w:tcPr>
            <w:tcW w:w="7951" w:type="dxa"/>
            <w:gridSpan w:val="5"/>
            <w:vAlign w:val="center"/>
          </w:tcPr>
          <w:p>
            <w:pPr>
              <w:spacing w:line="240" w:lineRule="exact"/>
              <w:ind w:right="641"/>
              <w:rPr>
                <w:rFonts w:cs="宋体"/>
              </w:rPr>
            </w:pPr>
            <w:r>
              <w:rPr>
                <w:rFonts w:hint="eastAsia" w:cs="宋体"/>
              </w:rPr>
              <w:t>江西省抚州市资溪</w:t>
            </w:r>
            <w:r>
              <w:rPr>
                <w:rFonts w:cs="宋体"/>
              </w:rPr>
              <w:t>县鹤城镇沙苑村新</w:t>
            </w:r>
            <w:r>
              <w:rPr>
                <w:rFonts w:hint="eastAsia" w:cs="宋体"/>
              </w:rPr>
              <w:t>316国道</w:t>
            </w:r>
            <w:r>
              <w:rPr>
                <w:rFonts w:cs="宋体"/>
              </w:rPr>
              <w:t>东侧（</w:t>
            </w:r>
            <w:r>
              <w:rPr>
                <w:rFonts w:hint="eastAsia" w:cs="宋体"/>
              </w:rPr>
              <w:t>茶博城</w:t>
            </w:r>
            <w:r>
              <w:rPr>
                <w:rFonts w:cs="宋体"/>
              </w:rPr>
              <w:t>对</w:t>
            </w:r>
            <w:r>
              <w:rPr>
                <w:rFonts w:hint="eastAsia" w:cs="宋体"/>
              </w:rPr>
              <w:t>面</w:t>
            </w:r>
            <w:r>
              <w:rPr>
                <w:rFonts w:cs="宋体"/>
              </w:rPr>
              <w:t>），地理坐标为东经</w:t>
            </w:r>
            <w:r>
              <w:rPr>
                <w:rFonts w:hint="eastAsia" w:cs="宋体"/>
              </w:rPr>
              <w:t>11</w:t>
            </w:r>
            <w:r>
              <w:rPr>
                <w:rFonts w:cs="宋体"/>
              </w:rPr>
              <w:t>7</w:t>
            </w:r>
            <w:r>
              <w:rPr>
                <w:rFonts w:hint="eastAsia" w:cs="宋体"/>
              </w:rPr>
              <w:t>°5′19.52″，</w:t>
            </w:r>
            <w:r>
              <w:rPr>
                <w:rFonts w:cs="宋体"/>
              </w:rPr>
              <w:t>北纬</w:t>
            </w:r>
            <w:r>
              <w:rPr>
                <w:rFonts w:hint="eastAsia" w:cs="宋体"/>
              </w:rPr>
              <w:t>2</w:t>
            </w:r>
            <w:r>
              <w:rPr>
                <w:rFonts w:cs="宋体"/>
              </w:rPr>
              <w:t>7</w:t>
            </w:r>
            <w:r>
              <w:rPr>
                <w:rFonts w:hint="eastAsia" w:cs="宋体"/>
              </w:rPr>
              <w:t>°4</w:t>
            </w:r>
            <w:r>
              <w:rPr>
                <w:rFonts w:cs="宋体"/>
              </w:rPr>
              <w:t>3</w:t>
            </w:r>
            <w:r>
              <w:rPr>
                <w:rFonts w:hint="eastAsia" w:cs="宋体"/>
              </w:rPr>
              <w:t>′</w:t>
            </w:r>
            <w:r>
              <w:rPr>
                <w:rFonts w:cs="宋体"/>
              </w:rPr>
              <w:t>23.57</w:t>
            </w:r>
            <w:r>
              <w:rPr>
                <w:rFonts w:hint="eastAsia" w:cs="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6" w:type="dxa"/>
            <w:vAlign w:val="center"/>
          </w:tcPr>
          <w:p>
            <w:pPr>
              <w:spacing w:line="240" w:lineRule="exact"/>
              <w:ind w:left="-105" w:leftChars="-50" w:right="-105" w:rightChars="-50"/>
              <w:jc w:val="center"/>
              <w:rPr>
                <w:rFonts w:hAnsi="宋体"/>
                <w:szCs w:val="21"/>
              </w:rPr>
            </w:pPr>
            <w:r>
              <w:rPr>
                <w:rFonts w:hAnsi="宋体"/>
                <w:szCs w:val="21"/>
              </w:rPr>
              <w:t>主要产品名称</w:t>
            </w:r>
          </w:p>
        </w:tc>
        <w:tc>
          <w:tcPr>
            <w:tcW w:w="7951" w:type="dxa"/>
            <w:gridSpan w:val="5"/>
            <w:vAlign w:val="center"/>
          </w:tcPr>
          <w:p>
            <w:pPr>
              <w:rPr>
                <w:szCs w:val="21"/>
              </w:rPr>
            </w:pPr>
            <w:r>
              <w:rPr>
                <w:rFonts w:hint="eastAsia"/>
                <w:szCs w:val="21"/>
              </w:rPr>
              <w:t>柴油、汽油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6" w:type="dxa"/>
            <w:vAlign w:val="center"/>
          </w:tcPr>
          <w:p>
            <w:pPr>
              <w:spacing w:line="240" w:lineRule="exact"/>
              <w:ind w:left="-105" w:leftChars="-50" w:right="-105" w:rightChars="-50"/>
              <w:jc w:val="center"/>
              <w:rPr>
                <w:rFonts w:asciiTheme="majorBidi" w:hAnsiTheme="majorBidi" w:cstheme="majorBidi"/>
                <w:szCs w:val="21"/>
              </w:rPr>
            </w:pPr>
            <w:r>
              <w:rPr>
                <w:rFonts w:hint="eastAsia" w:asciiTheme="majorBidi" w:hAnsiTheme="majorBidi" w:cstheme="majorBidi"/>
                <w:szCs w:val="21"/>
              </w:rPr>
              <w:t>设计销售量</w:t>
            </w:r>
          </w:p>
        </w:tc>
        <w:tc>
          <w:tcPr>
            <w:tcW w:w="7951" w:type="dxa"/>
            <w:gridSpan w:val="5"/>
            <w:vAlign w:val="center"/>
          </w:tcPr>
          <w:p>
            <w:pPr>
              <w:rPr>
                <w:szCs w:val="21"/>
              </w:rPr>
            </w:pPr>
            <w:r>
              <w:rPr>
                <w:rFonts w:hint="eastAsia"/>
                <w:szCs w:val="21"/>
              </w:rPr>
              <w:t>汽油</w:t>
            </w:r>
            <w:r>
              <w:rPr>
                <w:rFonts w:hint="eastAsia"/>
                <w:szCs w:val="21"/>
                <w:lang w:val="en-US" w:eastAsia="zh-CN"/>
              </w:rPr>
              <w:t>1540</w:t>
            </w:r>
            <w:r>
              <w:rPr>
                <w:rFonts w:hint="eastAsia"/>
                <w:szCs w:val="21"/>
              </w:rPr>
              <w:t>t/a，柴油</w:t>
            </w:r>
            <w:r>
              <w:rPr>
                <w:rFonts w:hint="eastAsia"/>
                <w:szCs w:val="21"/>
                <w:lang w:val="en-US" w:eastAsia="zh-CN"/>
              </w:rPr>
              <w:t>660</w:t>
            </w:r>
            <w:r>
              <w:rPr>
                <w:rFonts w:hint="eastAsia"/>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6" w:type="dxa"/>
            <w:vAlign w:val="center"/>
          </w:tcPr>
          <w:p>
            <w:pPr>
              <w:spacing w:line="240" w:lineRule="exact"/>
              <w:ind w:left="-105" w:leftChars="-50" w:right="-105" w:rightChars="-50"/>
              <w:jc w:val="center"/>
              <w:rPr>
                <w:rFonts w:asciiTheme="majorBidi" w:hAnsiTheme="majorBidi" w:cstheme="majorBidi"/>
                <w:color w:val="000000"/>
                <w:szCs w:val="21"/>
              </w:rPr>
            </w:pPr>
            <w:r>
              <w:rPr>
                <w:rFonts w:asciiTheme="majorBidi" w:hAnsiTheme="majorBidi" w:cstheme="majorBidi"/>
                <w:color w:val="000000"/>
                <w:szCs w:val="21"/>
              </w:rPr>
              <w:t>实际</w:t>
            </w:r>
            <w:r>
              <w:rPr>
                <w:rFonts w:hint="eastAsia" w:asciiTheme="majorBidi" w:hAnsiTheme="majorBidi" w:cstheme="majorBidi"/>
                <w:color w:val="000000"/>
                <w:szCs w:val="21"/>
              </w:rPr>
              <w:t>销售能力</w:t>
            </w:r>
          </w:p>
        </w:tc>
        <w:tc>
          <w:tcPr>
            <w:tcW w:w="7951" w:type="dxa"/>
            <w:gridSpan w:val="5"/>
            <w:vAlign w:val="center"/>
          </w:tcPr>
          <w:p>
            <w:pPr>
              <w:rPr>
                <w:szCs w:val="21"/>
              </w:rPr>
            </w:pPr>
            <w:r>
              <w:rPr>
                <w:rFonts w:hint="eastAsia"/>
                <w:szCs w:val="21"/>
              </w:rPr>
              <w:t>汽油</w:t>
            </w:r>
            <w:r>
              <w:rPr>
                <w:rFonts w:hint="eastAsia"/>
                <w:szCs w:val="21"/>
                <w:lang w:val="en-US" w:eastAsia="zh-CN"/>
              </w:rPr>
              <w:t>1540</w:t>
            </w:r>
            <w:r>
              <w:rPr>
                <w:rFonts w:hint="eastAsia"/>
                <w:szCs w:val="21"/>
              </w:rPr>
              <w:t>t/a，柴油</w:t>
            </w:r>
            <w:r>
              <w:rPr>
                <w:rFonts w:hint="eastAsia"/>
                <w:szCs w:val="21"/>
                <w:lang w:val="en-US" w:eastAsia="zh-CN"/>
              </w:rPr>
              <w:t>660</w:t>
            </w:r>
            <w:r>
              <w:rPr>
                <w:rFonts w:hint="eastAsia"/>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6" w:type="dxa"/>
            <w:vAlign w:val="center"/>
          </w:tcPr>
          <w:p>
            <w:pPr>
              <w:spacing w:line="240" w:lineRule="exact"/>
              <w:ind w:left="-105" w:leftChars="-50" w:right="-105" w:rightChars="-50"/>
              <w:jc w:val="center"/>
              <w:rPr>
                <w:color w:val="000000"/>
                <w:szCs w:val="21"/>
              </w:rPr>
            </w:pPr>
            <w:r>
              <w:rPr>
                <w:rFonts w:hint="eastAsia" w:hAnsi="宋体"/>
                <w:color w:val="000000"/>
                <w:szCs w:val="21"/>
              </w:rPr>
              <w:t>建设项目</w:t>
            </w:r>
            <w:r>
              <w:rPr>
                <w:rFonts w:hAnsi="宋体"/>
                <w:color w:val="000000"/>
                <w:szCs w:val="21"/>
              </w:rPr>
              <w:t>环评时间</w:t>
            </w:r>
          </w:p>
        </w:tc>
        <w:tc>
          <w:tcPr>
            <w:tcW w:w="2977" w:type="dxa"/>
            <w:gridSpan w:val="2"/>
            <w:vAlign w:val="center"/>
          </w:tcPr>
          <w:p>
            <w:pPr>
              <w:spacing w:line="240" w:lineRule="exact"/>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20</w:t>
            </w:r>
            <w:r>
              <w:rPr>
                <w:rFonts w:hint="eastAsia"/>
                <w:bCs/>
                <w:color w:val="000000" w:themeColor="text1"/>
                <w:szCs w:val="21"/>
                <w:lang w:val="en-US" w:eastAsia="zh-CN"/>
                <w14:textFill>
                  <w14:solidFill>
                    <w14:schemeClr w14:val="tx1"/>
                  </w14:solidFill>
                </w14:textFill>
              </w:rPr>
              <w:t>20</w:t>
            </w:r>
            <w:r>
              <w:rPr>
                <w:rFonts w:hint="eastAsia"/>
                <w:bCs/>
                <w:color w:val="000000" w:themeColor="text1"/>
                <w:szCs w:val="21"/>
                <w14:textFill>
                  <w14:solidFill>
                    <w14:schemeClr w14:val="tx1"/>
                  </w14:solidFill>
                </w14:textFill>
              </w:rPr>
              <w:t>年</w:t>
            </w:r>
            <w:r>
              <w:rPr>
                <w:rFonts w:hint="eastAsia"/>
                <w:bCs/>
                <w:color w:val="000000" w:themeColor="text1"/>
                <w:szCs w:val="21"/>
                <w:lang w:val="en-US" w:eastAsia="zh-CN"/>
                <w14:textFill>
                  <w14:solidFill>
                    <w14:schemeClr w14:val="tx1"/>
                  </w14:solidFill>
                </w14:textFill>
              </w:rPr>
              <w:t>10</w:t>
            </w:r>
            <w:r>
              <w:rPr>
                <w:rFonts w:hint="eastAsia"/>
                <w:bCs/>
                <w:color w:val="000000" w:themeColor="text1"/>
                <w:szCs w:val="21"/>
                <w14:textFill>
                  <w14:solidFill>
                    <w14:schemeClr w14:val="tx1"/>
                  </w14:solidFill>
                </w14:textFill>
              </w:rPr>
              <w:t>月</w:t>
            </w:r>
          </w:p>
        </w:tc>
        <w:tc>
          <w:tcPr>
            <w:tcW w:w="1998" w:type="dxa"/>
            <w:vAlign w:val="center"/>
          </w:tcPr>
          <w:p>
            <w:pPr>
              <w:spacing w:line="240" w:lineRule="exact"/>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开工</w:t>
            </w:r>
            <w:r>
              <w:rPr>
                <w:rFonts w:hint="eastAsia" w:hAnsi="宋体"/>
                <w:color w:val="000000" w:themeColor="text1"/>
                <w:szCs w:val="21"/>
                <w14:textFill>
                  <w14:solidFill>
                    <w14:schemeClr w14:val="tx1"/>
                  </w14:solidFill>
                </w14:textFill>
              </w:rPr>
              <w:t>建设时间</w:t>
            </w:r>
          </w:p>
        </w:tc>
        <w:tc>
          <w:tcPr>
            <w:tcW w:w="2976" w:type="dxa"/>
            <w:gridSpan w:val="2"/>
            <w:vAlign w:val="center"/>
          </w:tcPr>
          <w:p>
            <w:pPr>
              <w:spacing w:line="240" w:lineRule="exact"/>
              <w:jc w:val="center"/>
              <w:rPr>
                <w:color w:val="000000" w:themeColor="text1"/>
                <w:szCs w:val="21"/>
                <w14:textFill>
                  <w14:solidFill>
                    <w14:schemeClr w14:val="tx1"/>
                  </w14:solidFill>
                </w14:textFill>
              </w:rPr>
            </w:pPr>
            <w:r>
              <w:rPr>
                <w:rFonts w:hint="eastAsia"/>
                <w:color w:val="000000" w:themeColor="text1"/>
                <w:szCs w:val="21"/>
                <w:highlight w:val="none"/>
                <w14:textFill>
                  <w14:solidFill>
                    <w14:schemeClr w14:val="tx1"/>
                  </w14:solidFill>
                </w14:textFill>
              </w:rPr>
              <w:t>20</w:t>
            </w:r>
            <w:r>
              <w:rPr>
                <w:rFonts w:hint="eastAsia"/>
                <w:color w:val="000000" w:themeColor="text1"/>
                <w:szCs w:val="21"/>
                <w:highlight w:val="none"/>
                <w:lang w:val="en-US" w:eastAsia="zh-CN"/>
                <w14:textFill>
                  <w14:solidFill>
                    <w14:schemeClr w14:val="tx1"/>
                  </w14:solidFill>
                </w14:textFill>
              </w:rPr>
              <w:t>20</w:t>
            </w:r>
            <w:r>
              <w:rPr>
                <w:rFonts w:hint="eastAsia"/>
                <w:color w:val="000000" w:themeColor="text1"/>
                <w:szCs w:val="21"/>
                <w:highlight w:val="none"/>
                <w14:textFill>
                  <w14:solidFill>
                    <w14:schemeClr w14:val="tx1"/>
                  </w14:solidFill>
                </w14:textFill>
              </w:rPr>
              <w:t>年</w:t>
            </w:r>
            <w:r>
              <w:rPr>
                <w:rFonts w:hint="eastAsia"/>
                <w:color w:val="000000" w:themeColor="text1"/>
                <w:szCs w:val="21"/>
                <w:highlight w:val="none"/>
                <w:lang w:val="en-US" w:eastAsia="zh-CN"/>
                <w14:textFill>
                  <w14:solidFill>
                    <w14:schemeClr w14:val="tx1"/>
                  </w14:solidFill>
                </w14:textFill>
              </w:rPr>
              <w:t>11</w:t>
            </w:r>
            <w:r>
              <w:rPr>
                <w:rFonts w:hint="eastAsia"/>
                <w:color w:val="000000" w:themeColor="text1"/>
                <w:szCs w:val="21"/>
                <w:highlight w:val="none"/>
                <w14:textFill>
                  <w14:solidFill>
                    <w14:schemeClr w14:val="tx1"/>
                  </w14:solidFill>
                </w14:textFill>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6" w:type="dxa"/>
            <w:vAlign w:val="center"/>
          </w:tcPr>
          <w:p>
            <w:pPr>
              <w:spacing w:line="240" w:lineRule="exact"/>
              <w:ind w:left="-105" w:leftChars="-50" w:right="-105" w:rightChars="-50"/>
              <w:jc w:val="center"/>
              <w:rPr>
                <w:color w:val="000000"/>
                <w:szCs w:val="21"/>
              </w:rPr>
            </w:pPr>
            <w:r>
              <w:rPr>
                <w:rFonts w:hint="eastAsia" w:hAnsi="宋体"/>
                <w:color w:val="000000"/>
                <w:szCs w:val="21"/>
              </w:rPr>
              <w:t>调试时间</w:t>
            </w:r>
          </w:p>
        </w:tc>
        <w:tc>
          <w:tcPr>
            <w:tcW w:w="2977" w:type="dxa"/>
            <w:gridSpan w:val="2"/>
            <w:vAlign w:val="center"/>
          </w:tcPr>
          <w:p>
            <w:pPr>
              <w:spacing w:line="24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2020年</w:t>
            </w:r>
            <w:r>
              <w:rPr>
                <w:rFonts w:hint="eastAsia"/>
                <w:color w:val="000000" w:themeColor="text1"/>
                <w:szCs w:val="21"/>
                <w:lang w:val="en-US" w:eastAsia="zh-CN"/>
                <w14:textFill>
                  <w14:solidFill>
                    <w14:schemeClr w14:val="tx1"/>
                  </w14:solidFill>
                </w14:textFill>
              </w:rPr>
              <w:t>12</w:t>
            </w:r>
            <w:r>
              <w:rPr>
                <w:rFonts w:hint="eastAsia"/>
                <w:color w:val="000000" w:themeColor="text1"/>
                <w:szCs w:val="21"/>
                <w14:textFill>
                  <w14:solidFill>
                    <w14:schemeClr w14:val="tx1"/>
                  </w14:solidFill>
                </w14:textFill>
              </w:rPr>
              <w:t>月</w:t>
            </w:r>
          </w:p>
        </w:tc>
        <w:tc>
          <w:tcPr>
            <w:tcW w:w="1998" w:type="dxa"/>
            <w:vAlign w:val="center"/>
          </w:tcPr>
          <w:p>
            <w:pPr>
              <w:spacing w:line="240" w:lineRule="exact"/>
              <w:ind w:left="-105" w:leftChars="-50" w:right="-105" w:rightChars="-50"/>
              <w:jc w:val="center"/>
              <w:rPr>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验收现场监测时间</w:t>
            </w:r>
          </w:p>
        </w:tc>
        <w:tc>
          <w:tcPr>
            <w:tcW w:w="2976" w:type="dxa"/>
            <w:gridSpan w:val="2"/>
            <w:vAlign w:val="center"/>
          </w:tcPr>
          <w:p>
            <w:pPr>
              <w:spacing w:line="240" w:lineRule="exact"/>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202</w:t>
            </w:r>
            <w:r>
              <w:rPr>
                <w:rFonts w:hint="eastAsia"/>
                <w:bCs/>
                <w:color w:val="000000" w:themeColor="text1"/>
                <w:szCs w:val="21"/>
                <w:lang w:val="en-US" w:eastAsia="zh-CN"/>
                <w14:textFill>
                  <w14:solidFill>
                    <w14:schemeClr w14:val="tx1"/>
                  </w14:solidFill>
                </w14:textFill>
              </w:rPr>
              <w:t>1</w:t>
            </w:r>
            <w:r>
              <w:rPr>
                <w:rFonts w:hint="eastAsia"/>
                <w:bCs/>
                <w:color w:val="000000" w:themeColor="text1"/>
                <w:szCs w:val="21"/>
                <w14:textFill>
                  <w14:solidFill>
                    <w14:schemeClr w14:val="tx1"/>
                  </w14:solidFill>
                </w14:textFill>
              </w:rPr>
              <w:t>年</w:t>
            </w:r>
            <w:r>
              <w:rPr>
                <w:rFonts w:hint="eastAsia"/>
                <w:bCs/>
                <w:color w:val="000000" w:themeColor="text1"/>
                <w:szCs w:val="21"/>
                <w:lang w:val="en-US" w:eastAsia="zh-CN"/>
                <w14:textFill>
                  <w14:solidFill>
                    <w14:schemeClr w14:val="tx1"/>
                  </w14:solidFill>
                </w14:textFill>
              </w:rPr>
              <w:t>1</w:t>
            </w:r>
            <w:r>
              <w:rPr>
                <w:rFonts w:hint="eastAsia"/>
                <w:bCs/>
                <w:color w:val="000000" w:themeColor="text1"/>
                <w:szCs w:val="21"/>
                <w14:textFill>
                  <w14:solidFill>
                    <w14:schemeClr w14:val="tx1"/>
                  </w14:solidFill>
                </w14:textFill>
              </w:rPr>
              <w:t>月</w:t>
            </w:r>
            <w:r>
              <w:rPr>
                <w:rFonts w:hint="eastAsia"/>
                <w:bCs/>
                <w:color w:val="000000" w:themeColor="text1"/>
                <w:szCs w:val="21"/>
                <w:lang w:val="en-US" w:eastAsia="zh-CN"/>
                <w14:textFill>
                  <w14:solidFill>
                    <w14:schemeClr w14:val="tx1"/>
                  </w14:solidFill>
                </w14:textFill>
              </w:rPr>
              <w:t>6</w:t>
            </w:r>
            <w:r>
              <w:rPr>
                <w:rFonts w:hint="eastAsia"/>
                <w:bCs/>
                <w:color w:val="000000" w:themeColor="text1"/>
                <w:szCs w:val="21"/>
                <w14:textFill>
                  <w14:solidFill>
                    <w14:schemeClr w14:val="tx1"/>
                  </w14:solidFill>
                </w14:textFill>
              </w:rPr>
              <w:t>~7日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trPr>
        <w:tc>
          <w:tcPr>
            <w:tcW w:w="1796" w:type="dxa"/>
            <w:vAlign w:val="center"/>
          </w:tcPr>
          <w:p>
            <w:pPr>
              <w:spacing w:line="240" w:lineRule="exact"/>
              <w:ind w:left="-105" w:leftChars="-50" w:right="-105" w:rightChars="-50"/>
              <w:jc w:val="center"/>
              <w:rPr>
                <w:szCs w:val="21"/>
              </w:rPr>
            </w:pPr>
            <w:r>
              <w:rPr>
                <w:rFonts w:hAnsi="宋体"/>
                <w:szCs w:val="21"/>
              </w:rPr>
              <w:t>环评报告表审批部门</w:t>
            </w:r>
          </w:p>
        </w:tc>
        <w:tc>
          <w:tcPr>
            <w:tcW w:w="2977" w:type="dxa"/>
            <w:gridSpan w:val="2"/>
            <w:vAlign w:val="center"/>
          </w:tcPr>
          <w:p>
            <w:pPr>
              <w:spacing w:line="240" w:lineRule="exact"/>
              <w:ind w:right="-192"/>
              <w:jc w:val="center"/>
              <w:rPr>
                <w:rFonts w:hint="eastAsia" w:eastAsia="宋体"/>
                <w:szCs w:val="21"/>
                <w:lang w:eastAsia="zh-CN"/>
              </w:rPr>
            </w:pPr>
            <w:r>
              <w:rPr>
                <w:rFonts w:hint="eastAsia"/>
                <w:szCs w:val="21"/>
                <w:lang w:eastAsia="zh-CN"/>
              </w:rPr>
              <w:t>资溪县行政审批局</w:t>
            </w:r>
          </w:p>
        </w:tc>
        <w:tc>
          <w:tcPr>
            <w:tcW w:w="1998" w:type="dxa"/>
            <w:vAlign w:val="center"/>
          </w:tcPr>
          <w:p>
            <w:pPr>
              <w:spacing w:line="240" w:lineRule="exact"/>
              <w:ind w:left="-105" w:leftChars="-50" w:right="-105" w:rightChars="-50"/>
              <w:jc w:val="center"/>
              <w:rPr>
                <w:szCs w:val="21"/>
              </w:rPr>
            </w:pPr>
            <w:r>
              <w:rPr>
                <w:szCs w:val="21"/>
              </w:rPr>
              <w:t>环评报告表编制单位</w:t>
            </w:r>
          </w:p>
        </w:tc>
        <w:tc>
          <w:tcPr>
            <w:tcW w:w="2976" w:type="dxa"/>
            <w:gridSpan w:val="2"/>
            <w:vAlign w:val="center"/>
          </w:tcPr>
          <w:p>
            <w:pPr>
              <w:spacing w:line="220" w:lineRule="exact"/>
              <w:jc w:val="center"/>
              <w:rPr>
                <w:szCs w:val="21"/>
              </w:rPr>
            </w:pPr>
            <w:r>
              <w:rPr>
                <w:rFonts w:hint="eastAsia"/>
                <w:szCs w:val="21"/>
              </w:rPr>
              <w:t>江西省核工业地质局测试研究中心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1796" w:type="dxa"/>
            <w:vAlign w:val="center"/>
          </w:tcPr>
          <w:p>
            <w:pPr>
              <w:spacing w:line="240" w:lineRule="exact"/>
              <w:ind w:left="-105" w:leftChars="-50" w:right="-105" w:rightChars="-50"/>
              <w:jc w:val="center"/>
              <w:rPr>
                <w:color w:val="000000"/>
                <w:szCs w:val="21"/>
              </w:rPr>
            </w:pPr>
            <w:r>
              <w:rPr>
                <w:rFonts w:hAnsi="宋体"/>
                <w:color w:val="000000"/>
                <w:szCs w:val="21"/>
              </w:rPr>
              <w:t>环保设施设计单位</w:t>
            </w:r>
          </w:p>
        </w:tc>
        <w:tc>
          <w:tcPr>
            <w:tcW w:w="2977" w:type="dxa"/>
            <w:gridSpan w:val="2"/>
            <w:vAlign w:val="center"/>
          </w:tcPr>
          <w:p>
            <w:pPr>
              <w:pStyle w:val="42"/>
              <w:spacing w:line="240" w:lineRule="exact"/>
              <w:jc w:val="center"/>
              <w:rPr>
                <w:szCs w:val="21"/>
              </w:rPr>
            </w:pPr>
            <w:r>
              <w:rPr>
                <w:rFonts w:hint="eastAsia"/>
                <w:szCs w:val="21"/>
              </w:rPr>
              <w:t>中国石化销售股份有限公司江西抚州资溪石油分公司</w:t>
            </w:r>
          </w:p>
        </w:tc>
        <w:tc>
          <w:tcPr>
            <w:tcW w:w="1998" w:type="dxa"/>
            <w:vAlign w:val="center"/>
          </w:tcPr>
          <w:p>
            <w:pPr>
              <w:spacing w:line="240" w:lineRule="exact"/>
              <w:ind w:left="-105" w:leftChars="-50" w:right="-105" w:rightChars="-50"/>
              <w:jc w:val="center"/>
              <w:rPr>
                <w:szCs w:val="21"/>
              </w:rPr>
            </w:pPr>
            <w:r>
              <w:rPr>
                <w:szCs w:val="21"/>
              </w:rPr>
              <w:t>环保设施施工单位</w:t>
            </w:r>
          </w:p>
        </w:tc>
        <w:tc>
          <w:tcPr>
            <w:tcW w:w="2976" w:type="dxa"/>
            <w:gridSpan w:val="2"/>
            <w:vAlign w:val="center"/>
          </w:tcPr>
          <w:p>
            <w:pPr>
              <w:pStyle w:val="42"/>
              <w:spacing w:line="240" w:lineRule="exact"/>
              <w:jc w:val="center"/>
              <w:rPr>
                <w:szCs w:val="21"/>
              </w:rPr>
            </w:pPr>
            <w:r>
              <w:rPr>
                <w:rFonts w:hint="eastAsia"/>
                <w:szCs w:val="21"/>
              </w:rPr>
              <w:t>中国石化销售股份有限公司江西抚州资溪石油分公司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6" w:type="dxa"/>
            <w:vAlign w:val="center"/>
          </w:tcPr>
          <w:p>
            <w:pPr>
              <w:spacing w:line="240" w:lineRule="exact"/>
              <w:ind w:left="-105" w:leftChars="-50" w:right="-105" w:rightChars="-50"/>
              <w:jc w:val="center"/>
              <w:rPr>
                <w:szCs w:val="21"/>
              </w:rPr>
            </w:pPr>
            <w:r>
              <w:rPr>
                <w:rFonts w:hAnsi="宋体"/>
                <w:szCs w:val="21"/>
              </w:rPr>
              <w:t>投资总概算</w:t>
            </w:r>
          </w:p>
        </w:tc>
        <w:tc>
          <w:tcPr>
            <w:tcW w:w="1407" w:type="dxa"/>
            <w:vAlign w:val="center"/>
          </w:tcPr>
          <w:p>
            <w:pPr>
              <w:spacing w:line="240" w:lineRule="exact"/>
              <w:jc w:val="center"/>
              <w:rPr>
                <w:color w:val="000000" w:themeColor="text1"/>
                <w:szCs w:val="21"/>
                <w14:textFill>
                  <w14:solidFill>
                    <w14:schemeClr w14:val="tx1"/>
                  </w14:solidFill>
                </w14:textFill>
              </w:rPr>
            </w:pPr>
            <w:r>
              <w:rPr>
                <w:rFonts w:hint="eastAsia"/>
                <w:bCs/>
                <w:color w:val="000000" w:themeColor="text1"/>
                <w:szCs w:val="21"/>
                <w:lang w:val="en-US" w:eastAsia="zh-CN"/>
                <w14:textFill>
                  <w14:solidFill>
                    <w14:schemeClr w14:val="tx1"/>
                  </w14:solidFill>
                </w14:textFill>
              </w:rPr>
              <w:t>534</w:t>
            </w:r>
            <w:r>
              <w:rPr>
                <w:rFonts w:hint="eastAsia"/>
                <w:color w:val="000000" w:themeColor="text1"/>
                <w:szCs w:val="21"/>
                <w14:textFill>
                  <w14:solidFill>
                    <w14:schemeClr w14:val="tx1"/>
                  </w14:solidFill>
                </w14:textFill>
              </w:rPr>
              <w:t>万元</w:t>
            </w:r>
          </w:p>
        </w:tc>
        <w:tc>
          <w:tcPr>
            <w:tcW w:w="1570" w:type="dxa"/>
            <w:vAlign w:val="center"/>
          </w:tcPr>
          <w:p>
            <w:pPr>
              <w:tabs>
                <w:tab w:val="left" w:pos="1592"/>
              </w:tabs>
              <w:spacing w:line="240" w:lineRule="exact"/>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环保总概算</w:t>
            </w:r>
          </w:p>
        </w:tc>
        <w:tc>
          <w:tcPr>
            <w:tcW w:w="1998" w:type="dxa"/>
            <w:vAlign w:val="center"/>
          </w:tcPr>
          <w:p>
            <w:pPr>
              <w:spacing w:line="240" w:lineRule="exact"/>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41</w:t>
            </w:r>
            <w:r>
              <w:rPr>
                <w:rFonts w:hint="eastAsia"/>
                <w:color w:val="000000" w:themeColor="text1"/>
                <w:szCs w:val="21"/>
                <w14:textFill>
                  <w14:solidFill>
                    <w14:schemeClr w14:val="tx1"/>
                  </w14:solidFill>
                </w14:textFill>
              </w:rPr>
              <w:t>万元</w:t>
            </w:r>
          </w:p>
        </w:tc>
        <w:tc>
          <w:tcPr>
            <w:tcW w:w="1017" w:type="dxa"/>
            <w:vAlign w:val="center"/>
          </w:tcPr>
          <w:p>
            <w:pPr>
              <w:tabs>
                <w:tab w:val="left" w:pos="872"/>
              </w:tabs>
              <w:spacing w:line="240" w:lineRule="exact"/>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比例</w:t>
            </w:r>
          </w:p>
        </w:tc>
        <w:tc>
          <w:tcPr>
            <w:tcW w:w="1959" w:type="dxa"/>
            <w:vAlign w:val="center"/>
          </w:tcPr>
          <w:p>
            <w:pPr>
              <w:spacing w:line="240" w:lineRule="exact"/>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7.68</w:t>
            </w:r>
            <w:r>
              <w:rPr>
                <w:rFonts w:hint="eastAsia"/>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6" w:type="dxa"/>
            <w:vAlign w:val="center"/>
          </w:tcPr>
          <w:p>
            <w:pPr>
              <w:spacing w:line="240" w:lineRule="exact"/>
              <w:ind w:left="-105" w:leftChars="-50" w:right="-105" w:rightChars="-50"/>
              <w:jc w:val="center"/>
              <w:rPr>
                <w:color w:val="000000"/>
                <w:szCs w:val="21"/>
              </w:rPr>
            </w:pPr>
            <w:r>
              <w:rPr>
                <w:rFonts w:hAnsi="宋体"/>
                <w:color w:val="000000"/>
                <w:szCs w:val="21"/>
              </w:rPr>
              <w:t>实际总投资</w:t>
            </w:r>
          </w:p>
        </w:tc>
        <w:tc>
          <w:tcPr>
            <w:tcW w:w="1407" w:type="dxa"/>
            <w:vAlign w:val="center"/>
          </w:tcPr>
          <w:p>
            <w:pPr>
              <w:spacing w:line="240" w:lineRule="exact"/>
              <w:jc w:val="center"/>
              <w:rPr>
                <w:color w:val="000000" w:themeColor="text1"/>
                <w:szCs w:val="21"/>
                <w14:textFill>
                  <w14:solidFill>
                    <w14:schemeClr w14:val="tx1"/>
                  </w14:solidFill>
                </w14:textFill>
              </w:rPr>
            </w:pPr>
            <w:r>
              <w:rPr>
                <w:rFonts w:hint="eastAsia"/>
                <w:bCs/>
                <w:color w:val="000000" w:themeColor="text1"/>
                <w:szCs w:val="21"/>
                <w:lang w:val="en-US" w:eastAsia="zh-CN"/>
                <w14:textFill>
                  <w14:solidFill>
                    <w14:schemeClr w14:val="tx1"/>
                  </w14:solidFill>
                </w14:textFill>
              </w:rPr>
              <w:t>534</w:t>
            </w:r>
            <w:r>
              <w:rPr>
                <w:rFonts w:hint="eastAsia"/>
                <w:color w:val="000000" w:themeColor="text1"/>
                <w:szCs w:val="21"/>
                <w14:textFill>
                  <w14:solidFill>
                    <w14:schemeClr w14:val="tx1"/>
                  </w14:solidFill>
                </w14:textFill>
              </w:rPr>
              <w:t>万元</w:t>
            </w:r>
          </w:p>
        </w:tc>
        <w:tc>
          <w:tcPr>
            <w:tcW w:w="1570" w:type="dxa"/>
            <w:vAlign w:val="center"/>
          </w:tcPr>
          <w:p>
            <w:pPr>
              <w:tabs>
                <w:tab w:val="left" w:pos="1592"/>
              </w:tabs>
              <w:spacing w:line="240" w:lineRule="exact"/>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环保总</w:t>
            </w:r>
            <w:r>
              <w:rPr>
                <w:rFonts w:hint="eastAsia" w:hAnsi="宋体"/>
                <w:color w:val="000000" w:themeColor="text1"/>
                <w:szCs w:val="21"/>
                <w14:textFill>
                  <w14:solidFill>
                    <w14:schemeClr w14:val="tx1"/>
                  </w14:solidFill>
                </w14:textFill>
              </w:rPr>
              <w:t>投资</w:t>
            </w:r>
          </w:p>
        </w:tc>
        <w:tc>
          <w:tcPr>
            <w:tcW w:w="1998" w:type="dxa"/>
            <w:vAlign w:val="center"/>
          </w:tcPr>
          <w:p>
            <w:pPr>
              <w:spacing w:line="240" w:lineRule="exact"/>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41</w:t>
            </w:r>
            <w:r>
              <w:rPr>
                <w:rFonts w:hint="eastAsia"/>
                <w:color w:val="000000" w:themeColor="text1"/>
                <w:szCs w:val="21"/>
                <w14:textFill>
                  <w14:solidFill>
                    <w14:schemeClr w14:val="tx1"/>
                  </w14:solidFill>
                </w14:textFill>
              </w:rPr>
              <w:t>万元</w:t>
            </w:r>
          </w:p>
        </w:tc>
        <w:tc>
          <w:tcPr>
            <w:tcW w:w="1017" w:type="dxa"/>
            <w:vAlign w:val="center"/>
          </w:tcPr>
          <w:p>
            <w:pPr>
              <w:tabs>
                <w:tab w:val="left" w:pos="872"/>
              </w:tabs>
              <w:spacing w:line="240" w:lineRule="exact"/>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比例</w:t>
            </w:r>
          </w:p>
        </w:tc>
        <w:tc>
          <w:tcPr>
            <w:tcW w:w="1959" w:type="dxa"/>
            <w:vAlign w:val="center"/>
          </w:tcPr>
          <w:p>
            <w:pPr>
              <w:spacing w:line="240" w:lineRule="exact"/>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7.68</w:t>
            </w:r>
            <w:r>
              <w:rPr>
                <w:rFonts w:hint="eastAsia"/>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96" w:type="dxa"/>
            <w:vAlign w:val="center"/>
          </w:tcPr>
          <w:p>
            <w:pPr>
              <w:spacing w:line="240" w:lineRule="exact"/>
              <w:ind w:firstLine="210" w:firstLineChars="100"/>
              <w:rPr>
                <w:rFonts w:asciiTheme="majorBidi" w:hAnsiTheme="majorBidi" w:cstheme="majorBidi"/>
                <w:szCs w:val="21"/>
              </w:rPr>
            </w:pPr>
            <w:r>
              <w:rPr>
                <w:rFonts w:asciiTheme="majorBidi" w:hAnsiTheme="majorBidi" w:cstheme="majorBidi"/>
                <w:szCs w:val="21"/>
              </w:rPr>
              <w:t>验收监测依据</w:t>
            </w:r>
          </w:p>
        </w:tc>
        <w:tc>
          <w:tcPr>
            <w:tcW w:w="7951" w:type="dxa"/>
            <w:gridSpan w:val="5"/>
            <w:vAlign w:val="center"/>
          </w:tcPr>
          <w:p>
            <w:pPr>
              <w:spacing w:line="360" w:lineRule="auto"/>
              <w:rPr>
                <w:rFonts w:asciiTheme="majorBidi" w:hAnsiTheme="majorBidi" w:cstheme="majorBidi"/>
                <w:szCs w:val="21"/>
              </w:rPr>
            </w:pPr>
            <w:r>
              <w:rPr>
                <w:rFonts w:asciiTheme="majorBidi" w:hAnsiTheme="majorBidi" w:cstheme="majorBidi"/>
                <w:szCs w:val="21"/>
              </w:rPr>
              <w:t>1、《中华人民共和国环境保护法》(2015年1月1日)；</w:t>
            </w:r>
          </w:p>
          <w:p>
            <w:pPr>
              <w:pStyle w:val="2"/>
              <w:spacing w:after="0" w:line="360" w:lineRule="auto"/>
              <w:ind w:left="0" w:leftChars="0"/>
              <w:rPr>
                <w:rFonts w:asciiTheme="majorBidi" w:hAnsiTheme="majorBidi" w:cstheme="majorBidi"/>
              </w:rPr>
            </w:pPr>
            <w:r>
              <w:rPr>
                <w:rFonts w:asciiTheme="majorBidi" w:hAnsiTheme="majorBidi" w:cstheme="majorBidi"/>
              </w:rPr>
              <w:t>2、《中华人民共和国环境影响评价法》（2018年12月29日）；</w:t>
            </w:r>
          </w:p>
          <w:p>
            <w:pPr>
              <w:spacing w:line="360" w:lineRule="auto"/>
              <w:rPr>
                <w:rFonts w:asciiTheme="majorBidi" w:hAnsiTheme="majorBidi" w:cstheme="majorBidi"/>
                <w:szCs w:val="21"/>
              </w:rPr>
            </w:pPr>
            <w:r>
              <w:rPr>
                <w:rFonts w:asciiTheme="majorBidi" w:hAnsiTheme="majorBidi" w:cstheme="majorBidi"/>
                <w:szCs w:val="21"/>
              </w:rPr>
              <w:t>3、《中华人民共和国大气污染防治法》(2018年10月26日)；</w:t>
            </w:r>
          </w:p>
          <w:p>
            <w:pPr>
              <w:spacing w:line="360" w:lineRule="auto"/>
              <w:rPr>
                <w:rFonts w:asciiTheme="majorBidi" w:hAnsiTheme="majorBidi" w:cstheme="majorBidi"/>
                <w:szCs w:val="21"/>
              </w:rPr>
            </w:pPr>
            <w:r>
              <w:rPr>
                <w:rFonts w:asciiTheme="majorBidi" w:hAnsiTheme="majorBidi" w:cstheme="majorBidi"/>
                <w:szCs w:val="21"/>
              </w:rPr>
              <w:t>4、《中华人民共和国水污染防治法》(2018年1月1日)；</w:t>
            </w:r>
          </w:p>
          <w:p>
            <w:pPr>
              <w:spacing w:line="360" w:lineRule="auto"/>
              <w:rPr>
                <w:rFonts w:asciiTheme="majorBidi" w:hAnsiTheme="majorBidi" w:cstheme="majorBidi"/>
                <w:szCs w:val="21"/>
              </w:rPr>
            </w:pPr>
            <w:r>
              <w:rPr>
                <w:rFonts w:asciiTheme="majorBidi" w:hAnsiTheme="majorBidi" w:cstheme="majorBidi"/>
                <w:szCs w:val="21"/>
              </w:rPr>
              <w:t>5、《中华人民共和国环境噪声污染防治法》(2018年12月29日)；</w:t>
            </w:r>
          </w:p>
          <w:p>
            <w:pPr>
              <w:spacing w:line="360" w:lineRule="auto"/>
              <w:rPr>
                <w:rFonts w:asciiTheme="majorBidi" w:hAnsiTheme="majorBidi" w:cstheme="majorBidi"/>
                <w:szCs w:val="21"/>
              </w:rPr>
            </w:pPr>
            <w:r>
              <w:rPr>
                <w:rFonts w:asciiTheme="majorBidi" w:hAnsiTheme="majorBidi" w:cstheme="majorBidi"/>
                <w:szCs w:val="21"/>
              </w:rPr>
              <w:t>6、《中华人民共和国固体废物污染环境防治法》(2020年9月1日)；</w:t>
            </w:r>
          </w:p>
          <w:p>
            <w:pPr>
              <w:spacing w:line="360" w:lineRule="auto"/>
              <w:rPr>
                <w:rFonts w:asciiTheme="majorBidi" w:hAnsiTheme="majorBidi" w:cstheme="majorBidi"/>
                <w:szCs w:val="21"/>
              </w:rPr>
            </w:pPr>
            <w:r>
              <w:rPr>
                <w:rFonts w:asciiTheme="majorBidi" w:hAnsiTheme="majorBidi" w:cstheme="majorBidi"/>
                <w:szCs w:val="21"/>
              </w:rPr>
              <w:t>7、《建设项目环境保护管理条例》（国务院第682号令）；</w:t>
            </w:r>
          </w:p>
          <w:p>
            <w:pPr>
              <w:spacing w:line="360" w:lineRule="auto"/>
              <w:rPr>
                <w:rFonts w:asciiTheme="majorBidi" w:hAnsiTheme="majorBidi" w:cstheme="majorBidi"/>
                <w:szCs w:val="21"/>
              </w:rPr>
            </w:pPr>
            <w:r>
              <w:rPr>
                <w:rFonts w:asciiTheme="majorBidi" w:hAnsiTheme="majorBidi" w:cstheme="majorBidi"/>
                <w:szCs w:val="21"/>
              </w:rPr>
              <w:t>8、国家环境保护部《建设项目竣工环境保护验收暂行办法》（国环规环评[2017]4号）；</w:t>
            </w:r>
          </w:p>
          <w:p>
            <w:pPr>
              <w:spacing w:line="360" w:lineRule="auto"/>
              <w:rPr>
                <w:rFonts w:asciiTheme="majorBidi" w:hAnsiTheme="majorBidi" w:cstheme="majorBidi"/>
                <w:szCs w:val="21"/>
              </w:rPr>
            </w:pPr>
            <w:r>
              <w:rPr>
                <w:rFonts w:asciiTheme="majorBidi" w:hAnsiTheme="majorBidi" w:cstheme="majorBidi"/>
                <w:szCs w:val="21"/>
              </w:rPr>
              <w:t>9、《建设项目竣工环境保护验收技术指南</w:t>
            </w:r>
            <w:r>
              <w:rPr>
                <w:rFonts w:hint="eastAsia" w:asciiTheme="majorBidi" w:hAnsiTheme="majorBidi" w:cstheme="majorBidi"/>
                <w:szCs w:val="21"/>
              </w:rPr>
              <w:t xml:space="preserve"> </w:t>
            </w:r>
            <w:r>
              <w:rPr>
                <w:rFonts w:asciiTheme="majorBidi" w:hAnsiTheme="majorBidi" w:cstheme="majorBidi"/>
                <w:szCs w:val="21"/>
              </w:rPr>
              <w:t>污染影响类》（生态环境部2018年第9号令）；</w:t>
            </w:r>
          </w:p>
          <w:p>
            <w:pPr>
              <w:spacing w:line="360" w:lineRule="auto"/>
              <w:rPr>
                <w:rFonts w:asciiTheme="majorBidi" w:hAnsiTheme="majorBidi" w:cstheme="majorBidi"/>
                <w:szCs w:val="21"/>
              </w:rPr>
            </w:pPr>
            <w:r>
              <w:rPr>
                <w:rFonts w:asciiTheme="majorBidi" w:hAnsiTheme="majorBidi" w:cstheme="majorBidi"/>
                <w:szCs w:val="21"/>
              </w:rPr>
              <w:t>10、</w:t>
            </w:r>
            <w:r>
              <w:rPr>
                <w:rFonts w:hint="eastAsia" w:asciiTheme="majorBidi" w:hAnsiTheme="majorBidi" w:cstheme="majorBidi"/>
                <w:szCs w:val="21"/>
              </w:rPr>
              <w:t>《储油库、加油站大气污染治理项目验收检测技术规范》（HJ/T431－2008）</w:t>
            </w:r>
            <w:r>
              <w:rPr>
                <w:rFonts w:asciiTheme="majorBidi" w:hAnsiTheme="majorBidi" w:cstheme="majorBidi"/>
                <w:szCs w:val="21"/>
              </w:rPr>
              <w:t>；</w:t>
            </w:r>
          </w:p>
          <w:p>
            <w:pPr>
              <w:spacing w:line="360" w:lineRule="auto"/>
              <w:rPr>
                <w:rFonts w:asciiTheme="majorBidi" w:hAnsiTheme="majorBidi" w:cstheme="majorBidi"/>
                <w:color w:val="000000"/>
                <w:szCs w:val="21"/>
              </w:rPr>
            </w:pPr>
            <w:r>
              <w:rPr>
                <w:rFonts w:asciiTheme="majorBidi" w:hAnsiTheme="majorBidi" w:cstheme="majorBidi"/>
                <w:color w:val="000000"/>
                <w:szCs w:val="21"/>
              </w:rPr>
              <w:t>11、</w:t>
            </w:r>
            <w:r>
              <w:rPr>
                <w:rFonts w:asciiTheme="majorBidi" w:hAnsiTheme="majorBidi" w:cstheme="majorBidi"/>
                <w:color w:val="000000" w:themeColor="text1"/>
                <w:szCs w:val="21"/>
                <w14:textFill>
                  <w14:solidFill>
                    <w14:schemeClr w14:val="tx1"/>
                  </w14:solidFill>
                </w14:textFill>
              </w:rPr>
              <w:t>“</w:t>
            </w:r>
            <w:r>
              <w:rPr>
                <w:rFonts w:asciiTheme="majorBidi" w:hAnsiTheme="majorBidi" w:cstheme="majorBidi"/>
                <w:bCs/>
                <w:color w:val="000000" w:themeColor="text1"/>
                <w:szCs w:val="21"/>
                <w14:textFill>
                  <w14:solidFill>
                    <w14:schemeClr w14:val="tx1"/>
                  </w14:solidFill>
                </w14:textFill>
              </w:rPr>
              <w:t>关于</w:t>
            </w:r>
            <w:r>
              <w:rPr>
                <w:rFonts w:hint="eastAsia" w:asciiTheme="majorBidi" w:hAnsiTheme="majorBidi" w:cstheme="majorBidi"/>
                <w:bCs/>
                <w:color w:val="000000" w:themeColor="text1"/>
                <w:szCs w:val="21"/>
                <w:lang w:eastAsia="zh-CN"/>
                <w14:textFill>
                  <w14:solidFill>
                    <w14:schemeClr w14:val="tx1"/>
                  </w14:solidFill>
                </w14:textFill>
              </w:rPr>
              <w:t>《</w:t>
            </w:r>
            <w:r>
              <w:rPr>
                <w:rFonts w:hint="eastAsia" w:asciiTheme="majorBidi" w:hAnsiTheme="majorBidi" w:cstheme="majorBidi"/>
                <w:bCs/>
                <w:color w:val="000000" w:themeColor="text1"/>
                <w:szCs w:val="21"/>
                <w14:textFill>
                  <w14:solidFill>
                    <w14:schemeClr w14:val="tx1"/>
                  </w14:solidFill>
                </w14:textFill>
              </w:rPr>
              <w:t>中国石化销售股份有限公司江西抚州资溪石油分公司茶博城加油站建设项目</w:t>
            </w:r>
            <w:r>
              <w:rPr>
                <w:rFonts w:asciiTheme="majorBidi" w:hAnsiTheme="majorBidi" w:cstheme="majorBidi"/>
                <w:bCs/>
                <w:color w:val="000000" w:themeColor="text1"/>
                <w:szCs w:val="21"/>
                <w14:textFill>
                  <w14:solidFill>
                    <w14:schemeClr w14:val="tx1"/>
                  </w14:solidFill>
                </w14:textFill>
              </w:rPr>
              <w:t>环境影响评价报告表</w:t>
            </w:r>
            <w:r>
              <w:rPr>
                <w:rFonts w:hint="eastAsia" w:asciiTheme="majorBidi" w:hAnsiTheme="majorBidi" w:cstheme="majorBidi"/>
                <w:bCs/>
                <w:color w:val="000000" w:themeColor="text1"/>
                <w:szCs w:val="21"/>
                <w:lang w:eastAsia="zh-CN"/>
                <w14:textFill>
                  <w14:solidFill>
                    <w14:schemeClr w14:val="tx1"/>
                  </w14:solidFill>
                </w14:textFill>
              </w:rPr>
              <w:t>》</w:t>
            </w:r>
            <w:r>
              <w:rPr>
                <w:rFonts w:asciiTheme="majorBidi" w:hAnsiTheme="majorBidi" w:cstheme="majorBidi"/>
                <w:bCs/>
                <w:color w:val="000000" w:themeColor="text1"/>
                <w:szCs w:val="21"/>
                <w14:textFill>
                  <w14:solidFill>
                    <w14:schemeClr w14:val="tx1"/>
                  </w14:solidFill>
                </w14:textFill>
              </w:rPr>
              <w:t>的批复</w:t>
            </w:r>
            <w:r>
              <w:rPr>
                <w:rFonts w:asciiTheme="majorBidi" w:hAnsiTheme="majorBidi" w:cstheme="majorBidi"/>
                <w:color w:val="000000" w:themeColor="text1"/>
                <w:szCs w:val="21"/>
                <w14:textFill>
                  <w14:solidFill>
                    <w14:schemeClr w14:val="tx1"/>
                  </w14:solidFill>
                </w14:textFill>
              </w:rPr>
              <w:t>”（</w:t>
            </w:r>
            <w:r>
              <w:rPr>
                <w:rFonts w:hint="eastAsia"/>
                <w:szCs w:val="21"/>
                <w:lang w:eastAsia="zh-CN"/>
              </w:rPr>
              <w:t>资溪县行政审批局</w:t>
            </w:r>
            <w:r>
              <w:rPr>
                <w:rFonts w:hint="eastAsia" w:asciiTheme="majorBidi" w:hAnsiTheme="majorBidi" w:cstheme="majorBidi"/>
                <w:color w:val="000000" w:themeColor="text1"/>
                <w:szCs w:val="21"/>
                <w14:textFill>
                  <w14:solidFill>
                    <w14:schemeClr w14:val="tx1"/>
                  </w14:solidFill>
                </w14:textFill>
              </w:rPr>
              <w:t>，</w:t>
            </w:r>
            <w:r>
              <w:rPr>
                <w:rFonts w:hint="eastAsia" w:asciiTheme="majorBidi" w:hAnsiTheme="majorBidi" w:cstheme="majorBidi"/>
                <w:color w:val="000000" w:themeColor="text1"/>
                <w:szCs w:val="21"/>
                <w:lang w:eastAsia="zh-CN"/>
                <w14:textFill>
                  <w14:solidFill>
                    <w14:schemeClr w14:val="tx1"/>
                  </w14:solidFill>
                </w14:textFill>
              </w:rPr>
              <w:t>资行审批</w:t>
            </w:r>
            <w:r>
              <w:rPr>
                <w:rFonts w:hint="eastAsia" w:asciiTheme="majorBidi" w:hAnsiTheme="majorBidi" w:cstheme="majorBidi"/>
                <w:color w:val="000000" w:themeColor="text1"/>
                <w:szCs w:val="21"/>
                <w14:textFill>
                  <w14:solidFill>
                    <w14:schemeClr w14:val="tx1"/>
                  </w14:solidFill>
                </w14:textFill>
              </w:rPr>
              <w:t>[20</w:t>
            </w:r>
            <w:r>
              <w:rPr>
                <w:rFonts w:hint="eastAsia" w:asciiTheme="majorBidi" w:hAnsiTheme="majorBidi" w:cstheme="majorBidi"/>
                <w:color w:val="000000" w:themeColor="text1"/>
                <w:szCs w:val="21"/>
                <w:lang w:val="en-US" w:eastAsia="zh-CN"/>
                <w14:textFill>
                  <w14:solidFill>
                    <w14:schemeClr w14:val="tx1"/>
                  </w14:solidFill>
                </w14:textFill>
              </w:rPr>
              <w:t>20</w:t>
            </w:r>
            <w:r>
              <w:rPr>
                <w:rFonts w:hint="eastAsia" w:asciiTheme="majorBidi" w:hAnsiTheme="majorBidi" w:cstheme="majorBidi"/>
                <w:color w:val="000000" w:themeColor="text1"/>
                <w:szCs w:val="21"/>
                <w14:textFill>
                  <w14:solidFill>
                    <w14:schemeClr w14:val="tx1"/>
                  </w14:solidFill>
                </w14:textFill>
              </w:rPr>
              <w:t>]</w:t>
            </w:r>
            <w:r>
              <w:rPr>
                <w:rFonts w:hint="eastAsia" w:asciiTheme="majorBidi" w:hAnsiTheme="majorBidi" w:cstheme="majorBidi"/>
                <w:color w:val="000000" w:themeColor="text1"/>
                <w:szCs w:val="21"/>
                <w:lang w:val="en-US" w:eastAsia="zh-CN"/>
                <w14:textFill>
                  <w14:solidFill>
                    <w14:schemeClr w14:val="tx1"/>
                  </w14:solidFill>
                </w14:textFill>
              </w:rPr>
              <w:t>467</w:t>
            </w:r>
            <w:r>
              <w:rPr>
                <w:rFonts w:hint="eastAsia" w:asciiTheme="majorBidi" w:hAnsiTheme="majorBidi" w:cstheme="majorBidi"/>
                <w:color w:val="000000" w:themeColor="text1"/>
                <w:szCs w:val="21"/>
                <w14:textFill>
                  <w14:solidFill>
                    <w14:schemeClr w14:val="tx1"/>
                  </w14:solidFill>
                </w14:textFill>
              </w:rPr>
              <w:t>号，20</w:t>
            </w:r>
            <w:r>
              <w:rPr>
                <w:rFonts w:hint="eastAsia" w:asciiTheme="majorBidi" w:hAnsiTheme="majorBidi" w:cstheme="majorBidi"/>
                <w:color w:val="000000" w:themeColor="text1"/>
                <w:szCs w:val="21"/>
                <w:lang w:val="en-US" w:eastAsia="zh-CN"/>
                <w14:textFill>
                  <w14:solidFill>
                    <w14:schemeClr w14:val="tx1"/>
                  </w14:solidFill>
                </w14:textFill>
              </w:rPr>
              <w:t>20</w:t>
            </w:r>
            <w:r>
              <w:rPr>
                <w:rFonts w:hint="eastAsia" w:asciiTheme="majorBidi" w:hAnsiTheme="majorBidi" w:cstheme="majorBidi"/>
                <w:color w:val="000000" w:themeColor="text1"/>
                <w:szCs w:val="21"/>
                <w14:textFill>
                  <w14:solidFill>
                    <w14:schemeClr w14:val="tx1"/>
                  </w14:solidFill>
                </w14:textFill>
              </w:rPr>
              <w:t>年</w:t>
            </w:r>
            <w:r>
              <w:rPr>
                <w:rFonts w:hint="eastAsia" w:asciiTheme="majorBidi" w:hAnsiTheme="majorBidi" w:cstheme="majorBidi"/>
                <w:color w:val="000000" w:themeColor="text1"/>
                <w:szCs w:val="21"/>
                <w:lang w:val="en-US" w:eastAsia="zh-CN"/>
                <w14:textFill>
                  <w14:solidFill>
                    <w14:schemeClr w14:val="tx1"/>
                  </w14:solidFill>
                </w14:textFill>
              </w:rPr>
              <w:t>11</w:t>
            </w:r>
            <w:r>
              <w:rPr>
                <w:rFonts w:hint="eastAsia" w:asciiTheme="majorBidi" w:hAnsiTheme="majorBidi" w:cstheme="majorBidi"/>
                <w:color w:val="000000" w:themeColor="text1"/>
                <w:szCs w:val="21"/>
                <w14:textFill>
                  <w14:solidFill>
                    <w14:schemeClr w14:val="tx1"/>
                  </w14:solidFill>
                </w14:textFill>
              </w:rPr>
              <w:t>月1</w:t>
            </w:r>
            <w:r>
              <w:rPr>
                <w:rFonts w:hint="eastAsia" w:asciiTheme="majorBidi" w:hAnsiTheme="majorBidi" w:cstheme="majorBidi"/>
                <w:color w:val="000000" w:themeColor="text1"/>
                <w:szCs w:val="21"/>
                <w:lang w:val="en-US" w:eastAsia="zh-CN"/>
                <w14:textFill>
                  <w14:solidFill>
                    <w14:schemeClr w14:val="tx1"/>
                  </w14:solidFill>
                </w14:textFill>
              </w:rPr>
              <w:t>2</w:t>
            </w:r>
            <w:r>
              <w:rPr>
                <w:rFonts w:hint="eastAsia" w:asciiTheme="majorBidi" w:hAnsiTheme="majorBidi" w:cstheme="majorBidi"/>
                <w:color w:val="000000" w:themeColor="text1"/>
                <w:szCs w:val="21"/>
                <w14:textFill>
                  <w14:solidFill>
                    <w14:schemeClr w14:val="tx1"/>
                  </w14:solidFill>
                </w14:textFill>
              </w:rPr>
              <w:t>日</w:t>
            </w:r>
            <w:r>
              <w:rPr>
                <w:rFonts w:asciiTheme="majorBidi" w:hAnsiTheme="majorBidi" w:cstheme="majorBidi"/>
                <w:color w:val="000000" w:themeColor="text1"/>
                <w:szCs w:val="21"/>
                <w14:textFill>
                  <w14:solidFill>
                    <w14:schemeClr w14:val="tx1"/>
                  </w14:solidFill>
                </w14:textFill>
              </w:rPr>
              <w:t>）；</w:t>
            </w:r>
          </w:p>
          <w:p>
            <w:pPr>
              <w:spacing w:line="360" w:lineRule="auto"/>
              <w:rPr>
                <w:rFonts w:asciiTheme="majorBidi" w:hAnsiTheme="majorBidi" w:cstheme="majorBidi"/>
                <w:bCs/>
                <w:color w:val="000000" w:themeColor="text1"/>
                <w:szCs w:val="21"/>
                <w14:textFill>
                  <w14:solidFill>
                    <w14:schemeClr w14:val="tx1"/>
                  </w14:solidFill>
                </w14:textFill>
              </w:rPr>
            </w:pPr>
            <w:r>
              <w:rPr>
                <w:rFonts w:asciiTheme="majorBidi" w:hAnsiTheme="majorBidi" w:cstheme="majorBidi"/>
                <w:color w:val="000000" w:themeColor="text1"/>
                <w:szCs w:val="21"/>
                <w14:textFill>
                  <w14:solidFill>
                    <w14:schemeClr w14:val="tx1"/>
                  </w14:solidFill>
                </w14:textFill>
              </w:rPr>
              <w:t>12、</w:t>
            </w:r>
            <w:r>
              <w:rPr>
                <w:rFonts w:asciiTheme="majorBidi" w:hAnsiTheme="majorBidi" w:cstheme="majorBidi"/>
                <w:bCs/>
                <w:color w:val="000000" w:themeColor="text1"/>
                <w:szCs w:val="21"/>
                <w14:textFill>
                  <w14:solidFill>
                    <w14:schemeClr w14:val="tx1"/>
                  </w14:solidFill>
                </w14:textFill>
              </w:rPr>
              <w:t>《</w:t>
            </w:r>
            <w:r>
              <w:rPr>
                <w:rFonts w:hint="eastAsia" w:asciiTheme="majorBidi" w:hAnsiTheme="majorBidi" w:cstheme="majorBidi"/>
                <w:bCs/>
                <w:color w:val="000000" w:themeColor="text1"/>
                <w:szCs w:val="21"/>
                <w14:textFill>
                  <w14:solidFill>
                    <w14:schemeClr w14:val="tx1"/>
                  </w14:solidFill>
                </w14:textFill>
              </w:rPr>
              <w:t>茶博城加油站建设项目环境影响报告表</w:t>
            </w:r>
            <w:r>
              <w:rPr>
                <w:rFonts w:asciiTheme="majorBidi" w:hAnsiTheme="majorBidi" w:cstheme="majorBidi"/>
                <w:bCs/>
                <w:color w:val="000000" w:themeColor="text1"/>
                <w:szCs w:val="21"/>
                <w14:textFill>
                  <w14:solidFill>
                    <w14:schemeClr w14:val="tx1"/>
                  </w14:solidFill>
                </w14:textFill>
              </w:rPr>
              <w:t>》</w:t>
            </w:r>
            <w:r>
              <w:rPr>
                <w:rFonts w:hint="eastAsia" w:asciiTheme="majorBidi" w:hAnsiTheme="majorBidi" w:cstheme="majorBidi"/>
                <w:bCs/>
                <w:color w:val="000000" w:themeColor="text1"/>
                <w:szCs w:val="21"/>
                <w14:textFill>
                  <w14:solidFill>
                    <w14:schemeClr w14:val="tx1"/>
                  </w14:solidFill>
                </w14:textFill>
              </w:rPr>
              <w:t>（</w:t>
            </w:r>
            <w:r>
              <w:rPr>
                <w:rFonts w:hint="eastAsia"/>
                <w:szCs w:val="21"/>
              </w:rPr>
              <w:t>江西省核工业地质局测试研究中心</w:t>
            </w:r>
            <w:r>
              <w:rPr>
                <w:rFonts w:hint="eastAsia" w:asciiTheme="majorBidi" w:hAnsiTheme="majorBidi" w:cstheme="majorBidi"/>
                <w:bCs/>
                <w:color w:val="000000" w:themeColor="text1"/>
                <w:szCs w:val="21"/>
                <w14:textFill>
                  <w14:solidFill>
                    <w14:schemeClr w14:val="tx1"/>
                  </w14:solidFill>
                </w14:textFill>
              </w:rPr>
              <w:t>，20</w:t>
            </w:r>
            <w:r>
              <w:rPr>
                <w:rFonts w:hint="eastAsia" w:asciiTheme="majorBidi" w:hAnsiTheme="majorBidi" w:cstheme="majorBidi"/>
                <w:bCs/>
                <w:color w:val="000000" w:themeColor="text1"/>
                <w:szCs w:val="21"/>
                <w:lang w:val="en-US" w:eastAsia="zh-CN"/>
                <w14:textFill>
                  <w14:solidFill>
                    <w14:schemeClr w14:val="tx1"/>
                  </w14:solidFill>
                </w14:textFill>
              </w:rPr>
              <w:t>20</w:t>
            </w:r>
            <w:r>
              <w:rPr>
                <w:rFonts w:hint="eastAsia" w:asciiTheme="majorBidi" w:hAnsiTheme="majorBidi" w:cstheme="majorBidi"/>
                <w:bCs/>
                <w:color w:val="000000" w:themeColor="text1"/>
                <w:szCs w:val="21"/>
                <w14:textFill>
                  <w14:solidFill>
                    <w14:schemeClr w14:val="tx1"/>
                  </w14:solidFill>
                </w14:textFill>
              </w:rPr>
              <w:t>年</w:t>
            </w:r>
            <w:r>
              <w:rPr>
                <w:rFonts w:hint="eastAsia" w:asciiTheme="majorBidi" w:hAnsiTheme="majorBidi" w:cstheme="majorBidi"/>
                <w:bCs/>
                <w:color w:val="000000" w:themeColor="text1"/>
                <w:szCs w:val="21"/>
                <w:lang w:val="en-US" w:eastAsia="zh-CN"/>
                <w14:textFill>
                  <w14:solidFill>
                    <w14:schemeClr w14:val="tx1"/>
                  </w14:solidFill>
                </w14:textFill>
              </w:rPr>
              <w:t>10</w:t>
            </w:r>
            <w:r>
              <w:rPr>
                <w:rFonts w:hint="eastAsia" w:asciiTheme="majorBidi" w:hAnsiTheme="majorBidi" w:cstheme="majorBidi"/>
                <w:bCs/>
                <w:color w:val="000000" w:themeColor="text1"/>
                <w:szCs w:val="21"/>
                <w14:textFill>
                  <w14:solidFill>
                    <w14:schemeClr w14:val="tx1"/>
                  </w14:solidFill>
                </w14:textFill>
              </w:rPr>
              <w:t>月）。</w:t>
            </w:r>
          </w:p>
          <w:p>
            <w:pPr>
              <w:pStyle w:val="2"/>
              <w:spacing w:after="0"/>
              <w:ind w:left="0" w:leftChars="0"/>
              <w:rPr>
                <w:rFonts w:asciiTheme="majorBidi" w:hAnsiTheme="majorBidi" w:cstheme="majorBidi"/>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98" w:hRule="atLeast"/>
        </w:trPr>
        <w:tc>
          <w:tcPr>
            <w:tcW w:w="1796" w:type="dxa"/>
            <w:vAlign w:val="center"/>
          </w:tcPr>
          <w:p>
            <w:pPr>
              <w:spacing w:line="360" w:lineRule="auto"/>
              <w:jc w:val="center"/>
              <w:rPr>
                <w:rFonts w:asciiTheme="majorBidi" w:hAnsiTheme="majorBidi" w:cstheme="majorBidi"/>
                <w:szCs w:val="21"/>
              </w:rPr>
            </w:pPr>
            <w:r>
              <w:rPr>
                <w:rFonts w:asciiTheme="majorBidi" w:hAnsiTheme="majorBidi" w:cstheme="majorBidi"/>
                <w:kern w:val="0"/>
                <w:szCs w:val="21"/>
              </w:rPr>
              <w:t>验收监测评价标准、标号、级别、限值</w:t>
            </w:r>
          </w:p>
        </w:tc>
        <w:tc>
          <w:tcPr>
            <w:tcW w:w="7951" w:type="dxa"/>
            <w:gridSpan w:val="5"/>
          </w:tcPr>
          <w:p>
            <w:pPr>
              <w:spacing w:line="360" w:lineRule="auto"/>
              <w:ind w:firstLine="480" w:firstLineChars="200"/>
              <w:rPr>
                <w:sz w:val="24"/>
              </w:rPr>
            </w:pPr>
            <w:r>
              <w:rPr>
                <w:sz w:val="24"/>
              </w:rPr>
              <w:t>根据本项目环境影响报告表及本项目环评批复中相关内容，以及结合项目验收期间实际情况，本次验收监测执行以下标准。</w:t>
            </w:r>
          </w:p>
          <w:p>
            <w:pPr>
              <w:spacing w:line="360" w:lineRule="auto"/>
              <w:ind w:firstLine="480" w:firstLineChars="200"/>
              <w:rPr>
                <w:sz w:val="24"/>
              </w:rPr>
            </w:pPr>
            <w:r>
              <w:rPr>
                <w:rFonts w:hint="eastAsia"/>
                <w:sz w:val="24"/>
              </w:rPr>
              <w:t>1、本项目废水经隔油沉淀池+化粪池预处理达到资溪县城市污水处理厂接管标准后经市政管网排入资溪县城市污水处理厂统一处理，最终排入泸溪河，污水处理厂尾水执行《城镇污水处理厂污染物排放标准》（GB18918-2002）及其修改单表1中一级A标准，项目废水排放</w:t>
            </w:r>
            <w:r>
              <w:rPr>
                <w:sz w:val="24"/>
              </w:rPr>
              <w:t>标准值见表</w:t>
            </w:r>
            <w:r>
              <w:rPr>
                <w:rFonts w:hint="eastAsia"/>
                <w:sz w:val="24"/>
              </w:rPr>
              <w:t>1-1</w:t>
            </w:r>
            <w:r>
              <w:rPr>
                <w:sz w:val="24"/>
              </w:rPr>
              <w:t>。</w:t>
            </w:r>
          </w:p>
          <w:p>
            <w:pPr>
              <w:spacing w:line="360" w:lineRule="auto"/>
              <w:jc w:val="center"/>
              <w:rPr>
                <w:b/>
                <w:bCs/>
                <w:szCs w:val="21"/>
              </w:rPr>
            </w:pPr>
            <w:r>
              <w:rPr>
                <w:b/>
                <w:bCs/>
                <w:szCs w:val="21"/>
              </w:rPr>
              <w:t>表</w:t>
            </w:r>
            <w:r>
              <w:rPr>
                <w:rFonts w:hint="eastAsia"/>
                <w:b/>
                <w:bCs/>
                <w:szCs w:val="21"/>
              </w:rPr>
              <w:t>1-1</w:t>
            </w:r>
            <w:r>
              <w:rPr>
                <w:b/>
                <w:bCs/>
                <w:szCs w:val="21"/>
              </w:rPr>
              <w:t xml:space="preserve">  项目废水排放执行标准单位：mg/L(pH除外)</w:t>
            </w:r>
          </w:p>
          <w:tbl>
            <w:tblPr>
              <w:tblStyle w:val="24"/>
              <w:tblW w:w="76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72"/>
              <w:gridCol w:w="770"/>
              <w:gridCol w:w="950"/>
              <w:gridCol w:w="860"/>
              <w:gridCol w:w="861"/>
              <w:gridCol w:w="999"/>
              <w:gridCol w:w="1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2172" w:type="dxa"/>
                  <w:tcBorders>
                    <w:tl2br w:val="nil"/>
                    <w:tr2bl w:val="nil"/>
                  </w:tcBorders>
                  <w:noWrap w:val="0"/>
                  <w:vAlign w:val="center"/>
                </w:tcPr>
                <w:p>
                  <w:pPr>
                    <w:adjustRightInd w:val="0"/>
                    <w:snapToGrid w:val="0"/>
                    <w:jc w:val="center"/>
                    <w:textAlignment w:val="baseline"/>
                  </w:pPr>
                  <w:r>
                    <w:t>项目</w:t>
                  </w:r>
                </w:p>
              </w:tc>
              <w:tc>
                <w:tcPr>
                  <w:tcW w:w="770" w:type="dxa"/>
                  <w:tcBorders>
                    <w:tl2br w:val="nil"/>
                    <w:tr2bl w:val="nil"/>
                  </w:tcBorders>
                  <w:noWrap w:val="0"/>
                  <w:vAlign w:val="center"/>
                </w:tcPr>
                <w:p>
                  <w:pPr>
                    <w:adjustRightInd w:val="0"/>
                    <w:snapToGrid w:val="0"/>
                    <w:jc w:val="center"/>
                    <w:textAlignment w:val="baseline"/>
                  </w:pPr>
                  <w:r>
                    <w:t>pH</w:t>
                  </w:r>
                </w:p>
              </w:tc>
              <w:tc>
                <w:tcPr>
                  <w:tcW w:w="950" w:type="dxa"/>
                  <w:tcBorders>
                    <w:tl2br w:val="nil"/>
                    <w:tr2bl w:val="nil"/>
                  </w:tcBorders>
                  <w:noWrap w:val="0"/>
                  <w:vAlign w:val="center"/>
                </w:tcPr>
                <w:p>
                  <w:pPr>
                    <w:adjustRightInd w:val="0"/>
                    <w:snapToGrid w:val="0"/>
                    <w:jc w:val="center"/>
                    <w:textAlignment w:val="baseline"/>
                  </w:pPr>
                  <w:r>
                    <w:t>COD</w:t>
                  </w:r>
                  <w:r>
                    <w:rPr>
                      <w:vertAlign w:val="subscript"/>
                    </w:rPr>
                    <w:t>Cr</w:t>
                  </w:r>
                  <w:r>
                    <w:t xml:space="preserve"> </w:t>
                  </w:r>
                </w:p>
              </w:tc>
              <w:tc>
                <w:tcPr>
                  <w:tcW w:w="860" w:type="dxa"/>
                  <w:tcBorders>
                    <w:tl2br w:val="nil"/>
                    <w:tr2bl w:val="nil"/>
                  </w:tcBorders>
                  <w:noWrap w:val="0"/>
                  <w:vAlign w:val="center"/>
                </w:tcPr>
                <w:p>
                  <w:pPr>
                    <w:adjustRightInd w:val="0"/>
                    <w:snapToGrid w:val="0"/>
                    <w:jc w:val="center"/>
                    <w:textAlignment w:val="baseline"/>
                  </w:pPr>
                  <w:r>
                    <w:t>BOD</w:t>
                  </w:r>
                  <w:r>
                    <w:rPr>
                      <w:vertAlign w:val="subscript"/>
                    </w:rPr>
                    <w:t>5</w:t>
                  </w:r>
                </w:p>
              </w:tc>
              <w:tc>
                <w:tcPr>
                  <w:tcW w:w="861" w:type="dxa"/>
                  <w:tcBorders>
                    <w:tl2br w:val="nil"/>
                    <w:tr2bl w:val="nil"/>
                  </w:tcBorders>
                  <w:noWrap w:val="0"/>
                  <w:vAlign w:val="center"/>
                </w:tcPr>
                <w:p>
                  <w:pPr>
                    <w:adjustRightInd w:val="0"/>
                    <w:snapToGrid w:val="0"/>
                    <w:jc w:val="center"/>
                    <w:textAlignment w:val="baseline"/>
                  </w:pPr>
                  <w:r>
                    <w:t>SS</w:t>
                  </w:r>
                </w:p>
              </w:tc>
              <w:tc>
                <w:tcPr>
                  <w:tcW w:w="999" w:type="dxa"/>
                  <w:tcBorders>
                    <w:tl2br w:val="nil"/>
                    <w:tr2bl w:val="nil"/>
                  </w:tcBorders>
                  <w:noWrap w:val="0"/>
                  <w:vAlign w:val="center"/>
                </w:tcPr>
                <w:p>
                  <w:pPr>
                    <w:adjustRightInd w:val="0"/>
                    <w:snapToGrid w:val="0"/>
                    <w:jc w:val="center"/>
                    <w:textAlignment w:val="baseline"/>
                  </w:pPr>
                  <w:r>
                    <w:t>氨氮</w:t>
                  </w:r>
                </w:p>
              </w:tc>
              <w:tc>
                <w:tcPr>
                  <w:tcW w:w="1041" w:type="dxa"/>
                  <w:tcBorders>
                    <w:tl2br w:val="nil"/>
                    <w:tr2bl w:val="nil"/>
                  </w:tcBorders>
                  <w:noWrap w:val="0"/>
                  <w:vAlign w:val="center"/>
                </w:tcPr>
                <w:p>
                  <w:pPr>
                    <w:adjustRightInd w:val="0"/>
                    <w:snapToGrid w:val="0"/>
                    <w:jc w:val="center"/>
                    <w:textAlignment w:val="baseline"/>
                  </w:pPr>
                  <w:r>
                    <w:rPr>
                      <w:rFonts w:hint="eastAsia"/>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2172" w:type="dxa"/>
                  <w:tcBorders>
                    <w:tl2br w:val="nil"/>
                    <w:tr2bl w:val="nil"/>
                  </w:tcBorders>
                  <w:noWrap w:val="0"/>
                  <w:vAlign w:val="center"/>
                </w:tcPr>
                <w:p>
                  <w:pPr>
                    <w:jc w:val="center"/>
                  </w:pPr>
                  <w:r>
                    <w:rPr>
                      <w:rFonts w:hint="eastAsia"/>
                      <w:szCs w:val="21"/>
                    </w:rPr>
                    <w:t>资溪县城市</w:t>
                  </w:r>
                  <w:r>
                    <w:rPr>
                      <w:szCs w:val="21"/>
                    </w:rPr>
                    <w:t>污水处理厂接管标准</w:t>
                  </w:r>
                </w:p>
              </w:tc>
              <w:tc>
                <w:tcPr>
                  <w:tcW w:w="770" w:type="dxa"/>
                  <w:tcBorders>
                    <w:tl2br w:val="nil"/>
                    <w:tr2bl w:val="nil"/>
                  </w:tcBorders>
                  <w:noWrap w:val="0"/>
                  <w:vAlign w:val="center"/>
                </w:tcPr>
                <w:p>
                  <w:pPr>
                    <w:jc w:val="center"/>
                  </w:pPr>
                  <w:r>
                    <w:t>6~9</w:t>
                  </w:r>
                </w:p>
              </w:tc>
              <w:tc>
                <w:tcPr>
                  <w:tcW w:w="950" w:type="dxa"/>
                  <w:tcBorders>
                    <w:tl2br w:val="nil"/>
                    <w:tr2bl w:val="nil"/>
                  </w:tcBorders>
                  <w:noWrap w:val="0"/>
                  <w:vAlign w:val="center"/>
                </w:tcPr>
                <w:p>
                  <w:pPr>
                    <w:adjustRightInd w:val="0"/>
                    <w:snapToGrid w:val="0"/>
                    <w:spacing w:line="340" w:lineRule="exact"/>
                    <w:jc w:val="center"/>
                    <w:textAlignment w:val="baseline"/>
                  </w:pPr>
                  <w:r>
                    <w:rPr>
                      <w:rFonts w:hint="eastAsia"/>
                    </w:rPr>
                    <w:t>220</w:t>
                  </w:r>
                </w:p>
              </w:tc>
              <w:tc>
                <w:tcPr>
                  <w:tcW w:w="860" w:type="dxa"/>
                  <w:tcBorders>
                    <w:tl2br w:val="nil"/>
                    <w:tr2bl w:val="nil"/>
                  </w:tcBorders>
                  <w:noWrap w:val="0"/>
                  <w:vAlign w:val="center"/>
                </w:tcPr>
                <w:p>
                  <w:pPr>
                    <w:adjustRightInd w:val="0"/>
                    <w:snapToGrid w:val="0"/>
                    <w:spacing w:line="340" w:lineRule="exact"/>
                    <w:jc w:val="center"/>
                    <w:textAlignment w:val="baseline"/>
                  </w:pPr>
                  <w:r>
                    <w:rPr>
                      <w:rFonts w:hint="eastAsia"/>
                    </w:rPr>
                    <w:t>120</w:t>
                  </w:r>
                </w:p>
              </w:tc>
              <w:tc>
                <w:tcPr>
                  <w:tcW w:w="861" w:type="dxa"/>
                  <w:tcBorders>
                    <w:tl2br w:val="nil"/>
                    <w:tr2bl w:val="nil"/>
                  </w:tcBorders>
                  <w:noWrap w:val="0"/>
                  <w:vAlign w:val="center"/>
                </w:tcPr>
                <w:p>
                  <w:pPr>
                    <w:adjustRightInd w:val="0"/>
                    <w:snapToGrid w:val="0"/>
                    <w:spacing w:line="340" w:lineRule="exact"/>
                    <w:jc w:val="center"/>
                    <w:textAlignment w:val="baseline"/>
                  </w:pPr>
                  <w:r>
                    <w:rPr>
                      <w:rFonts w:hint="eastAsia"/>
                    </w:rPr>
                    <w:t>2</w:t>
                  </w:r>
                  <w:r>
                    <w:t>00</w:t>
                  </w:r>
                </w:p>
              </w:tc>
              <w:tc>
                <w:tcPr>
                  <w:tcW w:w="999" w:type="dxa"/>
                  <w:tcBorders>
                    <w:tl2br w:val="nil"/>
                    <w:tr2bl w:val="nil"/>
                  </w:tcBorders>
                  <w:noWrap w:val="0"/>
                  <w:vAlign w:val="center"/>
                </w:tcPr>
                <w:p>
                  <w:pPr>
                    <w:adjustRightInd w:val="0"/>
                    <w:snapToGrid w:val="0"/>
                    <w:spacing w:line="340" w:lineRule="exact"/>
                    <w:jc w:val="center"/>
                    <w:textAlignment w:val="baseline"/>
                  </w:pPr>
                  <w:r>
                    <w:rPr>
                      <w:rFonts w:hint="eastAsia"/>
                    </w:rPr>
                    <w:t>2</w:t>
                  </w:r>
                  <w:r>
                    <w:t>5</w:t>
                  </w:r>
                </w:p>
              </w:tc>
              <w:tc>
                <w:tcPr>
                  <w:tcW w:w="1041" w:type="dxa"/>
                  <w:tcBorders>
                    <w:tl2br w:val="nil"/>
                    <w:tr2bl w:val="nil"/>
                  </w:tcBorders>
                  <w:noWrap w:val="0"/>
                  <w:vAlign w:val="center"/>
                </w:tcPr>
                <w:p>
                  <w:pPr>
                    <w:adjustRightInd w:val="0"/>
                    <w:snapToGrid w:val="0"/>
                    <w:spacing w:line="340" w:lineRule="exact"/>
                    <w:jc w:val="center"/>
                    <w:textAlignment w:val="baseline"/>
                  </w:pPr>
                  <w:r>
                    <w:rPr>
                      <w:rFonts w:hint="eastAsia"/>
                    </w:rPr>
                    <w:t>1</w:t>
                  </w:r>
                  <w:r>
                    <w:t>0</w:t>
                  </w:r>
                </w:p>
              </w:tc>
            </w:tr>
          </w:tbl>
          <w:p>
            <w:pPr>
              <w:spacing w:line="360" w:lineRule="auto"/>
              <w:ind w:firstLine="480" w:firstLineChars="200"/>
              <w:rPr>
                <w:sz w:val="24"/>
              </w:rPr>
            </w:pPr>
            <w:r>
              <w:rPr>
                <w:rFonts w:hint="eastAsia"/>
                <w:sz w:val="24"/>
              </w:rPr>
              <w:t>2、</w:t>
            </w:r>
            <w:r>
              <w:rPr>
                <w:sz w:val="24"/>
                <w:szCs w:val="24"/>
              </w:rPr>
              <w:t>项目生产过程中产生的</w:t>
            </w:r>
            <w:r>
              <w:rPr>
                <w:rFonts w:hint="eastAsia"/>
                <w:sz w:val="24"/>
                <w:szCs w:val="24"/>
              </w:rPr>
              <w:t>废气排放</w:t>
            </w:r>
            <w:r>
              <w:rPr>
                <w:sz w:val="24"/>
                <w:szCs w:val="24"/>
              </w:rPr>
              <w:t>标准</w:t>
            </w:r>
            <w:r>
              <w:rPr>
                <w:rFonts w:hint="eastAsia"/>
                <w:sz w:val="24"/>
              </w:rPr>
              <w:t>，</w:t>
            </w:r>
            <w:r>
              <w:rPr>
                <w:rFonts w:hint="eastAsia"/>
                <w:bCs/>
                <w:sz w:val="24"/>
              </w:rPr>
              <w:t>具体见表1-2</w:t>
            </w:r>
            <w:r>
              <w:rPr>
                <w:rFonts w:hint="eastAsia"/>
                <w:sz w:val="24"/>
              </w:rPr>
              <w:t>。</w:t>
            </w:r>
          </w:p>
          <w:p>
            <w:pPr>
              <w:pStyle w:val="40"/>
              <w:ind w:firstLine="0" w:firstLineChars="0"/>
              <w:jc w:val="center"/>
              <w:rPr>
                <w:rFonts w:cs="宋体"/>
                <w:b/>
                <w:bCs/>
                <w:szCs w:val="21"/>
              </w:rPr>
            </w:pPr>
            <w:r>
              <w:rPr>
                <w:rFonts w:hint="eastAsia" w:cs="宋体"/>
                <w:b/>
                <w:bCs/>
                <w:szCs w:val="21"/>
              </w:rPr>
              <w:t>表1-2  无组织废气排放标准</w:t>
            </w:r>
          </w:p>
          <w:tbl>
            <w:tblPr>
              <w:tblStyle w:val="24"/>
              <w:tblW w:w="76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5"/>
              <w:gridCol w:w="2441"/>
              <w:gridCol w:w="844"/>
              <w:gridCol w:w="1234"/>
              <w:gridCol w:w="19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175" w:type="dxa"/>
                  <w:tcBorders>
                    <w:tl2br w:val="nil"/>
                    <w:tr2bl w:val="nil"/>
                  </w:tcBorders>
                  <w:noWrap w:val="0"/>
                  <w:vAlign w:val="center"/>
                </w:tcPr>
                <w:p>
                  <w:pPr>
                    <w:jc w:val="center"/>
                    <w:rPr>
                      <w:rFonts w:hint="eastAsia"/>
                      <w:szCs w:val="21"/>
                    </w:rPr>
                  </w:pPr>
                  <w:r>
                    <w:rPr>
                      <w:rFonts w:hint="eastAsia"/>
                      <w:szCs w:val="21"/>
                    </w:rPr>
                    <w:t>污染源</w:t>
                  </w:r>
                </w:p>
              </w:tc>
              <w:tc>
                <w:tcPr>
                  <w:tcW w:w="2441" w:type="dxa"/>
                  <w:tcBorders>
                    <w:tl2br w:val="nil"/>
                    <w:tr2bl w:val="nil"/>
                  </w:tcBorders>
                  <w:noWrap w:val="0"/>
                  <w:vAlign w:val="center"/>
                </w:tcPr>
                <w:p>
                  <w:pPr>
                    <w:jc w:val="center"/>
                    <w:rPr>
                      <w:rFonts w:hint="eastAsia"/>
                      <w:szCs w:val="21"/>
                    </w:rPr>
                  </w:pPr>
                  <w:r>
                    <w:rPr>
                      <w:rFonts w:hint="eastAsia"/>
                      <w:szCs w:val="21"/>
                    </w:rPr>
                    <w:t>标准来源</w:t>
                  </w:r>
                </w:p>
              </w:tc>
              <w:tc>
                <w:tcPr>
                  <w:tcW w:w="844" w:type="dxa"/>
                  <w:tcBorders>
                    <w:tl2br w:val="nil"/>
                    <w:tr2bl w:val="nil"/>
                  </w:tcBorders>
                  <w:noWrap w:val="0"/>
                  <w:vAlign w:val="center"/>
                </w:tcPr>
                <w:p>
                  <w:pPr>
                    <w:jc w:val="center"/>
                    <w:rPr>
                      <w:rFonts w:hint="eastAsia"/>
                    </w:rPr>
                  </w:pPr>
                  <w:r>
                    <w:rPr>
                      <w:rFonts w:hint="eastAsia"/>
                    </w:rPr>
                    <w:t>等级</w:t>
                  </w:r>
                </w:p>
              </w:tc>
              <w:tc>
                <w:tcPr>
                  <w:tcW w:w="1234" w:type="dxa"/>
                  <w:tcBorders>
                    <w:tl2br w:val="nil"/>
                    <w:tr2bl w:val="nil"/>
                  </w:tcBorders>
                  <w:noWrap w:val="0"/>
                  <w:vAlign w:val="center"/>
                </w:tcPr>
                <w:p>
                  <w:pPr>
                    <w:jc w:val="center"/>
                    <w:rPr>
                      <w:rFonts w:hint="eastAsia"/>
                      <w:szCs w:val="21"/>
                    </w:rPr>
                  </w:pPr>
                  <w:r>
                    <w:rPr>
                      <w:rFonts w:hint="eastAsia"/>
                      <w:szCs w:val="21"/>
                    </w:rPr>
                    <w:t>污染因子</w:t>
                  </w:r>
                </w:p>
              </w:tc>
              <w:tc>
                <w:tcPr>
                  <w:tcW w:w="1959" w:type="dxa"/>
                  <w:tcBorders>
                    <w:tl2br w:val="nil"/>
                    <w:tr2bl w:val="nil"/>
                  </w:tcBorders>
                  <w:noWrap w:val="0"/>
                  <w:vAlign w:val="center"/>
                </w:tcPr>
                <w:p>
                  <w:pPr>
                    <w:jc w:val="center"/>
                    <w:rPr>
                      <w:rFonts w:hint="eastAsia"/>
                      <w:szCs w:val="21"/>
                    </w:rPr>
                  </w:pPr>
                  <w:r>
                    <w:rPr>
                      <w:rFonts w:hint="eastAsia"/>
                      <w:szCs w:val="21"/>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18" w:hRule="atLeast"/>
                <w:jc w:val="center"/>
              </w:trPr>
              <w:tc>
                <w:tcPr>
                  <w:tcW w:w="1175" w:type="dxa"/>
                  <w:tcBorders>
                    <w:tl2br w:val="nil"/>
                    <w:tr2bl w:val="nil"/>
                  </w:tcBorders>
                  <w:noWrap w:val="0"/>
                  <w:vAlign w:val="center"/>
                </w:tcPr>
                <w:p>
                  <w:pPr>
                    <w:jc w:val="center"/>
                  </w:pPr>
                  <w:r>
                    <w:rPr>
                      <w:rFonts w:hint="eastAsia"/>
                      <w:szCs w:val="21"/>
                    </w:rPr>
                    <w:t>加油站废气</w:t>
                  </w:r>
                </w:p>
              </w:tc>
              <w:tc>
                <w:tcPr>
                  <w:tcW w:w="2441" w:type="dxa"/>
                  <w:tcBorders>
                    <w:tl2br w:val="nil"/>
                    <w:tr2bl w:val="nil"/>
                  </w:tcBorders>
                  <w:noWrap w:val="0"/>
                  <w:vAlign w:val="center"/>
                </w:tcPr>
                <w:p>
                  <w:pPr>
                    <w:jc w:val="center"/>
                    <w:rPr>
                      <w:rFonts w:hint="eastAsia"/>
                      <w:szCs w:val="21"/>
                    </w:rPr>
                  </w:pPr>
                  <w:r>
                    <w:rPr>
                      <w:rFonts w:hint="eastAsia"/>
                      <w:szCs w:val="21"/>
                    </w:rPr>
                    <w:t>《大气污染物综合排放标准》（GB16297-1996）</w:t>
                  </w:r>
                </w:p>
              </w:tc>
              <w:tc>
                <w:tcPr>
                  <w:tcW w:w="844" w:type="dxa"/>
                  <w:tcBorders>
                    <w:tl2br w:val="nil"/>
                    <w:tr2bl w:val="nil"/>
                  </w:tcBorders>
                  <w:noWrap w:val="0"/>
                  <w:vAlign w:val="center"/>
                </w:tcPr>
                <w:p>
                  <w:pPr>
                    <w:jc w:val="center"/>
                  </w:pPr>
                  <w:r>
                    <w:rPr>
                      <w:rFonts w:hint="eastAsia"/>
                    </w:rPr>
                    <w:t>二级</w:t>
                  </w:r>
                </w:p>
              </w:tc>
              <w:tc>
                <w:tcPr>
                  <w:tcW w:w="1234" w:type="dxa"/>
                  <w:tcBorders>
                    <w:tl2br w:val="nil"/>
                    <w:tr2bl w:val="nil"/>
                  </w:tcBorders>
                  <w:noWrap w:val="0"/>
                  <w:vAlign w:val="center"/>
                </w:tcPr>
                <w:p>
                  <w:pPr>
                    <w:jc w:val="center"/>
                    <w:rPr>
                      <w:rFonts w:hint="eastAsia"/>
                      <w:szCs w:val="21"/>
                    </w:rPr>
                  </w:pPr>
                  <w:r>
                    <w:rPr>
                      <w:szCs w:val="21"/>
                    </w:rPr>
                    <w:t>非甲烷总烃</w:t>
                  </w:r>
                </w:p>
              </w:tc>
              <w:tc>
                <w:tcPr>
                  <w:tcW w:w="1959" w:type="dxa"/>
                  <w:tcBorders>
                    <w:tl2br w:val="nil"/>
                    <w:tr2bl w:val="nil"/>
                  </w:tcBorders>
                  <w:noWrap w:val="0"/>
                  <w:vAlign w:val="center"/>
                </w:tcPr>
                <w:p>
                  <w:pPr>
                    <w:jc w:val="both"/>
                    <w:rPr>
                      <w:szCs w:val="21"/>
                    </w:rPr>
                  </w:pPr>
                  <w:r>
                    <w:rPr>
                      <w:szCs w:val="21"/>
                    </w:rPr>
                    <w:t>无组织排放监控浓度限值周界外最高点4.0mg/m</w:t>
                  </w:r>
                  <w:r>
                    <w:rPr>
                      <w:szCs w:val="21"/>
                      <w:vertAlign w:val="superscript"/>
                    </w:rPr>
                    <w:t>3</w:t>
                  </w:r>
                </w:p>
              </w:tc>
            </w:tr>
          </w:tbl>
          <w:p>
            <w:pPr>
              <w:spacing w:line="360" w:lineRule="auto"/>
              <w:ind w:firstLine="480" w:firstLineChars="200"/>
              <w:rPr>
                <w:sz w:val="24"/>
              </w:rPr>
            </w:pPr>
            <w:r>
              <w:rPr>
                <w:rFonts w:hint="eastAsia"/>
                <w:sz w:val="24"/>
              </w:rPr>
              <w:t>3、营运期间噪声排放执行《工业企业厂界环境噪声排放标准》</w:t>
            </w:r>
            <w:r>
              <w:rPr>
                <w:rFonts w:hint="eastAsia"/>
                <w:sz w:val="24"/>
                <w:lang w:bidi="en-US"/>
              </w:rPr>
              <w:t>（</w:t>
            </w:r>
            <w:r>
              <w:rPr>
                <w:sz w:val="24"/>
                <w:lang w:bidi="en-US"/>
              </w:rPr>
              <w:t>GB</w:t>
            </w:r>
            <w:r>
              <w:rPr>
                <w:rFonts w:hint="eastAsia"/>
                <w:sz w:val="24"/>
                <w:lang w:bidi="en-US"/>
              </w:rPr>
              <w:t>12348-2008）</w:t>
            </w:r>
            <w:r>
              <w:rPr>
                <w:rFonts w:hint="eastAsia"/>
                <w:sz w:val="24"/>
              </w:rPr>
              <w:t>2类、4类标准</w:t>
            </w:r>
            <w:r>
              <w:rPr>
                <w:sz w:val="24"/>
              </w:rPr>
              <w:t>，具体内容见表</w:t>
            </w:r>
            <w:r>
              <w:rPr>
                <w:rFonts w:hint="eastAsia"/>
                <w:sz w:val="24"/>
              </w:rPr>
              <w:t>1</w:t>
            </w:r>
            <w:r>
              <w:rPr>
                <w:sz w:val="24"/>
              </w:rPr>
              <w:t>-</w:t>
            </w:r>
            <w:r>
              <w:rPr>
                <w:rFonts w:hint="eastAsia"/>
                <w:sz w:val="24"/>
              </w:rPr>
              <w:t>3。</w:t>
            </w:r>
          </w:p>
          <w:p>
            <w:pPr>
              <w:pStyle w:val="40"/>
              <w:ind w:firstLine="0" w:firstLineChars="0"/>
              <w:jc w:val="center"/>
              <w:rPr>
                <w:b/>
                <w:szCs w:val="21"/>
              </w:rPr>
            </w:pPr>
            <w:r>
              <w:rPr>
                <w:b/>
                <w:szCs w:val="21"/>
              </w:rPr>
              <w:t>表</w:t>
            </w:r>
            <w:r>
              <w:rPr>
                <w:rFonts w:hint="eastAsia"/>
                <w:b/>
                <w:szCs w:val="21"/>
              </w:rPr>
              <w:t>1</w:t>
            </w:r>
            <w:r>
              <w:rPr>
                <w:b/>
                <w:szCs w:val="21"/>
              </w:rPr>
              <w:t>-</w:t>
            </w:r>
            <w:r>
              <w:rPr>
                <w:rFonts w:hint="eastAsia"/>
                <w:b/>
                <w:szCs w:val="21"/>
              </w:rPr>
              <w:t>3</w:t>
            </w:r>
            <w:r>
              <w:rPr>
                <w:b/>
                <w:szCs w:val="21"/>
              </w:rPr>
              <w:t xml:space="preserve"> 厂界噪声排放标准</w:t>
            </w:r>
            <w:r>
              <w:rPr>
                <w:rFonts w:hint="eastAsia" w:cs="宋体"/>
                <w:b/>
                <w:bCs/>
                <w:szCs w:val="21"/>
              </w:rPr>
              <w:t xml:space="preserve">限值  </w:t>
            </w:r>
            <w:r>
              <w:rPr>
                <w:b/>
                <w:szCs w:val="21"/>
              </w:rPr>
              <w:t>单位：LeqdB（A）</w:t>
            </w:r>
          </w:p>
          <w:tbl>
            <w:tblPr>
              <w:tblStyle w:val="24"/>
              <w:tblpPr w:leftFromText="180" w:rightFromText="180" w:vertAnchor="text" w:tblpXSpec="center" w:tblpY="1"/>
              <w:tblOverlap w:val="never"/>
              <w:tblW w:w="734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30"/>
              <w:gridCol w:w="810"/>
              <w:gridCol w:w="765"/>
              <w:gridCol w:w="855"/>
              <w:gridCol w:w="25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0" w:type="dxa"/>
                  <w:vAlign w:val="center"/>
                </w:tcPr>
                <w:p>
                  <w:pPr>
                    <w:pStyle w:val="50"/>
                    <w:spacing w:line="300" w:lineRule="exact"/>
                    <w:rPr>
                      <w:rFonts w:ascii="Times New Roman" w:hAnsi="Times New Roman"/>
                      <w:b/>
                      <w:bCs/>
                    </w:rPr>
                  </w:pPr>
                  <w:r>
                    <w:rPr>
                      <w:rFonts w:ascii="Times New Roman" w:hAnsi="Times New Roman"/>
                      <w:b/>
                      <w:bCs/>
                    </w:rPr>
                    <w:t>适用区域</w:t>
                  </w:r>
                </w:p>
              </w:tc>
              <w:tc>
                <w:tcPr>
                  <w:tcW w:w="810" w:type="dxa"/>
                  <w:vAlign w:val="center"/>
                </w:tcPr>
                <w:p>
                  <w:pPr>
                    <w:pStyle w:val="50"/>
                    <w:spacing w:line="300" w:lineRule="exact"/>
                    <w:rPr>
                      <w:rFonts w:ascii="Times New Roman" w:hAnsi="Times New Roman"/>
                      <w:b/>
                      <w:bCs/>
                    </w:rPr>
                  </w:pPr>
                  <w:r>
                    <w:rPr>
                      <w:rFonts w:ascii="Times New Roman" w:hAnsi="Times New Roman"/>
                      <w:b/>
                      <w:bCs/>
                    </w:rPr>
                    <w:t>类别</w:t>
                  </w:r>
                </w:p>
              </w:tc>
              <w:tc>
                <w:tcPr>
                  <w:tcW w:w="765" w:type="dxa"/>
                  <w:vAlign w:val="center"/>
                </w:tcPr>
                <w:p>
                  <w:pPr>
                    <w:pStyle w:val="50"/>
                    <w:spacing w:line="300" w:lineRule="exact"/>
                    <w:rPr>
                      <w:rFonts w:ascii="Times New Roman" w:hAnsi="Times New Roman"/>
                      <w:b/>
                      <w:bCs/>
                    </w:rPr>
                  </w:pPr>
                  <w:r>
                    <w:rPr>
                      <w:rFonts w:ascii="Times New Roman" w:hAnsi="Times New Roman"/>
                      <w:b/>
                      <w:bCs/>
                    </w:rPr>
                    <w:t>昼间</w:t>
                  </w:r>
                </w:p>
              </w:tc>
              <w:tc>
                <w:tcPr>
                  <w:tcW w:w="855" w:type="dxa"/>
                  <w:vAlign w:val="center"/>
                </w:tcPr>
                <w:p>
                  <w:pPr>
                    <w:pStyle w:val="50"/>
                    <w:spacing w:line="300" w:lineRule="exact"/>
                    <w:rPr>
                      <w:rFonts w:ascii="Times New Roman" w:hAnsi="Times New Roman"/>
                      <w:b/>
                      <w:bCs/>
                    </w:rPr>
                  </w:pPr>
                  <w:r>
                    <w:rPr>
                      <w:rFonts w:hint="eastAsia" w:ascii="Times New Roman" w:hAnsi="Times New Roman"/>
                      <w:b/>
                      <w:bCs/>
                    </w:rPr>
                    <w:t>夜间</w:t>
                  </w:r>
                </w:p>
              </w:tc>
              <w:tc>
                <w:tcPr>
                  <w:tcW w:w="2589" w:type="dxa"/>
                  <w:vAlign w:val="center"/>
                </w:tcPr>
                <w:p>
                  <w:pPr>
                    <w:pStyle w:val="50"/>
                    <w:spacing w:line="300" w:lineRule="exact"/>
                    <w:rPr>
                      <w:rFonts w:ascii="Times New Roman" w:hAnsi="Times New Roman"/>
                      <w:b/>
                      <w:bCs/>
                    </w:rPr>
                  </w:pPr>
                  <w:r>
                    <w:rPr>
                      <w:rFonts w:ascii="Times New Roman" w:hAnsi="Times New Roman"/>
                      <w:b/>
                      <w:bCs/>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0" w:type="dxa"/>
                  <w:vAlign w:val="center"/>
                </w:tcPr>
                <w:p>
                  <w:pPr>
                    <w:pStyle w:val="50"/>
                    <w:spacing w:line="300" w:lineRule="exact"/>
                    <w:rPr>
                      <w:rFonts w:hint="eastAsia" w:ascii="Times New Roman" w:hAnsi="Times New Roman"/>
                      <w:lang w:eastAsia="zh-CN"/>
                    </w:rPr>
                  </w:pPr>
                  <w:r>
                    <w:rPr>
                      <w:rFonts w:hint="eastAsia" w:ascii="Times New Roman" w:hAnsi="Times New Roman"/>
                      <w:lang w:eastAsia="zh-CN"/>
                    </w:rPr>
                    <w:t>厂界西（临316国道一侧厂界）</w:t>
                  </w:r>
                </w:p>
              </w:tc>
              <w:tc>
                <w:tcPr>
                  <w:tcW w:w="810" w:type="dxa"/>
                  <w:vAlign w:val="center"/>
                </w:tcPr>
                <w:p>
                  <w:pPr>
                    <w:pStyle w:val="50"/>
                    <w:spacing w:line="300" w:lineRule="exact"/>
                    <w:rPr>
                      <w:rFonts w:ascii="Times New Roman" w:hAnsi="Times New Roman"/>
                    </w:rPr>
                  </w:pPr>
                  <w:r>
                    <w:rPr>
                      <w:rFonts w:hint="eastAsia" w:ascii="Times New Roman" w:hAnsi="Times New Roman"/>
                    </w:rPr>
                    <w:t>4</w:t>
                  </w:r>
                  <w:r>
                    <w:rPr>
                      <w:rFonts w:ascii="Times New Roman" w:hAnsi="Times New Roman"/>
                    </w:rPr>
                    <w:t>类</w:t>
                  </w:r>
                </w:p>
              </w:tc>
              <w:tc>
                <w:tcPr>
                  <w:tcW w:w="765" w:type="dxa"/>
                  <w:vAlign w:val="center"/>
                </w:tcPr>
                <w:p>
                  <w:pPr>
                    <w:jc w:val="center"/>
                    <w:rPr>
                      <w:szCs w:val="21"/>
                    </w:rPr>
                  </w:pPr>
                  <w:r>
                    <w:rPr>
                      <w:szCs w:val="21"/>
                    </w:rPr>
                    <w:t>70</w:t>
                  </w:r>
                </w:p>
              </w:tc>
              <w:tc>
                <w:tcPr>
                  <w:tcW w:w="855" w:type="dxa"/>
                  <w:vAlign w:val="center"/>
                </w:tcPr>
                <w:p>
                  <w:pPr>
                    <w:jc w:val="center"/>
                    <w:rPr>
                      <w:szCs w:val="21"/>
                    </w:rPr>
                  </w:pPr>
                  <w:r>
                    <w:rPr>
                      <w:szCs w:val="21"/>
                    </w:rPr>
                    <w:t>55</w:t>
                  </w:r>
                </w:p>
              </w:tc>
              <w:tc>
                <w:tcPr>
                  <w:tcW w:w="2589" w:type="dxa"/>
                  <w:vMerge w:val="restart"/>
                  <w:vAlign w:val="center"/>
                </w:tcPr>
                <w:p>
                  <w:pPr>
                    <w:pStyle w:val="50"/>
                    <w:spacing w:line="300" w:lineRule="exact"/>
                    <w:rPr>
                      <w:rFonts w:ascii="Times New Roman" w:hAnsi="Times New Roman"/>
                    </w:rPr>
                  </w:pPr>
                  <w:r>
                    <w:rPr>
                      <w:rFonts w:hint="eastAsia" w:ascii="Times New Roman" w:hAnsi="Times New Roman"/>
                    </w:rPr>
                    <w:t>《工业企业厂界环境噪声排放标准》（GB12348-2008）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30" w:type="dxa"/>
                  <w:vAlign w:val="center"/>
                </w:tcPr>
                <w:p>
                  <w:pPr>
                    <w:pStyle w:val="50"/>
                    <w:spacing w:line="300" w:lineRule="exact"/>
                    <w:rPr>
                      <w:rFonts w:hint="eastAsia" w:ascii="Times New Roman" w:hAnsi="Times New Roman"/>
                      <w:lang w:eastAsia="zh-CN"/>
                    </w:rPr>
                  </w:pPr>
                  <w:r>
                    <w:rPr>
                      <w:rFonts w:hint="eastAsia" w:ascii="Times New Roman" w:hAnsi="Times New Roman"/>
                      <w:lang w:eastAsia="zh-CN"/>
                    </w:rPr>
                    <w:t>厂界东、南、北（其余厂界）</w:t>
                  </w:r>
                </w:p>
              </w:tc>
              <w:tc>
                <w:tcPr>
                  <w:tcW w:w="810" w:type="dxa"/>
                  <w:vAlign w:val="center"/>
                </w:tcPr>
                <w:p>
                  <w:pPr>
                    <w:pStyle w:val="50"/>
                    <w:spacing w:line="300" w:lineRule="exact"/>
                    <w:rPr>
                      <w:rFonts w:ascii="Times New Roman" w:hAnsi="Times New Roman"/>
                    </w:rPr>
                  </w:pPr>
                  <w:r>
                    <w:rPr>
                      <w:rFonts w:hint="eastAsia" w:ascii="Times New Roman" w:hAnsi="Times New Roman"/>
                    </w:rPr>
                    <w:t>2类</w:t>
                  </w:r>
                </w:p>
              </w:tc>
              <w:tc>
                <w:tcPr>
                  <w:tcW w:w="765" w:type="dxa"/>
                  <w:vAlign w:val="center"/>
                </w:tcPr>
                <w:p>
                  <w:pPr>
                    <w:jc w:val="center"/>
                    <w:rPr>
                      <w:szCs w:val="21"/>
                    </w:rPr>
                  </w:pPr>
                  <w:r>
                    <w:rPr>
                      <w:szCs w:val="21"/>
                    </w:rPr>
                    <w:t>60</w:t>
                  </w:r>
                </w:p>
              </w:tc>
              <w:tc>
                <w:tcPr>
                  <w:tcW w:w="855" w:type="dxa"/>
                  <w:vAlign w:val="center"/>
                </w:tcPr>
                <w:p>
                  <w:pPr>
                    <w:jc w:val="center"/>
                    <w:rPr>
                      <w:szCs w:val="21"/>
                    </w:rPr>
                  </w:pPr>
                  <w:r>
                    <w:rPr>
                      <w:szCs w:val="21"/>
                    </w:rPr>
                    <w:t>50</w:t>
                  </w:r>
                </w:p>
              </w:tc>
              <w:tc>
                <w:tcPr>
                  <w:tcW w:w="2589" w:type="dxa"/>
                  <w:vMerge w:val="continue"/>
                  <w:vAlign w:val="center"/>
                </w:tcPr>
                <w:p>
                  <w:pPr>
                    <w:pStyle w:val="50"/>
                    <w:spacing w:line="300" w:lineRule="exact"/>
                    <w:rPr>
                      <w:rFonts w:ascii="Times New Roman" w:hAnsi="Times New Roman"/>
                    </w:rPr>
                  </w:pPr>
                </w:p>
              </w:tc>
            </w:tr>
          </w:tbl>
          <w:p>
            <w:pPr>
              <w:pStyle w:val="2"/>
              <w:widowControl w:val="0"/>
              <w:numPr>
                <w:ilvl w:val="0"/>
                <w:numId w:val="0"/>
              </w:numPr>
              <w:spacing w:after="120" w:line="360" w:lineRule="auto"/>
              <w:ind w:firstLine="480" w:firstLineChars="200"/>
              <w:jc w:val="both"/>
            </w:pPr>
            <w:r>
              <w:rPr>
                <w:rFonts w:hint="eastAsia"/>
                <w:sz w:val="24"/>
                <w:lang w:val="en-US" w:eastAsia="zh-CN"/>
              </w:rPr>
              <w:t>4、固体废物。</w:t>
            </w:r>
            <w:r>
              <w:rPr>
                <w:rFonts w:hint="eastAsia"/>
                <w:sz w:val="24"/>
              </w:rPr>
              <w:t>一般工业固体废物执行《一般工业固体废物贮存、处置场污染控制标准》（GB18599-2001）及其修改单；</w:t>
            </w:r>
            <w:r>
              <w:rPr>
                <w:sz w:val="24"/>
              </w:rPr>
              <w:t>危险废物</w:t>
            </w:r>
            <w:r>
              <w:rPr>
                <w:rFonts w:hint="eastAsia"/>
                <w:sz w:val="24"/>
              </w:rPr>
              <w:t>执行《危险废物贮存污染控制标准》（GB18597-2001）及其修改单</w:t>
            </w:r>
            <w:r>
              <w:rPr>
                <w:sz w:val="24"/>
              </w:rPr>
              <w:t>。</w:t>
            </w:r>
          </w:p>
          <w:p>
            <w:pPr>
              <w:tabs>
                <w:tab w:val="left" w:pos="3818"/>
              </w:tabs>
              <w:spacing w:line="360" w:lineRule="auto"/>
              <w:ind w:firstLine="480" w:firstLineChars="200"/>
              <w:rPr>
                <w:sz w:val="24"/>
                <w:szCs w:val="32"/>
              </w:rPr>
            </w:pPr>
            <w:r>
              <w:rPr>
                <w:rFonts w:hint="eastAsia"/>
                <w:sz w:val="24"/>
                <w:lang w:val="en-US" w:eastAsia="zh-CN"/>
              </w:rPr>
              <w:t>5、总量控制。</w:t>
            </w:r>
            <w:r>
              <w:rPr>
                <w:sz w:val="24"/>
              </w:rPr>
              <w:t>项目废水经市政污水管网排入</w:t>
            </w:r>
            <w:r>
              <w:rPr>
                <w:rFonts w:hint="eastAsia"/>
                <w:sz w:val="24"/>
              </w:rPr>
              <w:t>资溪县</w:t>
            </w:r>
            <w:r>
              <w:rPr>
                <w:sz w:val="24"/>
              </w:rPr>
              <w:t>污水处理厂处理，COD、NH</w:t>
            </w:r>
            <w:r>
              <w:rPr>
                <w:sz w:val="24"/>
                <w:vertAlign w:val="subscript"/>
              </w:rPr>
              <w:t>3</w:t>
            </w:r>
            <w:r>
              <w:rPr>
                <w:sz w:val="24"/>
              </w:rPr>
              <w:t>-N排放总量考核指标分别为0.138t/a、0.013t/a，总量控制指标为0.041t/a、0.004t/a。其总量已纳入污水处理厂总量范围内，因此项目水污染物由</w:t>
            </w:r>
            <w:r>
              <w:rPr>
                <w:rFonts w:hint="eastAsia"/>
                <w:sz w:val="24"/>
              </w:rPr>
              <w:t>资溪县</w:t>
            </w:r>
            <w:r>
              <w:rPr>
                <w:sz w:val="24"/>
              </w:rPr>
              <w:t>污水处理厂总量中提供。</w:t>
            </w:r>
          </w:p>
          <w:p>
            <w:pPr>
              <w:numPr>
                <w:ilvl w:val="0"/>
                <w:numId w:val="0"/>
              </w:numPr>
              <w:bidi w:val="0"/>
              <w:rPr>
                <w:sz w:val="24"/>
              </w:rPr>
            </w:pPr>
          </w:p>
        </w:tc>
      </w:tr>
    </w:tbl>
    <w:p>
      <w:pPr>
        <w:pStyle w:val="21"/>
        <w:jc w:val="left"/>
        <w:outlineLvl w:val="9"/>
      </w:pPr>
      <w:bookmarkStart w:id="8" w:name="_Toc17167"/>
      <w:bookmarkStart w:id="9" w:name="_Toc52180560"/>
      <w:bookmarkStart w:id="10" w:name="_Toc2111"/>
    </w:p>
    <w:p>
      <w:pPr>
        <w:pStyle w:val="21"/>
        <w:jc w:val="left"/>
      </w:pPr>
      <w:r>
        <w:t>表</w:t>
      </w:r>
      <w:r>
        <w:rPr>
          <w:rFonts w:hint="eastAsia"/>
        </w:rPr>
        <w:t>二 工程建设内容及工艺流程、产污环节</w:t>
      </w:r>
      <w:bookmarkEnd w:id="8"/>
      <w:bookmarkEnd w:id="9"/>
      <w:bookmarkEnd w:id="10"/>
    </w:p>
    <w:tbl>
      <w:tblPr>
        <w:tblStyle w:val="24"/>
        <w:tblW w:w="94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9459" w:type="dxa"/>
          </w:tcPr>
          <w:p>
            <w:pPr>
              <w:spacing w:line="360" w:lineRule="auto"/>
              <w:ind w:firstLine="482" w:firstLineChars="200"/>
              <w:rPr>
                <w:b/>
                <w:bCs/>
                <w:sz w:val="24"/>
              </w:rPr>
            </w:pPr>
            <w:r>
              <w:rPr>
                <w:rFonts w:hint="eastAsia"/>
                <w:b/>
                <w:bCs/>
                <w:sz w:val="24"/>
              </w:rPr>
              <w:t>工程建设内容：</w:t>
            </w:r>
          </w:p>
          <w:p>
            <w:pPr>
              <w:spacing w:line="360" w:lineRule="auto"/>
              <w:ind w:firstLine="482" w:firstLineChars="200"/>
              <w:rPr>
                <w:b/>
                <w:bCs/>
                <w:sz w:val="24"/>
              </w:rPr>
            </w:pPr>
            <w:r>
              <w:rPr>
                <w:b/>
                <w:bCs/>
                <w:sz w:val="24"/>
              </w:rPr>
              <w:t>1、建设项目的名称、性质和厂址</w:t>
            </w:r>
          </w:p>
          <w:p>
            <w:pPr>
              <w:spacing w:line="360" w:lineRule="auto"/>
              <w:ind w:firstLine="480" w:firstLineChars="200"/>
              <w:rPr>
                <w:rFonts w:hint="eastAsia"/>
                <w:sz w:val="24"/>
                <w:highlight w:val="none"/>
              </w:rPr>
            </w:pPr>
            <w:r>
              <w:rPr>
                <w:sz w:val="24"/>
              </w:rPr>
              <w:t>建设项目名称：</w:t>
            </w:r>
            <w:r>
              <w:rPr>
                <w:rFonts w:hint="eastAsia"/>
                <w:sz w:val="24"/>
                <w:highlight w:val="none"/>
              </w:rPr>
              <w:t>中国石化销售股份有限公司江西抚州资溪石油分公司</w:t>
            </w:r>
          </w:p>
          <w:p>
            <w:pPr>
              <w:spacing w:line="360" w:lineRule="auto"/>
              <w:ind w:firstLine="2160" w:firstLineChars="900"/>
              <w:rPr>
                <w:sz w:val="24"/>
                <w:highlight w:val="none"/>
              </w:rPr>
            </w:pPr>
            <w:r>
              <w:rPr>
                <w:rFonts w:hint="eastAsia"/>
                <w:sz w:val="24"/>
                <w:highlight w:val="none"/>
              </w:rPr>
              <w:t>茶博城加油站建设项目</w:t>
            </w:r>
          </w:p>
          <w:p>
            <w:pPr>
              <w:spacing w:line="360" w:lineRule="auto"/>
              <w:ind w:firstLine="480" w:firstLineChars="200"/>
              <w:rPr>
                <w:sz w:val="24"/>
              </w:rPr>
            </w:pPr>
            <w:r>
              <w:rPr>
                <w:sz w:val="24"/>
              </w:rPr>
              <w:t>建设项目性质：新建</w:t>
            </w:r>
          </w:p>
          <w:p>
            <w:pPr>
              <w:spacing w:line="360" w:lineRule="auto"/>
              <w:ind w:firstLine="480" w:firstLineChars="200"/>
              <w:rPr>
                <w:sz w:val="24"/>
              </w:rPr>
            </w:pPr>
            <w:r>
              <w:rPr>
                <w:sz w:val="24"/>
              </w:rPr>
              <w:t>法人代表</w:t>
            </w:r>
            <w:r>
              <w:rPr>
                <w:rFonts w:hint="eastAsia"/>
                <w:sz w:val="24"/>
              </w:rPr>
              <w:t>：</w:t>
            </w:r>
            <w:r>
              <w:rPr>
                <w:rFonts w:hint="eastAsia"/>
                <w:sz w:val="24"/>
                <w:lang w:eastAsia="zh-CN"/>
              </w:rPr>
              <w:t>唐勇根</w:t>
            </w:r>
            <w:r>
              <w:rPr>
                <w:sz w:val="24"/>
              </w:rPr>
              <w:t xml:space="preserve">           联系电话：13979497676</w:t>
            </w:r>
          </w:p>
          <w:p>
            <w:pPr>
              <w:spacing w:line="360" w:lineRule="auto"/>
              <w:ind w:firstLine="480" w:firstLineChars="200"/>
              <w:rPr>
                <w:sz w:val="24"/>
              </w:rPr>
            </w:pPr>
            <w:r>
              <w:rPr>
                <w:sz w:val="24"/>
              </w:rPr>
              <w:t>建设项目厂址：</w:t>
            </w:r>
            <w:r>
              <w:rPr>
                <w:rFonts w:hint="eastAsia"/>
                <w:sz w:val="24"/>
              </w:rPr>
              <w:t>江西省抚州市资溪</w:t>
            </w:r>
            <w:r>
              <w:rPr>
                <w:sz w:val="24"/>
              </w:rPr>
              <w:t>县鹤城镇沙苑村新</w:t>
            </w:r>
            <w:r>
              <w:rPr>
                <w:rFonts w:hint="eastAsia"/>
                <w:sz w:val="24"/>
              </w:rPr>
              <w:t>316国道</w:t>
            </w:r>
            <w:r>
              <w:rPr>
                <w:sz w:val="24"/>
              </w:rPr>
              <w:t>东侧（</w:t>
            </w:r>
            <w:r>
              <w:rPr>
                <w:rFonts w:hint="eastAsia"/>
                <w:sz w:val="24"/>
              </w:rPr>
              <w:t>茶博城</w:t>
            </w:r>
            <w:r>
              <w:rPr>
                <w:sz w:val="24"/>
              </w:rPr>
              <w:t>对</w:t>
            </w:r>
            <w:r>
              <w:rPr>
                <w:rFonts w:hint="eastAsia"/>
                <w:sz w:val="24"/>
              </w:rPr>
              <w:t>面</w:t>
            </w:r>
            <w:r>
              <w:rPr>
                <w:sz w:val="24"/>
              </w:rPr>
              <w:t>）</w:t>
            </w:r>
          </w:p>
          <w:p>
            <w:pPr>
              <w:spacing w:line="360" w:lineRule="auto"/>
              <w:ind w:firstLine="482" w:firstLineChars="200"/>
              <w:rPr>
                <w:b/>
                <w:bCs/>
                <w:sz w:val="24"/>
              </w:rPr>
            </w:pPr>
            <w:r>
              <w:rPr>
                <w:b/>
                <w:bCs/>
                <w:sz w:val="24"/>
              </w:rPr>
              <w:t>2、</w:t>
            </w:r>
            <w:r>
              <w:rPr>
                <w:rFonts w:hint="eastAsia"/>
                <w:b/>
                <w:bCs/>
                <w:sz w:val="24"/>
              </w:rPr>
              <w:t>建设项目周围环境</w:t>
            </w:r>
          </w:p>
          <w:p>
            <w:pPr>
              <w:spacing w:line="360" w:lineRule="auto"/>
              <w:ind w:firstLine="480" w:firstLineChars="200"/>
              <w:rPr>
                <w:sz w:val="24"/>
                <w:highlight w:val="yellow"/>
              </w:rPr>
            </w:pPr>
            <w:r>
              <w:rPr>
                <w:rFonts w:hint="eastAsia"/>
                <w:sz w:val="24"/>
                <w:highlight w:val="none"/>
              </w:rPr>
              <w:t>项目选址于</w:t>
            </w:r>
            <w:r>
              <w:rPr>
                <w:rFonts w:hint="eastAsia"/>
                <w:sz w:val="24"/>
              </w:rPr>
              <w:t>江西省抚州市资溪</w:t>
            </w:r>
            <w:r>
              <w:rPr>
                <w:sz w:val="24"/>
              </w:rPr>
              <w:t>县鹤城镇沙苑村新</w:t>
            </w:r>
            <w:r>
              <w:rPr>
                <w:rFonts w:hint="eastAsia"/>
                <w:sz w:val="24"/>
              </w:rPr>
              <w:t>316国道</w:t>
            </w:r>
            <w:r>
              <w:rPr>
                <w:sz w:val="24"/>
              </w:rPr>
              <w:t>东侧（</w:t>
            </w:r>
            <w:r>
              <w:rPr>
                <w:rFonts w:hint="eastAsia"/>
                <w:sz w:val="24"/>
              </w:rPr>
              <w:t>茶博城</w:t>
            </w:r>
            <w:r>
              <w:rPr>
                <w:sz w:val="24"/>
              </w:rPr>
              <w:t>对</w:t>
            </w:r>
            <w:r>
              <w:rPr>
                <w:rFonts w:hint="eastAsia"/>
                <w:sz w:val="24"/>
              </w:rPr>
              <w:t>面</w:t>
            </w:r>
            <w:r>
              <w:rPr>
                <w:sz w:val="24"/>
              </w:rPr>
              <w:t>），地理坐标为东经</w:t>
            </w:r>
            <w:r>
              <w:rPr>
                <w:rFonts w:hint="eastAsia"/>
                <w:sz w:val="24"/>
              </w:rPr>
              <w:t>11</w:t>
            </w:r>
            <w:r>
              <w:rPr>
                <w:sz w:val="24"/>
              </w:rPr>
              <w:t>7</w:t>
            </w:r>
            <w:r>
              <w:rPr>
                <w:rFonts w:hint="eastAsia"/>
                <w:sz w:val="24"/>
              </w:rPr>
              <w:t>°5′19.52″，</w:t>
            </w:r>
            <w:r>
              <w:rPr>
                <w:sz w:val="24"/>
              </w:rPr>
              <w:t>北纬</w:t>
            </w:r>
            <w:r>
              <w:rPr>
                <w:rFonts w:hint="eastAsia"/>
                <w:sz w:val="24"/>
              </w:rPr>
              <w:t>2</w:t>
            </w:r>
            <w:r>
              <w:rPr>
                <w:sz w:val="24"/>
              </w:rPr>
              <w:t>7</w:t>
            </w:r>
            <w:r>
              <w:rPr>
                <w:rFonts w:hint="eastAsia"/>
                <w:sz w:val="24"/>
              </w:rPr>
              <w:t>°4</w:t>
            </w:r>
            <w:r>
              <w:rPr>
                <w:sz w:val="24"/>
              </w:rPr>
              <w:t>3</w:t>
            </w:r>
            <w:r>
              <w:rPr>
                <w:rFonts w:hint="eastAsia"/>
                <w:sz w:val="24"/>
              </w:rPr>
              <w:t>′</w:t>
            </w:r>
            <w:r>
              <w:rPr>
                <w:sz w:val="24"/>
              </w:rPr>
              <w:t>23.57</w:t>
            </w:r>
            <w:r>
              <w:rPr>
                <w:rFonts w:hint="eastAsia"/>
                <w:sz w:val="24"/>
              </w:rPr>
              <w:t>″</w:t>
            </w:r>
            <w:r>
              <w:rPr>
                <w:rFonts w:hint="eastAsia"/>
                <w:sz w:val="24"/>
                <w:highlight w:val="none"/>
              </w:rPr>
              <w:t>。</w:t>
            </w:r>
            <w:r>
              <w:rPr>
                <w:rFonts w:hint="eastAsia"/>
                <w:sz w:val="24"/>
              </w:rPr>
              <w:t>项目西面</w:t>
            </w:r>
            <w:r>
              <w:rPr>
                <w:sz w:val="24"/>
              </w:rPr>
              <w:t>为</w:t>
            </w:r>
            <w:r>
              <w:rPr>
                <w:rFonts w:hint="eastAsia"/>
                <w:sz w:val="24"/>
              </w:rPr>
              <w:t>新316国道</w:t>
            </w:r>
            <w:r>
              <w:rPr>
                <w:sz w:val="24"/>
              </w:rPr>
              <w:t>及茶博城小区</w:t>
            </w:r>
            <w:r>
              <w:rPr>
                <w:rFonts w:hint="eastAsia"/>
                <w:sz w:val="24"/>
              </w:rPr>
              <w:t>（在建</w:t>
            </w:r>
            <w:r>
              <w:rPr>
                <w:sz w:val="24"/>
              </w:rPr>
              <w:t>），其余三面为</w:t>
            </w:r>
            <w:r>
              <w:rPr>
                <w:rFonts w:hint="eastAsia"/>
                <w:sz w:val="24"/>
              </w:rPr>
              <w:t>山体</w:t>
            </w:r>
            <w:r>
              <w:rPr>
                <w:sz w:val="24"/>
              </w:rPr>
              <w:t>。</w:t>
            </w:r>
            <w:r>
              <w:rPr>
                <w:rFonts w:hint="eastAsia"/>
                <w:sz w:val="24"/>
              </w:rPr>
              <w:t>离本项目最近的敏感点为西侧</w:t>
            </w:r>
            <w:r>
              <w:rPr>
                <w:sz w:val="24"/>
              </w:rPr>
              <w:t>约</w:t>
            </w:r>
            <w:r>
              <w:rPr>
                <w:rFonts w:hint="eastAsia"/>
                <w:sz w:val="24"/>
              </w:rPr>
              <w:t>32m处</w:t>
            </w:r>
            <w:r>
              <w:rPr>
                <w:sz w:val="24"/>
              </w:rPr>
              <w:t>的茶博城小区</w:t>
            </w:r>
            <w:r>
              <w:rPr>
                <w:rFonts w:hint="eastAsia"/>
                <w:sz w:val="24"/>
              </w:rPr>
              <w:t>（在建</w:t>
            </w:r>
            <w:r>
              <w:rPr>
                <w:sz w:val="24"/>
              </w:rPr>
              <w:t>）</w:t>
            </w:r>
            <w:r>
              <w:rPr>
                <w:rFonts w:hint="eastAsia"/>
                <w:sz w:val="24"/>
                <w:lang w:eastAsia="zh-CN"/>
              </w:rPr>
              <w:t>，较近敏感点为</w:t>
            </w:r>
            <w:r>
              <w:rPr>
                <w:rFonts w:hint="eastAsia"/>
                <w:sz w:val="24"/>
                <w:highlight w:val="none"/>
                <w:lang w:val="en-US" w:eastAsia="zh-CN"/>
              </w:rPr>
              <w:t>东南面125m安源村，南面167m为大觉府居民区，西南面398m为沙苑村，西北面604m为上皇村。</w:t>
            </w:r>
            <w:r>
              <w:rPr>
                <w:sz w:val="24"/>
              </w:rPr>
              <w:t>项目用地周围无自然保护区、风景名胜区和其它特别需要保护的敏感目标。</w:t>
            </w:r>
          </w:p>
          <w:p>
            <w:pPr>
              <w:spacing w:line="360" w:lineRule="auto"/>
              <w:ind w:firstLine="482" w:firstLineChars="200"/>
              <w:rPr>
                <w:b/>
                <w:bCs/>
                <w:sz w:val="24"/>
                <w:highlight w:val="none"/>
              </w:rPr>
            </w:pPr>
            <w:r>
              <w:rPr>
                <w:b/>
                <w:bCs/>
                <w:sz w:val="24"/>
                <w:highlight w:val="none"/>
              </w:rPr>
              <w:t>3、</w:t>
            </w:r>
            <w:r>
              <w:rPr>
                <w:rFonts w:hint="eastAsia"/>
                <w:b/>
                <w:bCs/>
                <w:sz w:val="24"/>
                <w:highlight w:val="none"/>
              </w:rPr>
              <w:t>建设内容及规模</w:t>
            </w:r>
          </w:p>
          <w:p>
            <w:pPr>
              <w:spacing w:line="360" w:lineRule="auto"/>
              <w:ind w:firstLine="480" w:firstLineChars="200"/>
              <w:rPr>
                <w:sz w:val="24"/>
                <w:highlight w:val="none"/>
              </w:rPr>
            </w:pPr>
            <w:r>
              <w:rPr>
                <w:rFonts w:hint="eastAsia"/>
                <w:sz w:val="24"/>
                <w:szCs w:val="24"/>
              </w:rPr>
              <w:t>茶博城加油站占地面积</w:t>
            </w:r>
            <w:r>
              <w:rPr>
                <w:sz w:val="24"/>
                <w:szCs w:val="24"/>
              </w:rPr>
              <w:t>1644.3</w:t>
            </w:r>
            <w:r>
              <w:rPr>
                <w:rFonts w:hint="eastAsia"/>
                <w:sz w:val="24"/>
                <w:szCs w:val="24"/>
              </w:rPr>
              <w:t>m</w:t>
            </w:r>
            <w:r>
              <w:rPr>
                <w:rFonts w:hint="eastAsia"/>
                <w:sz w:val="24"/>
                <w:szCs w:val="24"/>
                <w:vertAlign w:val="superscript"/>
              </w:rPr>
              <w:t>2</w:t>
            </w:r>
            <w:r>
              <w:rPr>
                <w:rFonts w:hint="eastAsia"/>
                <w:sz w:val="24"/>
                <w:szCs w:val="24"/>
              </w:rPr>
              <w:t>，包括主体工程、辅助工程和环保工程。主体工程包括加油区和油罐区，加油区建筑面积为</w:t>
            </w:r>
            <w:r>
              <w:rPr>
                <w:sz w:val="24"/>
                <w:szCs w:val="24"/>
              </w:rPr>
              <w:t>246.57</w:t>
            </w:r>
            <w:r>
              <w:rPr>
                <w:rFonts w:hint="eastAsia"/>
                <w:sz w:val="24"/>
                <w:szCs w:val="24"/>
              </w:rPr>
              <w:t>m</w:t>
            </w:r>
            <w:r>
              <w:rPr>
                <w:rFonts w:hint="eastAsia"/>
                <w:sz w:val="24"/>
                <w:szCs w:val="24"/>
                <w:vertAlign w:val="superscript"/>
              </w:rPr>
              <w:t>2</w:t>
            </w:r>
            <w:r>
              <w:rPr>
                <w:rFonts w:hint="eastAsia"/>
                <w:sz w:val="24"/>
                <w:szCs w:val="24"/>
              </w:rPr>
              <w:t>，油罐区占地面积</w:t>
            </w:r>
            <w:r>
              <w:rPr>
                <w:sz w:val="24"/>
                <w:szCs w:val="24"/>
              </w:rPr>
              <w:t>为</w:t>
            </w:r>
            <w:r>
              <w:rPr>
                <w:rFonts w:hint="eastAsia"/>
                <w:sz w:val="24"/>
                <w:szCs w:val="24"/>
              </w:rPr>
              <w:t>100m</w:t>
            </w:r>
            <w:r>
              <w:rPr>
                <w:sz w:val="24"/>
                <w:szCs w:val="24"/>
                <w:vertAlign w:val="superscript"/>
              </w:rPr>
              <w:t>2</w:t>
            </w:r>
            <w:r>
              <w:rPr>
                <w:rFonts w:hint="eastAsia"/>
                <w:sz w:val="24"/>
                <w:szCs w:val="24"/>
              </w:rPr>
              <w:t>；辅助工程包括站房（一层框架结构、便利店、办公区</w:t>
            </w:r>
            <w:r>
              <w:rPr>
                <w:sz w:val="24"/>
                <w:szCs w:val="24"/>
              </w:rPr>
              <w:t>等</w:t>
            </w:r>
            <w:r>
              <w:rPr>
                <w:rFonts w:hint="eastAsia"/>
                <w:sz w:val="24"/>
                <w:szCs w:val="24"/>
              </w:rPr>
              <w:t>），总建筑面积为</w:t>
            </w:r>
            <w:r>
              <w:rPr>
                <w:sz w:val="24"/>
                <w:szCs w:val="24"/>
              </w:rPr>
              <w:t>161.28</w:t>
            </w:r>
            <w:r>
              <w:rPr>
                <w:rFonts w:hint="eastAsia"/>
                <w:sz w:val="24"/>
                <w:szCs w:val="24"/>
              </w:rPr>
              <w:t>m</w:t>
            </w:r>
            <w:r>
              <w:rPr>
                <w:rFonts w:hint="eastAsia"/>
                <w:sz w:val="24"/>
                <w:szCs w:val="24"/>
                <w:vertAlign w:val="superscript"/>
              </w:rPr>
              <w:t>2</w:t>
            </w:r>
            <w:r>
              <w:rPr>
                <w:rFonts w:hint="eastAsia"/>
                <w:sz w:val="24"/>
                <w:szCs w:val="24"/>
              </w:rPr>
              <w:t>；环保工程包括化粪池（</w:t>
            </w:r>
            <w:r>
              <w:rPr>
                <w:sz w:val="24"/>
                <w:szCs w:val="24"/>
              </w:rPr>
              <w:t>7.5</w:t>
            </w:r>
            <w:r>
              <w:rPr>
                <w:rFonts w:hint="eastAsia"/>
                <w:sz w:val="24"/>
                <w:szCs w:val="24"/>
              </w:rPr>
              <w:t>m</w:t>
            </w:r>
            <w:r>
              <w:rPr>
                <w:rFonts w:hint="eastAsia"/>
                <w:sz w:val="24"/>
                <w:szCs w:val="24"/>
                <w:vertAlign w:val="superscript"/>
              </w:rPr>
              <w:t>3</w:t>
            </w:r>
            <w:r>
              <w:rPr>
                <w:rFonts w:hint="eastAsia"/>
                <w:sz w:val="24"/>
                <w:szCs w:val="24"/>
              </w:rPr>
              <w:t>）、隔油沉淀池（</w:t>
            </w:r>
            <w:r>
              <w:rPr>
                <w:sz w:val="24"/>
                <w:szCs w:val="24"/>
              </w:rPr>
              <w:t>12</w:t>
            </w:r>
            <w:r>
              <w:rPr>
                <w:rFonts w:hint="eastAsia"/>
                <w:sz w:val="24"/>
                <w:szCs w:val="24"/>
              </w:rPr>
              <w:t>m</w:t>
            </w:r>
            <w:r>
              <w:rPr>
                <w:rFonts w:hint="eastAsia"/>
                <w:sz w:val="24"/>
                <w:szCs w:val="24"/>
                <w:vertAlign w:val="superscript"/>
              </w:rPr>
              <w:t>3</w:t>
            </w:r>
            <w:r>
              <w:rPr>
                <w:rFonts w:hint="eastAsia"/>
                <w:sz w:val="24"/>
                <w:szCs w:val="24"/>
              </w:rPr>
              <w:t>）、油气回收装置。</w:t>
            </w:r>
            <w:r>
              <w:rPr>
                <w:rFonts w:hint="eastAsia"/>
                <w:sz w:val="24"/>
              </w:rPr>
              <w:t>根据《汽车加油加气站设计与施工规范》（GB50156-2012）（2014 年修订版），</w:t>
            </w:r>
            <w:r>
              <w:rPr>
                <w:rFonts w:hint="eastAsia"/>
                <w:sz w:val="24"/>
                <w:szCs w:val="24"/>
              </w:rPr>
              <w:t>本项目为二级加油站。</w:t>
            </w:r>
            <w:r>
              <w:rPr>
                <w:rFonts w:hint="eastAsia"/>
                <w:sz w:val="24"/>
                <w:highlight w:val="none"/>
              </w:rPr>
              <w:t>主要建设内容及规模见表2-1。</w:t>
            </w:r>
          </w:p>
          <w:p>
            <w:pPr>
              <w:spacing w:line="360" w:lineRule="auto"/>
              <w:jc w:val="center"/>
              <w:rPr>
                <w:b/>
                <w:kern w:val="0"/>
                <w:szCs w:val="21"/>
                <w:highlight w:val="none"/>
              </w:rPr>
            </w:pPr>
            <w:r>
              <w:rPr>
                <w:b/>
                <w:szCs w:val="21"/>
                <w:highlight w:val="none"/>
              </w:rPr>
              <w:t>表</w:t>
            </w:r>
            <w:r>
              <w:rPr>
                <w:rFonts w:hint="eastAsia"/>
                <w:b/>
                <w:szCs w:val="21"/>
                <w:highlight w:val="none"/>
              </w:rPr>
              <w:t>2-1项目环评设计</w:t>
            </w:r>
            <w:r>
              <w:rPr>
                <w:b/>
                <w:kern w:val="0"/>
                <w:szCs w:val="21"/>
                <w:highlight w:val="none"/>
              </w:rPr>
              <w:t>主要建设内容</w:t>
            </w:r>
            <w:r>
              <w:rPr>
                <w:rFonts w:hint="eastAsia"/>
                <w:b/>
                <w:kern w:val="0"/>
                <w:szCs w:val="21"/>
                <w:highlight w:val="none"/>
              </w:rPr>
              <w:t>与实际建设内容一览表</w:t>
            </w:r>
          </w:p>
          <w:tbl>
            <w:tblPr>
              <w:tblStyle w:val="24"/>
              <w:tblW w:w="9071"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398"/>
              <w:gridCol w:w="577"/>
              <w:gridCol w:w="1259"/>
              <w:gridCol w:w="3498"/>
              <w:gridCol w:w="333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975" w:type="dxa"/>
                  <w:gridSpan w:val="2"/>
                  <w:tcBorders>
                    <w:tl2br w:val="nil"/>
                    <w:tr2bl w:val="nil"/>
                  </w:tcBorders>
                  <w:noWrap w:val="0"/>
                  <w:vAlign w:val="center"/>
                </w:tcPr>
                <w:p>
                  <w:pPr>
                    <w:pStyle w:val="67"/>
                    <w:adjustRightInd w:val="0"/>
                    <w:snapToGrid w:val="0"/>
                    <w:rPr>
                      <w:rFonts w:eastAsia="宋体"/>
                      <w:b/>
                      <w:bCs/>
                    </w:rPr>
                  </w:pPr>
                  <w:r>
                    <w:rPr>
                      <w:rFonts w:eastAsia="宋体"/>
                      <w:b/>
                      <w:bCs/>
                    </w:rPr>
                    <w:t>工程分类</w:t>
                  </w:r>
                </w:p>
              </w:tc>
              <w:tc>
                <w:tcPr>
                  <w:tcW w:w="1259" w:type="dxa"/>
                  <w:tcBorders>
                    <w:tl2br w:val="nil"/>
                    <w:tr2bl w:val="nil"/>
                  </w:tcBorders>
                  <w:noWrap w:val="0"/>
                  <w:vAlign w:val="center"/>
                </w:tcPr>
                <w:p>
                  <w:pPr>
                    <w:pStyle w:val="67"/>
                    <w:adjustRightInd w:val="0"/>
                    <w:snapToGrid w:val="0"/>
                    <w:rPr>
                      <w:rFonts w:eastAsia="宋体"/>
                      <w:b/>
                      <w:bCs/>
                    </w:rPr>
                  </w:pPr>
                  <w:r>
                    <w:rPr>
                      <w:rFonts w:eastAsia="宋体"/>
                      <w:b/>
                      <w:bCs/>
                    </w:rPr>
                    <w:t>项目名称</w:t>
                  </w:r>
                </w:p>
              </w:tc>
              <w:tc>
                <w:tcPr>
                  <w:tcW w:w="3498" w:type="dxa"/>
                  <w:tcBorders>
                    <w:tl2br w:val="nil"/>
                    <w:tr2bl w:val="nil"/>
                  </w:tcBorders>
                  <w:noWrap w:val="0"/>
                  <w:vAlign w:val="center"/>
                </w:tcPr>
                <w:p>
                  <w:pPr>
                    <w:pStyle w:val="67"/>
                    <w:adjustRightInd w:val="0"/>
                    <w:snapToGrid w:val="0"/>
                    <w:rPr>
                      <w:rFonts w:eastAsia="宋体"/>
                      <w:b/>
                      <w:bCs/>
                    </w:rPr>
                  </w:pPr>
                  <w:r>
                    <w:rPr>
                      <w:rFonts w:asciiTheme="majorBidi" w:hAnsiTheme="majorBidi" w:eastAsiaTheme="minorEastAsia" w:cstheme="majorBidi"/>
                      <w:b/>
                      <w:bCs/>
                      <w:szCs w:val="21"/>
                    </w:rPr>
                    <w:t>环评</w:t>
                  </w:r>
                  <w:r>
                    <w:rPr>
                      <w:rFonts w:hint="eastAsia" w:asciiTheme="majorBidi" w:hAnsiTheme="majorBidi" w:eastAsiaTheme="minorEastAsia" w:cstheme="majorBidi"/>
                      <w:b/>
                      <w:bCs/>
                      <w:szCs w:val="21"/>
                      <w:lang w:eastAsia="zh-CN"/>
                    </w:rPr>
                    <w:t>预计</w:t>
                  </w:r>
                  <w:r>
                    <w:rPr>
                      <w:rFonts w:eastAsia="宋体"/>
                      <w:b/>
                      <w:bCs/>
                    </w:rPr>
                    <w:t>建设内容及规模</w:t>
                  </w:r>
                </w:p>
              </w:tc>
              <w:tc>
                <w:tcPr>
                  <w:tcW w:w="3339" w:type="dxa"/>
                  <w:tcBorders>
                    <w:tl2br w:val="nil"/>
                    <w:tr2bl w:val="nil"/>
                  </w:tcBorders>
                  <w:noWrap w:val="0"/>
                  <w:vAlign w:val="center"/>
                </w:tcPr>
                <w:p>
                  <w:pPr>
                    <w:pStyle w:val="67"/>
                    <w:adjustRightInd w:val="0"/>
                    <w:snapToGrid w:val="0"/>
                    <w:rPr>
                      <w:rFonts w:hint="eastAsia" w:eastAsia="宋体"/>
                      <w:b/>
                      <w:bCs/>
                      <w:lang w:eastAsia="zh-CN"/>
                    </w:rPr>
                  </w:pPr>
                  <w:r>
                    <w:rPr>
                      <w:rFonts w:hint="eastAsia" w:eastAsia="宋体"/>
                      <w:b/>
                      <w:bCs/>
                      <w:color w:val="auto"/>
                      <w:highlight w:val="none"/>
                      <w:lang w:eastAsia="zh-CN"/>
                    </w:rPr>
                    <w:t>实际建设内容及规模</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1189" w:hRule="atLeast"/>
                <w:jc w:val="center"/>
              </w:trPr>
              <w:tc>
                <w:tcPr>
                  <w:tcW w:w="975" w:type="dxa"/>
                  <w:gridSpan w:val="2"/>
                  <w:vMerge w:val="restart"/>
                  <w:tcBorders>
                    <w:tl2br w:val="nil"/>
                    <w:tr2bl w:val="nil"/>
                  </w:tcBorders>
                  <w:noWrap w:val="0"/>
                  <w:vAlign w:val="center"/>
                </w:tcPr>
                <w:p>
                  <w:pPr>
                    <w:pStyle w:val="67"/>
                    <w:adjustRightInd w:val="0"/>
                    <w:snapToGrid w:val="0"/>
                    <w:rPr>
                      <w:rFonts w:eastAsia="宋体"/>
                    </w:rPr>
                  </w:pPr>
                  <w:r>
                    <w:rPr>
                      <w:rFonts w:eastAsia="宋体"/>
                    </w:rPr>
                    <w:t>主体工程</w:t>
                  </w:r>
                </w:p>
              </w:tc>
              <w:tc>
                <w:tcPr>
                  <w:tcW w:w="1259" w:type="dxa"/>
                  <w:tcBorders>
                    <w:tl2br w:val="nil"/>
                    <w:tr2bl w:val="nil"/>
                  </w:tcBorders>
                  <w:noWrap w:val="0"/>
                  <w:vAlign w:val="center"/>
                </w:tcPr>
                <w:p>
                  <w:pPr>
                    <w:pStyle w:val="67"/>
                    <w:adjustRightInd w:val="0"/>
                    <w:snapToGrid w:val="0"/>
                    <w:rPr>
                      <w:rFonts w:eastAsia="宋体"/>
                    </w:rPr>
                  </w:pPr>
                  <w:r>
                    <w:rPr>
                      <w:rFonts w:eastAsia="宋体"/>
                    </w:rPr>
                    <w:t>加油区</w:t>
                  </w:r>
                </w:p>
              </w:tc>
              <w:tc>
                <w:tcPr>
                  <w:tcW w:w="3498" w:type="dxa"/>
                  <w:tcBorders>
                    <w:tl2br w:val="nil"/>
                    <w:tr2bl w:val="nil"/>
                  </w:tcBorders>
                  <w:noWrap w:val="0"/>
                  <w:vAlign w:val="center"/>
                </w:tcPr>
                <w:p>
                  <w:pPr>
                    <w:pStyle w:val="67"/>
                    <w:adjustRightInd w:val="0"/>
                    <w:snapToGrid w:val="0"/>
                    <w:rPr>
                      <w:rFonts w:eastAsia="宋体"/>
                    </w:rPr>
                  </w:pPr>
                  <w:r>
                    <w:rPr>
                      <w:rFonts w:eastAsia="宋体"/>
                    </w:rPr>
                    <w:t>顶上设置罩棚</w:t>
                  </w:r>
                  <w:r>
                    <w:rPr>
                      <w:rFonts w:hint="eastAsia" w:eastAsia="宋体"/>
                    </w:rPr>
                    <w:t>（型</w:t>
                  </w:r>
                  <w:r>
                    <w:rPr>
                      <w:rFonts w:eastAsia="宋体"/>
                    </w:rPr>
                    <w:t>钢罩棚，净高</w:t>
                  </w:r>
                  <w:r>
                    <w:rPr>
                      <w:rFonts w:hint="eastAsia" w:eastAsia="宋体"/>
                    </w:rPr>
                    <w:t>H</w:t>
                  </w:r>
                  <w:r>
                    <w:rPr>
                      <w:rFonts w:eastAsia="宋体"/>
                    </w:rPr>
                    <w:t>=6</w:t>
                  </w:r>
                  <w:r>
                    <w:rPr>
                      <w:rFonts w:hint="eastAsia" w:eastAsia="宋体"/>
                    </w:rPr>
                    <w:t>m</w:t>
                  </w:r>
                  <w:r>
                    <w:rPr>
                      <w:rFonts w:eastAsia="宋体"/>
                    </w:rPr>
                    <w:t>），面积246.57m</w:t>
                  </w:r>
                  <w:r>
                    <w:rPr>
                      <w:rFonts w:eastAsia="宋体"/>
                      <w:vertAlign w:val="superscript"/>
                    </w:rPr>
                    <w:t>2</w:t>
                  </w:r>
                  <w:r>
                    <w:rPr>
                      <w:rFonts w:eastAsia="宋体"/>
                    </w:rPr>
                    <w:t>，</w:t>
                  </w:r>
                  <w:r>
                    <w:rPr>
                      <w:rFonts w:hint="eastAsia" w:eastAsia="宋体"/>
                    </w:rPr>
                    <w:t>加油岛2个</w:t>
                  </w:r>
                  <w:r>
                    <w:rPr>
                      <w:rFonts w:eastAsia="宋体"/>
                    </w:rPr>
                    <w:t>，设2台</w:t>
                  </w:r>
                  <w:r>
                    <w:rPr>
                      <w:rFonts w:hint="eastAsia" w:eastAsia="宋体"/>
                    </w:rPr>
                    <w:t>四</w:t>
                  </w:r>
                  <w:r>
                    <w:rPr>
                      <w:rFonts w:eastAsia="宋体"/>
                    </w:rPr>
                    <w:t>枪</w:t>
                  </w:r>
                  <w:r>
                    <w:rPr>
                      <w:rFonts w:hint="eastAsia" w:eastAsia="宋体"/>
                    </w:rPr>
                    <w:t>四</w:t>
                  </w:r>
                  <w:r>
                    <w:rPr>
                      <w:rFonts w:eastAsia="宋体"/>
                    </w:rPr>
                    <w:t>油品潜油泵加油机</w:t>
                  </w:r>
                </w:p>
              </w:tc>
              <w:tc>
                <w:tcPr>
                  <w:tcW w:w="3339" w:type="dxa"/>
                  <w:tcBorders>
                    <w:tl2br w:val="nil"/>
                    <w:tr2bl w:val="nil"/>
                  </w:tcBorders>
                  <w:noWrap w:val="0"/>
                  <w:vAlign w:val="center"/>
                </w:tcPr>
                <w:p>
                  <w:pPr>
                    <w:pStyle w:val="67"/>
                    <w:adjustRightInd w:val="0"/>
                    <w:snapToGrid w:val="0"/>
                    <w:ind w:left="0" w:leftChars="0" w:firstLine="0" w:firstLineChars="0"/>
                    <w:rPr>
                      <w:rFonts w:ascii="Times New Roman" w:hAnsi="Times New Roman" w:eastAsia="宋体" w:cs="Times New Roman"/>
                      <w:kern w:val="2"/>
                      <w:sz w:val="21"/>
                      <w:szCs w:val="21"/>
                      <w:lang w:val="en-US" w:eastAsia="zh-CN" w:bidi="ar-SA"/>
                    </w:rPr>
                  </w:pPr>
                  <w:r>
                    <w:rPr>
                      <w:rFonts w:eastAsia="宋体"/>
                    </w:rPr>
                    <w:t>顶上设置罩棚</w:t>
                  </w:r>
                  <w:r>
                    <w:rPr>
                      <w:rFonts w:hint="eastAsia" w:eastAsia="宋体"/>
                    </w:rPr>
                    <w:t>（型</w:t>
                  </w:r>
                  <w:r>
                    <w:rPr>
                      <w:rFonts w:eastAsia="宋体"/>
                    </w:rPr>
                    <w:t>钢罩棚，净高</w:t>
                  </w:r>
                  <w:r>
                    <w:rPr>
                      <w:rFonts w:hint="eastAsia" w:eastAsia="宋体"/>
                    </w:rPr>
                    <w:t>H</w:t>
                  </w:r>
                  <w:r>
                    <w:rPr>
                      <w:rFonts w:eastAsia="宋体"/>
                    </w:rPr>
                    <w:t>=6</w:t>
                  </w:r>
                  <w:r>
                    <w:rPr>
                      <w:rFonts w:hint="eastAsia" w:eastAsia="宋体"/>
                    </w:rPr>
                    <w:t>m</w:t>
                  </w:r>
                  <w:r>
                    <w:rPr>
                      <w:rFonts w:eastAsia="宋体"/>
                    </w:rPr>
                    <w:t>），面积246.57m</w:t>
                  </w:r>
                  <w:r>
                    <w:rPr>
                      <w:rFonts w:eastAsia="宋体"/>
                      <w:vertAlign w:val="superscript"/>
                    </w:rPr>
                    <w:t>2</w:t>
                  </w:r>
                  <w:r>
                    <w:rPr>
                      <w:rFonts w:eastAsia="宋体"/>
                    </w:rPr>
                    <w:t>，</w:t>
                  </w:r>
                  <w:r>
                    <w:rPr>
                      <w:rFonts w:hint="eastAsia" w:eastAsia="宋体"/>
                    </w:rPr>
                    <w:t>加油岛2个</w:t>
                  </w:r>
                  <w:r>
                    <w:rPr>
                      <w:rFonts w:eastAsia="宋体"/>
                    </w:rPr>
                    <w:t>，设2台</w:t>
                  </w:r>
                  <w:r>
                    <w:rPr>
                      <w:rFonts w:hint="eastAsia" w:eastAsia="宋体"/>
                    </w:rPr>
                    <w:t>四</w:t>
                  </w:r>
                  <w:r>
                    <w:rPr>
                      <w:rFonts w:eastAsia="宋体"/>
                    </w:rPr>
                    <w:t>枪</w:t>
                  </w:r>
                  <w:r>
                    <w:rPr>
                      <w:rFonts w:hint="eastAsia" w:eastAsia="宋体"/>
                    </w:rPr>
                    <w:t>四</w:t>
                  </w:r>
                  <w:r>
                    <w:rPr>
                      <w:rFonts w:eastAsia="宋体"/>
                    </w:rPr>
                    <w:t>油品潜油泵加油机</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975" w:type="dxa"/>
                  <w:gridSpan w:val="2"/>
                  <w:vMerge w:val="continue"/>
                  <w:tcBorders>
                    <w:tl2br w:val="nil"/>
                    <w:tr2bl w:val="nil"/>
                  </w:tcBorders>
                  <w:noWrap w:val="0"/>
                  <w:vAlign w:val="center"/>
                </w:tcPr>
                <w:p>
                  <w:pPr>
                    <w:pStyle w:val="68"/>
                    <w:adjustRightInd w:val="0"/>
                    <w:snapToGrid w:val="0"/>
                    <w:rPr>
                      <w:rFonts w:eastAsia="宋体"/>
                    </w:rPr>
                  </w:pPr>
                </w:p>
              </w:tc>
              <w:tc>
                <w:tcPr>
                  <w:tcW w:w="1259" w:type="dxa"/>
                  <w:tcBorders>
                    <w:tl2br w:val="nil"/>
                    <w:tr2bl w:val="nil"/>
                  </w:tcBorders>
                  <w:noWrap w:val="0"/>
                  <w:vAlign w:val="center"/>
                </w:tcPr>
                <w:p>
                  <w:pPr>
                    <w:pStyle w:val="68"/>
                    <w:adjustRightInd w:val="0"/>
                    <w:snapToGrid w:val="0"/>
                    <w:rPr>
                      <w:rFonts w:eastAsia="宋体"/>
                    </w:rPr>
                  </w:pPr>
                  <w:r>
                    <w:rPr>
                      <w:rFonts w:eastAsia="宋体"/>
                    </w:rPr>
                    <w:t>油罐区</w:t>
                  </w:r>
                </w:p>
              </w:tc>
              <w:tc>
                <w:tcPr>
                  <w:tcW w:w="3498" w:type="dxa"/>
                  <w:tcBorders>
                    <w:tl2br w:val="nil"/>
                    <w:tr2bl w:val="nil"/>
                  </w:tcBorders>
                  <w:noWrap w:val="0"/>
                  <w:vAlign w:val="center"/>
                </w:tcPr>
                <w:p>
                  <w:pPr>
                    <w:pStyle w:val="68"/>
                    <w:adjustRightInd w:val="0"/>
                    <w:snapToGrid w:val="0"/>
                    <w:rPr>
                      <w:rFonts w:eastAsia="宋体"/>
                    </w:rPr>
                  </w:pPr>
                  <w:r>
                    <w:rPr>
                      <w:rFonts w:eastAsia="宋体"/>
                    </w:rPr>
                    <w:t>4台地埋SF双层</w:t>
                  </w:r>
                  <w:r>
                    <w:rPr>
                      <w:rFonts w:hint="eastAsia" w:eastAsia="宋体"/>
                    </w:rPr>
                    <w:t>油罐</w:t>
                  </w:r>
                  <w:r>
                    <w:rPr>
                      <w:rFonts w:eastAsia="宋体"/>
                    </w:rPr>
                    <w:t>，0#卧式柴油储罐1个，92#、95#、98#汽油储罐各1个，每个均为30m</w:t>
                  </w:r>
                  <w:r>
                    <w:rPr>
                      <w:rFonts w:eastAsia="宋体"/>
                      <w:vertAlign w:val="superscript"/>
                    </w:rPr>
                    <w:t>3</w:t>
                  </w:r>
                </w:p>
              </w:tc>
              <w:tc>
                <w:tcPr>
                  <w:tcW w:w="3339" w:type="dxa"/>
                  <w:tcBorders>
                    <w:tl2br w:val="nil"/>
                    <w:tr2bl w:val="nil"/>
                  </w:tcBorders>
                  <w:noWrap w:val="0"/>
                  <w:vAlign w:val="center"/>
                </w:tcPr>
                <w:p>
                  <w:pPr>
                    <w:pStyle w:val="68"/>
                    <w:adjustRightInd w:val="0"/>
                    <w:snapToGrid w:val="0"/>
                    <w:rPr>
                      <w:rFonts w:ascii="Times New Roman" w:hAnsi="Times New Roman" w:eastAsia="宋体" w:cs="Times New Roman"/>
                      <w:kern w:val="2"/>
                      <w:sz w:val="21"/>
                      <w:szCs w:val="21"/>
                      <w:lang w:val="en-US" w:eastAsia="zh-CN" w:bidi="th-TH"/>
                    </w:rPr>
                  </w:pPr>
                  <w:r>
                    <w:rPr>
                      <w:rFonts w:eastAsia="宋体"/>
                    </w:rPr>
                    <w:t>4台地埋SF双层</w:t>
                  </w:r>
                  <w:r>
                    <w:rPr>
                      <w:rFonts w:hint="eastAsia" w:eastAsia="宋体"/>
                    </w:rPr>
                    <w:t>油罐</w:t>
                  </w:r>
                  <w:r>
                    <w:rPr>
                      <w:rFonts w:eastAsia="宋体"/>
                    </w:rPr>
                    <w:t>，0#卧式柴油储罐1个，92#、95#、98#汽油储罐各1个，每个均为30m</w:t>
                  </w:r>
                  <w:r>
                    <w:rPr>
                      <w:rFonts w:eastAsia="宋体"/>
                      <w:vertAlign w:val="superscript"/>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975" w:type="dxa"/>
                  <w:gridSpan w:val="2"/>
                  <w:tcBorders>
                    <w:tl2br w:val="nil"/>
                    <w:tr2bl w:val="nil"/>
                  </w:tcBorders>
                  <w:noWrap w:val="0"/>
                  <w:vAlign w:val="center"/>
                </w:tcPr>
                <w:p>
                  <w:pPr>
                    <w:pStyle w:val="68"/>
                    <w:adjustRightInd w:val="0"/>
                    <w:snapToGrid w:val="0"/>
                    <w:rPr>
                      <w:rFonts w:eastAsia="宋体"/>
                    </w:rPr>
                  </w:pPr>
                  <w:r>
                    <w:rPr>
                      <w:rFonts w:eastAsia="宋体"/>
                    </w:rPr>
                    <w:t>辅助工程</w:t>
                  </w:r>
                </w:p>
              </w:tc>
              <w:tc>
                <w:tcPr>
                  <w:tcW w:w="1259" w:type="dxa"/>
                  <w:tcBorders>
                    <w:tl2br w:val="nil"/>
                    <w:tr2bl w:val="nil"/>
                  </w:tcBorders>
                  <w:noWrap w:val="0"/>
                  <w:vAlign w:val="center"/>
                </w:tcPr>
                <w:p>
                  <w:pPr>
                    <w:pStyle w:val="68"/>
                    <w:adjustRightInd w:val="0"/>
                    <w:snapToGrid w:val="0"/>
                    <w:rPr>
                      <w:rFonts w:eastAsia="宋体"/>
                    </w:rPr>
                  </w:pPr>
                  <w:r>
                    <w:rPr>
                      <w:rFonts w:eastAsia="宋体"/>
                    </w:rPr>
                    <w:t>站房</w:t>
                  </w:r>
                </w:p>
              </w:tc>
              <w:tc>
                <w:tcPr>
                  <w:tcW w:w="3498" w:type="dxa"/>
                  <w:tcBorders>
                    <w:tl2br w:val="nil"/>
                    <w:tr2bl w:val="nil"/>
                  </w:tcBorders>
                  <w:noWrap w:val="0"/>
                  <w:vAlign w:val="center"/>
                </w:tcPr>
                <w:p>
                  <w:pPr>
                    <w:pStyle w:val="68"/>
                    <w:adjustRightInd w:val="0"/>
                    <w:snapToGrid w:val="0"/>
                    <w:rPr>
                      <w:rFonts w:hint="eastAsia" w:eastAsia="宋体"/>
                    </w:rPr>
                  </w:pPr>
                  <w:r>
                    <w:rPr>
                      <w:rFonts w:eastAsia="宋体"/>
                    </w:rPr>
                    <w:t>一层</w:t>
                  </w:r>
                  <w:r>
                    <w:rPr>
                      <w:rFonts w:hint="eastAsia" w:eastAsia="宋体"/>
                    </w:rPr>
                    <w:t>框架</w:t>
                  </w:r>
                  <w:r>
                    <w:rPr>
                      <w:rFonts w:eastAsia="宋体"/>
                    </w:rPr>
                    <w:t>结构，总建筑面积161.28m</w:t>
                  </w:r>
                  <w:r>
                    <w:rPr>
                      <w:rFonts w:eastAsia="宋体"/>
                      <w:vertAlign w:val="superscript"/>
                    </w:rPr>
                    <w:t>2</w:t>
                  </w:r>
                  <w:r>
                    <w:rPr>
                      <w:rFonts w:eastAsia="宋体"/>
                    </w:rPr>
                    <w:t>，包括便利店</w:t>
                  </w:r>
                  <w:r>
                    <w:rPr>
                      <w:rFonts w:hint="eastAsia" w:eastAsia="宋体"/>
                    </w:rPr>
                    <w:t>、站长室</w:t>
                  </w:r>
                  <w:r>
                    <w:rPr>
                      <w:rFonts w:eastAsia="宋体"/>
                    </w:rPr>
                    <w:t>、值班室、储藏间、设备间、配电间、备餐间、卫生间等</w:t>
                  </w:r>
                </w:p>
              </w:tc>
              <w:tc>
                <w:tcPr>
                  <w:tcW w:w="3339" w:type="dxa"/>
                  <w:tcBorders>
                    <w:tl2br w:val="nil"/>
                    <w:tr2bl w:val="nil"/>
                  </w:tcBorders>
                  <w:noWrap w:val="0"/>
                  <w:vAlign w:val="center"/>
                </w:tcPr>
                <w:p>
                  <w:pPr>
                    <w:pStyle w:val="68"/>
                    <w:adjustRightInd w:val="0"/>
                    <w:snapToGrid w:val="0"/>
                    <w:rPr>
                      <w:rFonts w:hint="eastAsia" w:ascii="Times New Roman" w:hAnsi="Times New Roman" w:eastAsia="宋体" w:cs="Times New Roman"/>
                      <w:kern w:val="2"/>
                      <w:sz w:val="21"/>
                      <w:szCs w:val="21"/>
                      <w:lang w:val="en-US" w:eastAsia="zh-CN" w:bidi="th-TH"/>
                    </w:rPr>
                  </w:pPr>
                  <w:r>
                    <w:rPr>
                      <w:rFonts w:eastAsia="宋体"/>
                    </w:rPr>
                    <w:t>一层</w:t>
                  </w:r>
                  <w:r>
                    <w:rPr>
                      <w:rFonts w:hint="eastAsia" w:eastAsia="宋体"/>
                    </w:rPr>
                    <w:t>框架</w:t>
                  </w:r>
                  <w:r>
                    <w:rPr>
                      <w:rFonts w:eastAsia="宋体"/>
                    </w:rPr>
                    <w:t>结构，总建筑面积161.28m</w:t>
                  </w:r>
                  <w:r>
                    <w:rPr>
                      <w:rFonts w:eastAsia="宋体"/>
                      <w:vertAlign w:val="superscript"/>
                    </w:rPr>
                    <w:t>2</w:t>
                  </w:r>
                  <w:r>
                    <w:rPr>
                      <w:rFonts w:eastAsia="宋体"/>
                    </w:rPr>
                    <w:t>，包括便利店</w:t>
                  </w:r>
                  <w:r>
                    <w:rPr>
                      <w:rFonts w:hint="eastAsia" w:eastAsia="宋体"/>
                    </w:rPr>
                    <w:t>、站长室</w:t>
                  </w:r>
                  <w:r>
                    <w:rPr>
                      <w:rFonts w:eastAsia="宋体"/>
                    </w:rPr>
                    <w:t>、值班室、储藏间、设备间、配电间、备餐间、卫生间等</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975" w:type="dxa"/>
                  <w:gridSpan w:val="2"/>
                  <w:vMerge w:val="restart"/>
                  <w:tcBorders>
                    <w:tl2br w:val="nil"/>
                    <w:tr2bl w:val="nil"/>
                  </w:tcBorders>
                  <w:noWrap w:val="0"/>
                  <w:vAlign w:val="center"/>
                </w:tcPr>
                <w:p>
                  <w:pPr>
                    <w:pStyle w:val="68"/>
                    <w:adjustRightInd w:val="0"/>
                    <w:snapToGrid w:val="0"/>
                    <w:rPr>
                      <w:rFonts w:eastAsia="宋体"/>
                    </w:rPr>
                  </w:pPr>
                  <w:r>
                    <w:rPr>
                      <w:rFonts w:eastAsia="宋体"/>
                    </w:rPr>
                    <w:t>公用工程</w:t>
                  </w:r>
                </w:p>
              </w:tc>
              <w:tc>
                <w:tcPr>
                  <w:tcW w:w="1259" w:type="dxa"/>
                  <w:tcBorders>
                    <w:tl2br w:val="nil"/>
                    <w:tr2bl w:val="nil"/>
                  </w:tcBorders>
                  <w:noWrap w:val="0"/>
                  <w:vAlign w:val="center"/>
                </w:tcPr>
                <w:p>
                  <w:pPr>
                    <w:pStyle w:val="68"/>
                    <w:adjustRightInd w:val="0"/>
                    <w:snapToGrid w:val="0"/>
                    <w:rPr>
                      <w:rFonts w:eastAsia="宋体"/>
                    </w:rPr>
                  </w:pPr>
                  <w:r>
                    <w:rPr>
                      <w:rFonts w:eastAsia="宋体"/>
                    </w:rPr>
                    <w:t>给水</w:t>
                  </w:r>
                </w:p>
              </w:tc>
              <w:tc>
                <w:tcPr>
                  <w:tcW w:w="3498" w:type="dxa"/>
                  <w:tcBorders>
                    <w:tl2br w:val="nil"/>
                    <w:tr2bl w:val="nil"/>
                  </w:tcBorders>
                  <w:noWrap w:val="0"/>
                  <w:vAlign w:val="center"/>
                </w:tcPr>
                <w:p>
                  <w:pPr>
                    <w:pStyle w:val="68"/>
                    <w:adjustRightInd w:val="0"/>
                    <w:snapToGrid w:val="0"/>
                    <w:rPr>
                      <w:rFonts w:eastAsia="宋体"/>
                    </w:rPr>
                  </w:pPr>
                  <w:r>
                    <w:rPr>
                      <w:rFonts w:eastAsia="宋体"/>
                    </w:rPr>
                    <w:t>市政管网供水</w:t>
                  </w:r>
                </w:p>
              </w:tc>
              <w:tc>
                <w:tcPr>
                  <w:tcW w:w="3339" w:type="dxa"/>
                  <w:tcBorders>
                    <w:tl2br w:val="nil"/>
                    <w:tr2bl w:val="nil"/>
                  </w:tcBorders>
                  <w:noWrap w:val="0"/>
                  <w:vAlign w:val="center"/>
                </w:tcPr>
                <w:p>
                  <w:pPr>
                    <w:pStyle w:val="68"/>
                    <w:adjustRightInd w:val="0"/>
                    <w:snapToGrid w:val="0"/>
                    <w:rPr>
                      <w:rFonts w:ascii="Times New Roman" w:hAnsi="Times New Roman" w:eastAsia="宋体" w:cs="Times New Roman"/>
                      <w:kern w:val="2"/>
                      <w:sz w:val="21"/>
                      <w:szCs w:val="21"/>
                      <w:lang w:val="en-US" w:eastAsia="zh-CN" w:bidi="th-TH"/>
                    </w:rPr>
                  </w:pPr>
                  <w:r>
                    <w:rPr>
                      <w:rFonts w:eastAsia="宋体"/>
                    </w:rPr>
                    <w:t>市政管网供水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975" w:type="dxa"/>
                  <w:gridSpan w:val="2"/>
                  <w:vMerge w:val="continue"/>
                  <w:tcBorders>
                    <w:tl2br w:val="nil"/>
                    <w:tr2bl w:val="nil"/>
                  </w:tcBorders>
                  <w:noWrap w:val="0"/>
                  <w:vAlign w:val="center"/>
                </w:tcPr>
                <w:p>
                  <w:pPr>
                    <w:pStyle w:val="68"/>
                    <w:adjustRightInd w:val="0"/>
                    <w:snapToGrid w:val="0"/>
                    <w:rPr>
                      <w:rFonts w:eastAsia="宋体"/>
                    </w:rPr>
                  </w:pPr>
                </w:p>
              </w:tc>
              <w:tc>
                <w:tcPr>
                  <w:tcW w:w="1259" w:type="dxa"/>
                  <w:tcBorders>
                    <w:tl2br w:val="nil"/>
                    <w:tr2bl w:val="nil"/>
                  </w:tcBorders>
                  <w:noWrap w:val="0"/>
                  <w:vAlign w:val="center"/>
                </w:tcPr>
                <w:p>
                  <w:pPr>
                    <w:pStyle w:val="68"/>
                    <w:adjustRightInd w:val="0"/>
                    <w:snapToGrid w:val="0"/>
                    <w:rPr>
                      <w:rFonts w:eastAsia="宋体"/>
                    </w:rPr>
                  </w:pPr>
                  <w:r>
                    <w:rPr>
                      <w:rFonts w:eastAsia="宋体"/>
                    </w:rPr>
                    <w:t>排水</w:t>
                  </w:r>
                </w:p>
              </w:tc>
              <w:tc>
                <w:tcPr>
                  <w:tcW w:w="3498" w:type="dxa"/>
                  <w:tcBorders>
                    <w:tl2br w:val="nil"/>
                    <w:tr2bl w:val="nil"/>
                  </w:tcBorders>
                  <w:noWrap w:val="0"/>
                  <w:vAlign w:val="center"/>
                </w:tcPr>
                <w:p>
                  <w:pPr>
                    <w:pStyle w:val="68"/>
                    <w:adjustRightInd w:val="0"/>
                    <w:snapToGrid w:val="0"/>
                    <w:rPr>
                      <w:rFonts w:hint="eastAsia" w:eastAsia="宋体"/>
                    </w:rPr>
                  </w:pPr>
                  <w:r>
                    <w:rPr>
                      <w:rFonts w:eastAsia="宋体"/>
                    </w:rPr>
                    <w:t>雨污分流系统。</w:t>
                  </w:r>
                  <w:r>
                    <w:rPr>
                      <w:rFonts w:hint="eastAsia" w:eastAsia="宋体"/>
                    </w:rPr>
                    <w:t>雨水</w:t>
                  </w:r>
                  <w:r>
                    <w:rPr>
                      <w:rFonts w:eastAsia="宋体"/>
                    </w:rPr>
                    <w:t>排入市政雨水管网</w:t>
                  </w:r>
                  <w:r>
                    <w:rPr>
                      <w:rFonts w:hint="eastAsia" w:eastAsia="宋体"/>
                    </w:rPr>
                    <w:t>；</w:t>
                  </w:r>
                  <w:r>
                    <w:rPr>
                      <w:rFonts w:eastAsia="宋体"/>
                    </w:rPr>
                    <w:t>清洗废水经隔油沉淀池处理后与</w:t>
                  </w:r>
                  <w:r>
                    <w:rPr>
                      <w:rFonts w:hint="eastAsia" w:eastAsia="宋体"/>
                    </w:rPr>
                    <w:t>生活污水</w:t>
                  </w:r>
                  <w:r>
                    <w:rPr>
                      <w:rFonts w:eastAsia="宋体"/>
                    </w:rPr>
                    <w:t>经</w:t>
                  </w:r>
                  <w:r>
                    <w:rPr>
                      <w:rFonts w:hint="eastAsia" w:eastAsia="宋体"/>
                    </w:rPr>
                    <w:t>化粪池</w:t>
                  </w:r>
                  <w:r>
                    <w:rPr>
                      <w:rFonts w:eastAsia="宋体"/>
                    </w:rPr>
                    <w:t>处理后</w:t>
                  </w:r>
                  <w:r>
                    <w:rPr>
                      <w:rFonts w:hint="eastAsia" w:eastAsia="宋体"/>
                    </w:rPr>
                    <w:t>排入市政</w:t>
                  </w:r>
                  <w:r>
                    <w:rPr>
                      <w:rFonts w:eastAsia="宋体"/>
                    </w:rPr>
                    <w:t>污水管网。</w:t>
                  </w:r>
                </w:p>
              </w:tc>
              <w:tc>
                <w:tcPr>
                  <w:tcW w:w="3339" w:type="dxa"/>
                  <w:tcBorders>
                    <w:tl2br w:val="nil"/>
                    <w:tr2bl w:val="nil"/>
                  </w:tcBorders>
                  <w:noWrap w:val="0"/>
                  <w:vAlign w:val="center"/>
                </w:tcPr>
                <w:p>
                  <w:pPr>
                    <w:pStyle w:val="68"/>
                    <w:adjustRightInd w:val="0"/>
                    <w:snapToGrid w:val="0"/>
                    <w:rPr>
                      <w:rFonts w:hint="eastAsia" w:ascii="Times New Roman" w:hAnsi="Times New Roman" w:eastAsia="宋体" w:cs="Times New Roman"/>
                      <w:kern w:val="2"/>
                      <w:sz w:val="21"/>
                      <w:szCs w:val="21"/>
                      <w:lang w:val="en-US" w:eastAsia="zh-CN" w:bidi="th-TH"/>
                    </w:rPr>
                  </w:pPr>
                  <w:r>
                    <w:rPr>
                      <w:rFonts w:hint="eastAsia" w:eastAsia="宋体"/>
                    </w:rPr>
                    <w:t>采用</w:t>
                  </w:r>
                  <w:r>
                    <w:rPr>
                      <w:rFonts w:eastAsia="宋体"/>
                    </w:rPr>
                    <w:t>雨污分流系统。</w:t>
                  </w:r>
                  <w:r>
                    <w:rPr>
                      <w:rFonts w:hint="eastAsia" w:eastAsia="宋体"/>
                    </w:rPr>
                    <w:t>雨水</w:t>
                  </w:r>
                  <w:r>
                    <w:rPr>
                      <w:rFonts w:eastAsia="宋体"/>
                    </w:rPr>
                    <w:t>排入市政雨水管网</w:t>
                  </w:r>
                  <w:r>
                    <w:rPr>
                      <w:rFonts w:hint="eastAsia" w:eastAsia="宋体"/>
                    </w:rPr>
                    <w:t>；</w:t>
                  </w:r>
                  <w:r>
                    <w:rPr>
                      <w:rFonts w:hint="eastAsia" w:eastAsia="宋体"/>
                      <w:lang w:eastAsia="zh-CN"/>
                    </w:rPr>
                    <w:t>场地</w:t>
                  </w:r>
                  <w:r>
                    <w:rPr>
                      <w:rFonts w:hint="eastAsia" w:eastAsia="宋体"/>
                      <w:highlight w:val="none"/>
                      <w:lang w:eastAsia="zh-CN"/>
                    </w:rPr>
                    <w:t>冲</w:t>
                  </w:r>
                  <w:r>
                    <w:rPr>
                      <w:rFonts w:eastAsia="宋体"/>
                      <w:highlight w:val="none"/>
                    </w:rPr>
                    <w:t>洗废水经隔油沉淀池处理后与</w:t>
                  </w:r>
                  <w:r>
                    <w:rPr>
                      <w:rFonts w:hint="eastAsia" w:eastAsia="宋体"/>
                      <w:highlight w:val="none"/>
                    </w:rPr>
                    <w:t>生活污水</w:t>
                  </w:r>
                  <w:r>
                    <w:rPr>
                      <w:rFonts w:eastAsia="宋体"/>
                      <w:highlight w:val="none"/>
                    </w:rPr>
                    <w:t>经</w:t>
                  </w:r>
                  <w:r>
                    <w:rPr>
                      <w:rFonts w:hint="eastAsia" w:eastAsia="宋体"/>
                      <w:highlight w:val="none"/>
                    </w:rPr>
                    <w:t>化粪池</w:t>
                  </w:r>
                  <w:r>
                    <w:rPr>
                      <w:rFonts w:eastAsia="宋体"/>
                      <w:highlight w:val="none"/>
                    </w:rPr>
                    <w:t>处理后</w:t>
                  </w:r>
                  <w:r>
                    <w:rPr>
                      <w:rFonts w:hint="eastAsia" w:eastAsia="宋体"/>
                      <w:highlight w:val="none"/>
                      <w:lang w:eastAsia="zh-CN"/>
                    </w:rPr>
                    <w:t>进</w:t>
                  </w:r>
                  <w:r>
                    <w:rPr>
                      <w:rFonts w:hint="eastAsia" w:eastAsia="宋体"/>
                      <w:highlight w:val="none"/>
                    </w:rPr>
                    <w:t>入市政</w:t>
                  </w:r>
                  <w:r>
                    <w:rPr>
                      <w:rFonts w:eastAsia="宋体"/>
                      <w:highlight w:val="none"/>
                    </w:rPr>
                    <w:t>污水管网</w:t>
                  </w:r>
                  <w:r>
                    <w:rPr>
                      <w:rFonts w:hint="eastAsia" w:eastAsia="宋体"/>
                      <w:highlight w:val="none"/>
                    </w:rPr>
                    <w:t>排</w:t>
                  </w:r>
                  <w:r>
                    <w:rPr>
                      <w:rFonts w:hint="eastAsia" w:eastAsia="宋体"/>
                      <w:highlight w:val="none"/>
                      <w:lang w:eastAsia="zh-CN"/>
                    </w:rPr>
                    <w:t>至</w:t>
                  </w:r>
                  <w:r>
                    <w:rPr>
                      <w:rFonts w:hint="eastAsia" w:eastAsia="宋体"/>
                      <w:highlight w:val="none"/>
                    </w:rPr>
                    <w:t>资溪县城市污水处理厂统一处理，最终排入泸溪河</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975" w:type="dxa"/>
                  <w:gridSpan w:val="2"/>
                  <w:vMerge w:val="continue"/>
                  <w:tcBorders>
                    <w:tl2br w:val="nil"/>
                    <w:tr2bl w:val="nil"/>
                  </w:tcBorders>
                  <w:noWrap w:val="0"/>
                  <w:vAlign w:val="center"/>
                </w:tcPr>
                <w:p>
                  <w:pPr>
                    <w:pStyle w:val="68"/>
                    <w:adjustRightInd w:val="0"/>
                    <w:snapToGrid w:val="0"/>
                    <w:rPr>
                      <w:rFonts w:eastAsia="宋体"/>
                    </w:rPr>
                  </w:pPr>
                </w:p>
              </w:tc>
              <w:tc>
                <w:tcPr>
                  <w:tcW w:w="1259" w:type="dxa"/>
                  <w:tcBorders>
                    <w:tl2br w:val="nil"/>
                    <w:tr2bl w:val="nil"/>
                  </w:tcBorders>
                  <w:noWrap w:val="0"/>
                  <w:vAlign w:val="center"/>
                </w:tcPr>
                <w:p>
                  <w:pPr>
                    <w:pStyle w:val="68"/>
                    <w:adjustRightInd w:val="0"/>
                    <w:snapToGrid w:val="0"/>
                    <w:rPr>
                      <w:rFonts w:eastAsia="宋体"/>
                    </w:rPr>
                  </w:pPr>
                  <w:r>
                    <w:rPr>
                      <w:rFonts w:eastAsia="宋体"/>
                    </w:rPr>
                    <w:t>供电</w:t>
                  </w:r>
                </w:p>
              </w:tc>
              <w:tc>
                <w:tcPr>
                  <w:tcW w:w="3498" w:type="dxa"/>
                  <w:tcBorders>
                    <w:tl2br w:val="nil"/>
                    <w:tr2bl w:val="nil"/>
                  </w:tcBorders>
                  <w:noWrap w:val="0"/>
                  <w:vAlign w:val="center"/>
                </w:tcPr>
                <w:p>
                  <w:pPr>
                    <w:pStyle w:val="68"/>
                    <w:adjustRightInd w:val="0"/>
                    <w:snapToGrid w:val="0"/>
                    <w:rPr>
                      <w:rFonts w:eastAsia="宋体"/>
                    </w:rPr>
                  </w:pPr>
                  <w:r>
                    <w:rPr>
                      <w:rFonts w:eastAsia="宋体"/>
                    </w:rPr>
                    <w:t>市政电网供电</w:t>
                  </w:r>
                </w:p>
              </w:tc>
              <w:tc>
                <w:tcPr>
                  <w:tcW w:w="3339" w:type="dxa"/>
                  <w:tcBorders>
                    <w:tl2br w:val="nil"/>
                    <w:tr2bl w:val="nil"/>
                  </w:tcBorders>
                  <w:noWrap w:val="0"/>
                  <w:vAlign w:val="center"/>
                </w:tcPr>
                <w:p>
                  <w:pPr>
                    <w:pStyle w:val="68"/>
                    <w:adjustRightInd w:val="0"/>
                    <w:snapToGrid w:val="0"/>
                    <w:rPr>
                      <w:rFonts w:ascii="Times New Roman" w:hAnsi="Times New Roman" w:eastAsia="宋体" w:cs="Times New Roman"/>
                      <w:kern w:val="2"/>
                      <w:sz w:val="21"/>
                      <w:szCs w:val="21"/>
                      <w:lang w:val="en-US" w:eastAsia="zh-CN" w:bidi="th-TH"/>
                    </w:rPr>
                  </w:pPr>
                  <w:r>
                    <w:rPr>
                      <w:rFonts w:eastAsia="宋体"/>
                    </w:rPr>
                    <w:t>市政电网供电</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398" w:type="dxa"/>
                  <w:vMerge w:val="restart"/>
                  <w:tcBorders>
                    <w:tl2br w:val="nil"/>
                    <w:tr2bl w:val="nil"/>
                  </w:tcBorders>
                  <w:noWrap w:val="0"/>
                  <w:vAlign w:val="center"/>
                </w:tcPr>
                <w:p>
                  <w:pPr>
                    <w:pStyle w:val="68"/>
                    <w:adjustRightInd w:val="0"/>
                    <w:snapToGrid w:val="0"/>
                    <w:rPr>
                      <w:rFonts w:eastAsia="宋体"/>
                    </w:rPr>
                  </w:pPr>
                  <w:r>
                    <w:rPr>
                      <w:rFonts w:eastAsia="宋体"/>
                    </w:rPr>
                    <w:t>环保工程</w:t>
                  </w:r>
                </w:p>
              </w:tc>
              <w:tc>
                <w:tcPr>
                  <w:tcW w:w="577" w:type="dxa"/>
                  <w:vMerge w:val="restart"/>
                  <w:tcBorders>
                    <w:tl2br w:val="nil"/>
                    <w:tr2bl w:val="nil"/>
                  </w:tcBorders>
                  <w:noWrap w:val="0"/>
                  <w:vAlign w:val="center"/>
                </w:tcPr>
                <w:p>
                  <w:pPr>
                    <w:pStyle w:val="68"/>
                    <w:adjustRightInd w:val="0"/>
                    <w:snapToGrid w:val="0"/>
                    <w:rPr>
                      <w:rFonts w:eastAsia="宋体"/>
                    </w:rPr>
                  </w:pPr>
                  <w:r>
                    <w:rPr>
                      <w:rFonts w:eastAsia="宋体"/>
                    </w:rPr>
                    <w:t>废水</w:t>
                  </w:r>
                </w:p>
              </w:tc>
              <w:tc>
                <w:tcPr>
                  <w:tcW w:w="1259" w:type="dxa"/>
                  <w:tcBorders>
                    <w:tl2br w:val="nil"/>
                    <w:tr2bl w:val="nil"/>
                  </w:tcBorders>
                  <w:noWrap w:val="0"/>
                  <w:vAlign w:val="center"/>
                </w:tcPr>
                <w:p>
                  <w:pPr>
                    <w:pStyle w:val="68"/>
                    <w:adjustRightInd w:val="0"/>
                    <w:snapToGrid w:val="0"/>
                    <w:rPr>
                      <w:rFonts w:hint="eastAsia" w:eastAsia="宋体"/>
                    </w:rPr>
                  </w:pPr>
                  <w:r>
                    <w:rPr>
                      <w:rFonts w:hint="eastAsia" w:eastAsia="宋体"/>
                    </w:rPr>
                    <w:t>化粪池</w:t>
                  </w:r>
                </w:p>
              </w:tc>
              <w:tc>
                <w:tcPr>
                  <w:tcW w:w="3498" w:type="dxa"/>
                  <w:tcBorders>
                    <w:tl2br w:val="nil"/>
                    <w:tr2bl w:val="nil"/>
                  </w:tcBorders>
                  <w:noWrap w:val="0"/>
                  <w:vAlign w:val="center"/>
                </w:tcPr>
                <w:p>
                  <w:pPr>
                    <w:pStyle w:val="68"/>
                    <w:adjustRightInd w:val="0"/>
                    <w:snapToGrid w:val="0"/>
                    <w:rPr>
                      <w:rFonts w:ascii="Times New Roman" w:hAnsi="Times New Roman" w:eastAsia="宋体" w:cs="Times New Roman"/>
                      <w:kern w:val="2"/>
                      <w:sz w:val="21"/>
                      <w:szCs w:val="21"/>
                      <w:lang w:val="en-US" w:eastAsia="zh-CN" w:bidi="th-TH"/>
                    </w:rPr>
                  </w:pPr>
                  <w:r>
                    <w:rPr>
                      <w:rFonts w:hint="eastAsia" w:eastAsia="宋体"/>
                    </w:rPr>
                    <w:t>约</w:t>
                  </w:r>
                  <w:r>
                    <w:rPr>
                      <w:rFonts w:eastAsia="宋体"/>
                    </w:rPr>
                    <w:t>7.5m</w:t>
                  </w:r>
                  <w:r>
                    <w:rPr>
                      <w:rFonts w:eastAsia="宋体"/>
                      <w:vertAlign w:val="superscript"/>
                    </w:rPr>
                    <w:t>3</w:t>
                  </w:r>
                </w:p>
              </w:tc>
              <w:tc>
                <w:tcPr>
                  <w:tcW w:w="3339" w:type="dxa"/>
                  <w:tcBorders>
                    <w:tl2br w:val="nil"/>
                    <w:tr2bl w:val="nil"/>
                  </w:tcBorders>
                  <w:noWrap w:val="0"/>
                  <w:vAlign w:val="center"/>
                </w:tcPr>
                <w:p>
                  <w:pPr>
                    <w:pStyle w:val="68"/>
                    <w:adjustRightInd w:val="0"/>
                    <w:snapToGrid w:val="0"/>
                    <w:rPr>
                      <w:rFonts w:hint="eastAsia" w:ascii="Times New Roman" w:hAnsi="Times New Roman" w:eastAsia="宋体" w:cs="Times New Roman"/>
                      <w:kern w:val="2"/>
                      <w:sz w:val="21"/>
                      <w:szCs w:val="21"/>
                      <w:lang w:val="en-US" w:eastAsia="zh-CN" w:bidi="th-TH"/>
                    </w:rPr>
                  </w:pPr>
                  <w:r>
                    <w:rPr>
                      <w:rFonts w:hint="eastAsia" w:eastAsia="宋体"/>
                    </w:rPr>
                    <w:t>约</w:t>
                  </w:r>
                  <w:r>
                    <w:rPr>
                      <w:rFonts w:eastAsia="宋体"/>
                    </w:rPr>
                    <w:t>7.5m</w:t>
                  </w:r>
                  <w:r>
                    <w:rPr>
                      <w:rFonts w:eastAsia="宋体"/>
                      <w:vertAlign w:val="superscript"/>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398" w:type="dxa"/>
                  <w:vMerge w:val="continue"/>
                  <w:tcBorders>
                    <w:tl2br w:val="nil"/>
                    <w:tr2bl w:val="nil"/>
                  </w:tcBorders>
                  <w:noWrap w:val="0"/>
                  <w:vAlign w:val="center"/>
                </w:tcPr>
                <w:p>
                  <w:pPr>
                    <w:pStyle w:val="68"/>
                    <w:adjustRightInd w:val="0"/>
                    <w:snapToGrid w:val="0"/>
                    <w:rPr>
                      <w:rFonts w:eastAsia="宋体"/>
                    </w:rPr>
                  </w:pPr>
                </w:p>
              </w:tc>
              <w:tc>
                <w:tcPr>
                  <w:tcW w:w="577" w:type="dxa"/>
                  <w:vMerge w:val="continue"/>
                  <w:tcBorders>
                    <w:tl2br w:val="nil"/>
                    <w:tr2bl w:val="nil"/>
                  </w:tcBorders>
                  <w:noWrap w:val="0"/>
                  <w:vAlign w:val="center"/>
                </w:tcPr>
                <w:p>
                  <w:pPr>
                    <w:pStyle w:val="68"/>
                    <w:adjustRightInd w:val="0"/>
                    <w:snapToGrid w:val="0"/>
                    <w:rPr>
                      <w:rFonts w:eastAsia="宋体"/>
                    </w:rPr>
                  </w:pPr>
                </w:p>
              </w:tc>
              <w:tc>
                <w:tcPr>
                  <w:tcW w:w="1259" w:type="dxa"/>
                  <w:tcBorders>
                    <w:tl2br w:val="nil"/>
                    <w:tr2bl w:val="nil"/>
                  </w:tcBorders>
                  <w:noWrap w:val="0"/>
                  <w:vAlign w:val="center"/>
                </w:tcPr>
                <w:p>
                  <w:pPr>
                    <w:pStyle w:val="68"/>
                    <w:adjustRightInd w:val="0"/>
                    <w:snapToGrid w:val="0"/>
                    <w:rPr>
                      <w:rFonts w:eastAsia="宋体"/>
                    </w:rPr>
                  </w:pPr>
                  <w:r>
                    <w:rPr>
                      <w:rFonts w:eastAsia="宋体"/>
                    </w:rPr>
                    <w:t>隔油沉淀池</w:t>
                  </w:r>
                </w:p>
              </w:tc>
              <w:tc>
                <w:tcPr>
                  <w:tcW w:w="3498" w:type="dxa"/>
                  <w:tcBorders>
                    <w:tl2br w:val="nil"/>
                    <w:tr2bl w:val="nil"/>
                  </w:tcBorders>
                  <w:noWrap w:val="0"/>
                  <w:vAlign w:val="center"/>
                </w:tcPr>
                <w:p>
                  <w:pPr>
                    <w:pStyle w:val="68"/>
                    <w:adjustRightInd w:val="0"/>
                    <w:snapToGrid w:val="0"/>
                    <w:rPr>
                      <w:rFonts w:ascii="Times New Roman" w:hAnsi="Times New Roman" w:eastAsia="宋体" w:cs="Times New Roman"/>
                      <w:kern w:val="2"/>
                      <w:sz w:val="21"/>
                      <w:szCs w:val="21"/>
                      <w:lang w:val="en-US" w:eastAsia="zh-CN" w:bidi="th-TH"/>
                    </w:rPr>
                  </w:pPr>
                  <w:r>
                    <w:rPr>
                      <w:rFonts w:hint="eastAsia" w:eastAsia="宋体"/>
                    </w:rPr>
                    <w:t>约</w:t>
                  </w:r>
                  <w:r>
                    <w:rPr>
                      <w:rFonts w:eastAsia="宋体"/>
                    </w:rPr>
                    <w:t>12m</w:t>
                  </w:r>
                  <w:r>
                    <w:rPr>
                      <w:rFonts w:eastAsia="宋体"/>
                      <w:vertAlign w:val="superscript"/>
                    </w:rPr>
                    <w:t>3</w:t>
                  </w:r>
                </w:p>
              </w:tc>
              <w:tc>
                <w:tcPr>
                  <w:tcW w:w="3339" w:type="dxa"/>
                  <w:tcBorders>
                    <w:tl2br w:val="nil"/>
                    <w:tr2bl w:val="nil"/>
                  </w:tcBorders>
                  <w:noWrap w:val="0"/>
                  <w:vAlign w:val="center"/>
                </w:tcPr>
                <w:p>
                  <w:pPr>
                    <w:pStyle w:val="68"/>
                    <w:adjustRightInd w:val="0"/>
                    <w:snapToGrid w:val="0"/>
                    <w:rPr>
                      <w:rFonts w:hint="eastAsia" w:ascii="Times New Roman" w:hAnsi="Times New Roman" w:eastAsia="宋体" w:cs="Times New Roman"/>
                      <w:kern w:val="2"/>
                      <w:sz w:val="21"/>
                      <w:szCs w:val="21"/>
                      <w:lang w:val="en-US" w:eastAsia="zh-CN" w:bidi="th-TH"/>
                    </w:rPr>
                  </w:pPr>
                  <w:r>
                    <w:rPr>
                      <w:rFonts w:hint="eastAsia" w:eastAsia="宋体"/>
                    </w:rPr>
                    <w:t>约</w:t>
                  </w:r>
                  <w:r>
                    <w:rPr>
                      <w:rFonts w:eastAsia="宋体"/>
                    </w:rPr>
                    <w:t>12m</w:t>
                  </w:r>
                  <w:r>
                    <w:rPr>
                      <w:rFonts w:eastAsia="宋体"/>
                      <w:vertAlign w:val="superscript"/>
                    </w:rPr>
                    <w:t>3</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398" w:type="dxa"/>
                  <w:vMerge w:val="continue"/>
                  <w:tcBorders>
                    <w:tl2br w:val="nil"/>
                    <w:tr2bl w:val="nil"/>
                  </w:tcBorders>
                  <w:noWrap w:val="0"/>
                  <w:vAlign w:val="center"/>
                </w:tcPr>
                <w:p>
                  <w:pPr>
                    <w:pStyle w:val="68"/>
                    <w:adjustRightInd w:val="0"/>
                    <w:snapToGrid w:val="0"/>
                    <w:rPr>
                      <w:rFonts w:eastAsia="宋体"/>
                    </w:rPr>
                  </w:pPr>
                </w:p>
              </w:tc>
              <w:tc>
                <w:tcPr>
                  <w:tcW w:w="577" w:type="dxa"/>
                  <w:vMerge w:val="restart"/>
                  <w:tcBorders>
                    <w:tl2br w:val="nil"/>
                    <w:tr2bl w:val="nil"/>
                  </w:tcBorders>
                  <w:noWrap w:val="0"/>
                  <w:vAlign w:val="center"/>
                </w:tcPr>
                <w:p>
                  <w:pPr>
                    <w:pStyle w:val="68"/>
                    <w:adjustRightInd w:val="0"/>
                    <w:snapToGrid w:val="0"/>
                    <w:rPr>
                      <w:rFonts w:eastAsia="宋体"/>
                    </w:rPr>
                  </w:pPr>
                  <w:r>
                    <w:rPr>
                      <w:rFonts w:eastAsia="宋体"/>
                    </w:rPr>
                    <w:t>废气</w:t>
                  </w:r>
                </w:p>
              </w:tc>
              <w:tc>
                <w:tcPr>
                  <w:tcW w:w="1259" w:type="dxa"/>
                  <w:tcBorders>
                    <w:tl2br w:val="nil"/>
                    <w:tr2bl w:val="nil"/>
                  </w:tcBorders>
                  <w:noWrap w:val="0"/>
                  <w:vAlign w:val="center"/>
                </w:tcPr>
                <w:p>
                  <w:pPr>
                    <w:pStyle w:val="68"/>
                    <w:adjustRightInd w:val="0"/>
                    <w:snapToGrid w:val="0"/>
                    <w:rPr>
                      <w:rFonts w:eastAsia="宋体"/>
                    </w:rPr>
                  </w:pPr>
                  <w:r>
                    <w:rPr>
                      <w:rFonts w:eastAsia="宋体"/>
                    </w:rPr>
                    <w:t>油气回收装置</w:t>
                  </w:r>
                </w:p>
              </w:tc>
              <w:tc>
                <w:tcPr>
                  <w:tcW w:w="3498" w:type="dxa"/>
                  <w:tcBorders>
                    <w:tl2br w:val="nil"/>
                    <w:tr2bl w:val="nil"/>
                  </w:tcBorders>
                  <w:noWrap w:val="0"/>
                  <w:vAlign w:val="center"/>
                </w:tcPr>
                <w:p>
                  <w:pPr>
                    <w:pStyle w:val="68"/>
                    <w:adjustRightInd w:val="0"/>
                    <w:snapToGrid w:val="0"/>
                    <w:rPr>
                      <w:rFonts w:ascii="Times New Roman" w:hAnsi="Times New Roman" w:eastAsia="宋体" w:cs="Times New Roman"/>
                      <w:kern w:val="2"/>
                      <w:sz w:val="21"/>
                      <w:szCs w:val="21"/>
                      <w:lang w:val="en-US" w:eastAsia="zh-CN" w:bidi="th-TH"/>
                    </w:rPr>
                  </w:pPr>
                  <w:r>
                    <w:rPr>
                      <w:rFonts w:eastAsia="宋体"/>
                    </w:rPr>
                    <w:t>回收率为95%</w:t>
                  </w:r>
                </w:p>
              </w:tc>
              <w:tc>
                <w:tcPr>
                  <w:tcW w:w="3339" w:type="dxa"/>
                  <w:tcBorders>
                    <w:tl2br w:val="nil"/>
                    <w:tr2bl w:val="nil"/>
                  </w:tcBorders>
                  <w:noWrap w:val="0"/>
                  <w:vAlign w:val="center"/>
                </w:tcPr>
                <w:p>
                  <w:pPr>
                    <w:pStyle w:val="68"/>
                    <w:adjustRightInd w:val="0"/>
                    <w:snapToGrid w:val="0"/>
                    <w:rPr>
                      <w:rFonts w:ascii="Times New Roman" w:hAnsi="Times New Roman" w:eastAsia="宋体" w:cs="Times New Roman"/>
                      <w:kern w:val="2"/>
                      <w:sz w:val="21"/>
                      <w:szCs w:val="21"/>
                      <w:lang w:val="en-US" w:eastAsia="zh-CN" w:bidi="th-TH"/>
                    </w:rPr>
                  </w:pPr>
                  <w:r>
                    <w:rPr>
                      <w:rFonts w:eastAsia="宋体"/>
                    </w:rPr>
                    <w:t>回收率为95%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398" w:type="dxa"/>
                  <w:vMerge w:val="continue"/>
                  <w:tcBorders>
                    <w:tl2br w:val="nil"/>
                    <w:tr2bl w:val="nil"/>
                  </w:tcBorders>
                  <w:noWrap w:val="0"/>
                  <w:vAlign w:val="center"/>
                </w:tcPr>
                <w:p>
                  <w:pPr>
                    <w:pStyle w:val="68"/>
                    <w:adjustRightInd w:val="0"/>
                    <w:snapToGrid w:val="0"/>
                    <w:rPr>
                      <w:rFonts w:eastAsia="宋体"/>
                    </w:rPr>
                  </w:pPr>
                </w:p>
              </w:tc>
              <w:tc>
                <w:tcPr>
                  <w:tcW w:w="577" w:type="dxa"/>
                  <w:vMerge w:val="continue"/>
                  <w:tcBorders>
                    <w:tl2br w:val="nil"/>
                    <w:tr2bl w:val="nil"/>
                  </w:tcBorders>
                  <w:noWrap w:val="0"/>
                  <w:vAlign w:val="center"/>
                </w:tcPr>
                <w:p>
                  <w:pPr>
                    <w:pStyle w:val="68"/>
                    <w:adjustRightInd w:val="0"/>
                    <w:snapToGrid w:val="0"/>
                    <w:rPr>
                      <w:rFonts w:eastAsia="宋体"/>
                    </w:rPr>
                  </w:pPr>
                </w:p>
              </w:tc>
              <w:tc>
                <w:tcPr>
                  <w:tcW w:w="1259" w:type="dxa"/>
                  <w:tcBorders>
                    <w:tl2br w:val="nil"/>
                    <w:tr2bl w:val="nil"/>
                  </w:tcBorders>
                  <w:noWrap w:val="0"/>
                  <w:vAlign w:val="center"/>
                </w:tcPr>
                <w:p>
                  <w:pPr>
                    <w:pStyle w:val="68"/>
                    <w:adjustRightInd w:val="0"/>
                    <w:snapToGrid w:val="0"/>
                    <w:rPr>
                      <w:rFonts w:eastAsia="宋体"/>
                    </w:rPr>
                  </w:pPr>
                  <w:r>
                    <w:rPr>
                      <w:rFonts w:eastAsia="宋体"/>
                    </w:rPr>
                    <w:t>汽车尾气</w:t>
                  </w:r>
                </w:p>
              </w:tc>
              <w:tc>
                <w:tcPr>
                  <w:tcW w:w="3498" w:type="dxa"/>
                  <w:tcBorders>
                    <w:tl2br w:val="nil"/>
                    <w:tr2bl w:val="nil"/>
                  </w:tcBorders>
                  <w:noWrap w:val="0"/>
                  <w:vAlign w:val="center"/>
                </w:tcPr>
                <w:p>
                  <w:pPr>
                    <w:pStyle w:val="67"/>
                    <w:adjustRightInd w:val="0"/>
                    <w:snapToGrid w:val="0"/>
                    <w:ind w:left="0" w:leftChars="0" w:firstLine="0" w:firstLineChars="0"/>
                    <w:rPr>
                      <w:rFonts w:ascii="Times New Roman" w:hAnsi="Times New Roman" w:eastAsia="宋体" w:cs="Times New Roman"/>
                      <w:kern w:val="2"/>
                      <w:sz w:val="21"/>
                      <w:szCs w:val="21"/>
                      <w:lang w:val="en-US" w:eastAsia="zh-CN" w:bidi="ar-SA"/>
                    </w:rPr>
                  </w:pPr>
                  <w:r>
                    <w:rPr>
                      <w:rFonts w:eastAsia="宋体"/>
                    </w:rPr>
                    <w:t>交通管理、绿化</w:t>
                  </w:r>
                </w:p>
              </w:tc>
              <w:tc>
                <w:tcPr>
                  <w:tcW w:w="3339" w:type="dxa"/>
                  <w:tcBorders>
                    <w:tl2br w:val="nil"/>
                    <w:tr2bl w:val="nil"/>
                  </w:tcBorders>
                  <w:noWrap w:val="0"/>
                  <w:vAlign w:val="center"/>
                </w:tcPr>
                <w:p>
                  <w:pPr>
                    <w:pStyle w:val="67"/>
                    <w:adjustRightInd w:val="0"/>
                    <w:snapToGrid w:val="0"/>
                    <w:ind w:left="0" w:leftChars="0" w:firstLine="0" w:firstLineChars="0"/>
                    <w:rPr>
                      <w:rFonts w:ascii="Times New Roman" w:hAnsi="Times New Roman" w:eastAsia="宋体" w:cs="Times New Roman"/>
                      <w:kern w:val="2"/>
                      <w:sz w:val="21"/>
                      <w:szCs w:val="21"/>
                      <w:lang w:val="en-US" w:eastAsia="zh-CN" w:bidi="ar-SA"/>
                    </w:rPr>
                  </w:pPr>
                  <w:r>
                    <w:rPr>
                      <w:rFonts w:eastAsia="宋体"/>
                    </w:rPr>
                    <w:t>交通管理、绿化</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599" w:hRule="atLeast"/>
                <w:jc w:val="center"/>
              </w:trPr>
              <w:tc>
                <w:tcPr>
                  <w:tcW w:w="398" w:type="dxa"/>
                  <w:vMerge w:val="continue"/>
                  <w:tcBorders>
                    <w:tl2br w:val="nil"/>
                    <w:tr2bl w:val="nil"/>
                  </w:tcBorders>
                  <w:noWrap w:val="0"/>
                  <w:vAlign w:val="center"/>
                </w:tcPr>
                <w:p>
                  <w:pPr>
                    <w:pStyle w:val="68"/>
                    <w:adjustRightInd w:val="0"/>
                    <w:snapToGrid w:val="0"/>
                    <w:rPr>
                      <w:rFonts w:eastAsia="宋体"/>
                    </w:rPr>
                  </w:pPr>
                </w:p>
              </w:tc>
              <w:tc>
                <w:tcPr>
                  <w:tcW w:w="577" w:type="dxa"/>
                  <w:vMerge w:val="restart"/>
                  <w:tcBorders>
                    <w:tl2br w:val="nil"/>
                    <w:tr2bl w:val="nil"/>
                  </w:tcBorders>
                  <w:noWrap w:val="0"/>
                  <w:vAlign w:val="center"/>
                </w:tcPr>
                <w:p>
                  <w:pPr>
                    <w:pStyle w:val="68"/>
                    <w:adjustRightInd w:val="0"/>
                    <w:snapToGrid w:val="0"/>
                    <w:rPr>
                      <w:rFonts w:eastAsia="宋体"/>
                    </w:rPr>
                  </w:pPr>
                  <w:r>
                    <w:rPr>
                      <w:rFonts w:eastAsia="宋体"/>
                    </w:rPr>
                    <w:t>固体废物</w:t>
                  </w:r>
                </w:p>
              </w:tc>
              <w:tc>
                <w:tcPr>
                  <w:tcW w:w="1259" w:type="dxa"/>
                  <w:tcBorders>
                    <w:tl2br w:val="nil"/>
                    <w:tr2bl w:val="nil"/>
                  </w:tcBorders>
                  <w:noWrap w:val="0"/>
                  <w:vAlign w:val="center"/>
                </w:tcPr>
                <w:p>
                  <w:pPr>
                    <w:pStyle w:val="68"/>
                    <w:adjustRightInd w:val="0"/>
                    <w:snapToGrid w:val="0"/>
                    <w:rPr>
                      <w:rFonts w:eastAsia="宋体"/>
                    </w:rPr>
                  </w:pPr>
                  <w:r>
                    <w:rPr>
                      <w:rFonts w:eastAsia="宋体"/>
                    </w:rPr>
                    <w:t>生活垃圾</w:t>
                  </w:r>
                </w:p>
              </w:tc>
              <w:tc>
                <w:tcPr>
                  <w:tcW w:w="3498" w:type="dxa"/>
                  <w:tcBorders>
                    <w:tl2br w:val="nil"/>
                    <w:tr2bl w:val="nil"/>
                  </w:tcBorders>
                  <w:noWrap w:val="0"/>
                  <w:vAlign w:val="center"/>
                </w:tcPr>
                <w:p>
                  <w:pPr>
                    <w:pStyle w:val="68"/>
                    <w:adjustRightInd w:val="0"/>
                    <w:snapToGrid w:val="0"/>
                    <w:rPr>
                      <w:rFonts w:ascii="Times New Roman" w:hAnsi="Times New Roman" w:eastAsia="宋体" w:cs="Times New Roman"/>
                      <w:kern w:val="2"/>
                      <w:sz w:val="21"/>
                      <w:szCs w:val="21"/>
                      <w:lang w:val="en-US" w:eastAsia="zh-CN" w:bidi="th-TH"/>
                    </w:rPr>
                  </w:pPr>
                  <w:r>
                    <w:rPr>
                      <w:rFonts w:eastAsia="宋体"/>
                    </w:rPr>
                    <w:t>集中收集后，交由环卫部门集中清运处理，禁止随意倾倒</w:t>
                  </w:r>
                </w:p>
              </w:tc>
              <w:tc>
                <w:tcPr>
                  <w:tcW w:w="3339" w:type="dxa"/>
                  <w:tcBorders>
                    <w:tl2br w:val="nil"/>
                    <w:tr2bl w:val="nil"/>
                  </w:tcBorders>
                  <w:noWrap w:val="0"/>
                  <w:vAlign w:val="center"/>
                </w:tcPr>
                <w:p>
                  <w:pPr>
                    <w:pStyle w:val="68"/>
                    <w:adjustRightInd w:val="0"/>
                    <w:snapToGrid w:val="0"/>
                    <w:rPr>
                      <w:rFonts w:ascii="Times New Roman" w:hAnsi="Times New Roman" w:eastAsia="宋体" w:cs="Times New Roman"/>
                      <w:kern w:val="2"/>
                      <w:sz w:val="21"/>
                      <w:szCs w:val="21"/>
                      <w:lang w:val="en-US" w:eastAsia="zh-CN" w:bidi="th-TH"/>
                    </w:rPr>
                  </w:pPr>
                  <w:r>
                    <w:rPr>
                      <w:rFonts w:eastAsia="宋体"/>
                    </w:rPr>
                    <w:t>集中收集后，交由环卫部门集中清运处理</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398" w:type="dxa"/>
                  <w:vMerge w:val="continue"/>
                  <w:tcBorders>
                    <w:tl2br w:val="nil"/>
                    <w:tr2bl w:val="nil"/>
                  </w:tcBorders>
                  <w:noWrap w:val="0"/>
                  <w:vAlign w:val="center"/>
                </w:tcPr>
                <w:p>
                  <w:pPr>
                    <w:pStyle w:val="68"/>
                    <w:adjustRightInd w:val="0"/>
                    <w:snapToGrid w:val="0"/>
                    <w:rPr>
                      <w:rFonts w:eastAsia="宋体"/>
                    </w:rPr>
                  </w:pPr>
                </w:p>
              </w:tc>
              <w:tc>
                <w:tcPr>
                  <w:tcW w:w="577" w:type="dxa"/>
                  <w:vMerge w:val="continue"/>
                  <w:tcBorders>
                    <w:tl2br w:val="nil"/>
                    <w:tr2bl w:val="nil"/>
                  </w:tcBorders>
                  <w:noWrap w:val="0"/>
                  <w:vAlign w:val="center"/>
                </w:tcPr>
                <w:p>
                  <w:pPr>
                    <w:pStyle w:val="68"/>
                    <w:adjustRightInd w:val="0"/>
                    <w:snapToGrid w:val="0"/>
                    <w:rPr>
                      <w:rFonts w:eastAsia="宋体"/>
                    </w:rPr>
                  </w:pPr>
                </w:p>
              </w:tc>
              <w:tc>
                <w:tcPr>
                  <w:tcW w:w="1259" w:type="dxa"/>
                  <w:tcBorders>
                    <w:tl2br w:val="nil"/>
                    <w:tr2bl w:val="nil"/>
                  </w:tcBorders>
                  <w:noWrap w:val="0"/>
                  <w:vAlign w:val="center"/>
                </w:tcPr>
                <w:p>
                  <w:pPr>
                    <w:pStyle w:val="68"/>
                    <w:adjustRightInd w:val="0"/>
                    <w:snapToGrid w:val="0"/>
                    <w:rPr>
                      <w:rFonts w:eastAsia="宋体"/>
                    </w:rPr>
                  </w:pPr>
                  <w:r>
                    <w:rPr>
                      <w:rFonts w:eastAsia="宋体"/>
                    </w:rPr>
                    <w:t>危险废物</w:t>
                  </w:r>
                </w:p>
              </w:tc>
              <w:tc>
                <w:tcPr>
                  <w:tcW w:w="3498" w:type="dxa"/>
                  <w:tcBorders>
                    <w:tl2br w:val="nil"/>
                    <w:tr2bl w:val="nil"/>
                  </w:tcBorders>
                  <w:noWrap w:val="0"/>
                  <w:vAlign w:val="center"/>
                </w:tcPr>
                <w:p>
                  <w:pPr>
                    <w:pStyle w:val="68"/>
                    <w:adjustRightInd w:val="0"/>
                    <w:snapToGrid w:val="0"/>
                    <w:rPr>
                      <w:rFonts w:ascii="Times New Roman" w:hAnsi="Times New Roman" w:eastAsia="宋体" w:cs="Times New Roman"/>
                      <w:kern w:val="2"/>
                      <w:sz w:val="21"/>
                      <w:szCs w:val="21"/>
                      <w:lang w:val="en-US" w:eastAsia="zh-CN" w:bidi="th-TH"/>
                    </w:rPr>
                  </w:pPr>
                  <w:r>
                    <w:rPr>
                      <w:rFonts w:hint="eastAsia" w:ascii="Times New Roman" w:hAnsi="Times New Roman" w:eastAsia="宋体" w:cs="Times New Roman"/>
                      <w:kern w:val="2"/>
                      <w:sz w:val="21"/>
                      <w:szCs w:val="21"/>
                      <w:lang w:val="en-US" w:eastAsia="zh-CN" w:bidi="th-TH"/>
                    </w:rPr>
                    <w:t>本项目产生的生活垃圾，收集后交由环卫部门处理；储罐渣、隔油池污泥属于危险固废，收集后委托有资质单位处理</w:t>
                  </w:r>
                </w:p>
              </w:tc>
              <w:tc>
                <w:tcPr>
                  <w:tcW w:w="3339" w:type="dxa"/>
                  <w:tcBorders>
                    <w:tl2br w:val="nil"/>
                    <w:tr2bl w:val="nil"/>
                  </w:tcBorders>
                  <w:noWrap w:val="0"/>
                  <w:vAlign w:val="center"/>
                </w:tcPr>
                <w:p>
                  <w:pPr>
                    <w:pStyle w:val="68"/>
                    <w:adjustRightInd w:val="0"/>
                    <w:snapToGrid w:val="0"/>
                    <w:rPr>
                      <w:rFonts w:hint="eastAsia" w:ascii="Times New Roman" w:hAnsi="Times New Roman" w:eastAsia="宋体" w:cs="Times New Roman"/>
                      <w:kern w:val="2"/>
                      <w:sz w:val="21"/>
                      <w:szCs w:val="21"/>
                      <w:lang w:val="en-US" w:eastAsia="zh-CN" w:bidi="th-TH"/>
                    </w:rPr>
                  </w:pPr>
                  <w:r>
                    <w:rPr>
                      <w:rFonts w:hint="eastAsia" w:eastAsia="宋体"/>
                      <w:highlight w:val="none"/>
                    </w:rPr>
                    <w:t>生活垃圾</w:t>
                  </w:r>
                  <w:r>
                    <w:rPr>
                      <w:rFonts w:hint="eastAsia" w:ascii="Times New Roman" w:hAnsi="Times New Roman" w:eastAsia="宋体" w:cs="Times New Roman"/>
                      <w:kern w:val="2"/>
                      <w:sz w:val="21"/>
                      <w:szCs w:val="21"/>
                      <w:lang w:val="en-US" w:eastAsia="zh-CN" w:bidi="th-TH"/>
                    </w:rPr>
                    <w:t>收集后交由环卫部门处理</w:t>
                  </w:r>
                  <w:r>
                    <w:rPr>
                      <w:rFonts w:hint="eastAsia" w:eastAsia="宋体"/>
                      <w:highlight w:val="none"/>
                      <w:lang w:eastAsia="zh-CN"/>
                    </w:rPr>
                    <w:t>；</w:t>
                  </w:r>
                  <w:r>
                    <w:rPr>
                      <w:rFonts w:eastAsia="宋体"/>
                      <w:highlight w:val="none"/>
                    </w:rPr>
                    <w:t>隔油池污</w:t>
                  </w:r>
                  <w:r>
                    <w:rPr>
                      <w:rFonts w:hint="eastAsia" w:eastAsia="宋体"/>
                      <w:highlight w:val="none"/>
                      <w:lang w:eastAsia="zh-CN"/>
                    </w:rPr>
                    <w:t>泥</w:t>
                  </w:r>
                  <w:r>
                    <w:rPr>
                      <w:rFonts w:eastAsia="宋体"/>
                      <w:highlight w:val="none"/>
                    </w:rPr>
                    <w:t>、</w:t>
                  </w:r>
                  <w:r>
                    <w:rPr>
                      <w:rFonts w:hint="eastAsia" w:ascii="Times New Roman" w:hAnsi="Times New Roman" w:eastAsia="宋体" w:cs="Times New Roman"/>
                      <w:kern w:val="2"/>
                      <w:sz w:val="21"/>
                      <w:szCs w:val="21"/>
                      <w:lang w:val="en-US" w:eastAsia="zh-CN" w:bidi="th-TH"/>
                    </w:rPr>
                    <w:t>储罐渣</w:t>
                  </w:r>
                  <w:r>
                    <w:rPr>
                      <w:rFonts w:hint="eastAsia" w:eastAsia="宋体"/>
                      <w:highlight w:val="none"/>
                      <w:lang w:eastAsia="zh-CN"/>
                    </w:rPr>
                    <w:t>定期由中国石化销售股份有限公司江西抚州石油分公司统一收集，然后</w:t>
                  </w:r>
                  <w:r>
                    <w:rPr>
                      <w:rFonts w:eastAsia="宋体"/>
                      <w:highlight w:val="none"/>
                    </w:rPr>
                    <w:t>交由</w:t>
                  </w:r>
                  <w:r>
                    <w:rPr>
                      <w:rFonts w:hint="eastAsia" w:eastAsia="宋体"/>
                      <w:highlight w:val="none"/>
                      <w:lang w:eastAsia="zh-CN"/>
                    </w:rPr>
                    <w:t>江西东江环保技术有限</w:t>
                  </w:r>
                  <w:r>
                    <w:rPr>
                      <w:rFonts w:eastAsia="宋体"/>
                      <w:highlight w:val="none"/>
                    </w:rPr>
                    <w:t>公司处理</w:t>
                  </w:r>
                  <w:r>
                    <w:rPr>
                      <w:rFonts w:hint="eastAsia" w:eastAsia="宋体"/>
                      <w:highlight w:val="none"/>
                      <w:lang w:eastAsia="zh-CN"/>
                    </w:rPr>
                    <w:t>，签订的危险废物处置协议见附件五。</w:t>
                  </w:r>
                </w:p>
              </w:tc>
            </w:tr>
          </w:tbl>
          <w:p>
            <w:pPr>
              <w:autoSpaceDE w:val="0"/>
              <w:autoSpaceDN w:val="0"/>
              <w:adjustRightInd w:val="0"/>
              <w:jc w:val="left"/>
              <w:rPr>
                <w:rFonts w:cs="Arial"/>
                <w:b/>
                <w:color w:val="000000"/>
                <w:kern w:val="0"/>
                <w:sz w:val="24"/>
              </w:rPr>
            </w:pPr>
          </w:p>
          <w:p>
            <w:pPr>
              <w:autoSpaceDE w:val="0"/>
              <w:autoSpaceDN w:val="0"/>
              <w:adjustRightInd w:val="0"/>
              <w:spacing w:line="360" w:lineRule="auto"/>
              <w:ind w:firstLine="482" w:firstLineChars="200"/>
              <w:jc w:val="left"/>
              <w:rPr>
                <w:rFonts w:ascii="Arial" w:hAnsi="Arial" w:cs="Arial"/>
                <w:color w:val="000000"/>
                <w:kern w:val="0"/>
                <w:sz w:val="24"/>
              </w:rPr>
            </w:pPr>
            <w:r>
              <w:rPr>
                <w:rFonts w:hint="eastAsia" w:cs="Arial"/>
                <w:b/>
                <w:color w:val="000000"/>
                <w:kern w:val="0"/>
                <w:sz w:val="24"/>
              </w:rPr>
              <w:t>4、主要设备</w:t>
            </w:r>
          </w:p>
          <w:p>
            <w:pPr>
              <w:autoSpaceDE w:val="0"/>
              <w:autoSpaceDN w:val="0"/>
              <w:adjustRightInd w:val="0"/>
              <w:spacing w:line="360" w:lineRule="auto"/>
              <w:ind w:left="420" w:leftChars="200"/>
              <w:jc w:val="left"/>
              <w:rPr>
                <w:rFonts w:cs="Arial"/>
                <w:color w:val="000000"/>
                <w:kern w:val="0"/>
                <w:sz w:val="24"/>
              </w:rPr>
            </w:pPr>
            <w:r>
              <w:rPr>
                <w:rFonts w:hint="eastAsia" w:cs="Arial"/>
                <w:color w:val="000000"/>
                <w:kern w:val="0"/>
                <w:sz w:val="24"/>
              </w:rPr>
              <w:t>加油站主要设备设施见表2-2。</w:t>
            </w:r>
          </w:p>
          <w:p>
            <w:pPr>
              <w:ind w:firstLine="482"/>
              <w:jc w:val="center"/>
              <w:rPr>
                <w:szCs w:val="21"/>
              </w:rPr>
            </w:pPr>
            <w:r>
              <w:rPr>
                <w:rFonts w:hint="eastAsia"/>
                <w:b/>
                <w:szCs w:val="21"/>
              </w:rPr>
              <w:t>表2-2  项目主要设备设施一览表</w:t>
            </w:r>
          </w:p>
          <w:tbl>
            <w:tblPr>
              <w:tblStyle w:val="24"/>
              <w:tblW w:w="90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68"/>
              <w:gridCol w:w="3123"/>
              <w:gridCol w:w="1963"/>
              <w:gridCol w:w="20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8" w:type="dxa"/>
                  <w:vAlign w:val="center"/>
                </w:tcPr>
                <w:p>
                  <w:pPr>
                    <w:jc w:val="center"/>
                    <w:rPr>
                      <w:rFonts w:asciiTheme="majorBidi" w:hAnsiTheme="majorBidi" w:eastAsiaTheme="minorEastAsia" w:cstheme="majorBidi"/>
                      <w:szCs w:val="21"/>
                    </w:rPr>
                  </w:pPr>
                  <w:r>
                    <w:rPr>
                      <w:rFonts w:asciiTheme="majorBidi" w:hAnsiTheme="majorBidi" w:eastAsiaTheme="minorEastAsia" w:cstheme="majorBidi"/>
                      <w:b/>
                      <w:bCs/>
                      <w:szCs w:val="21"/>
                    </w:rPr>
                    <w:t>设备名称</w:t>
                  </w:r>
                </w:p>
              </w:tc>
              <w:tc>
                <w:tcPr>
                  <w:tcW w:w="3123" w:type="dxa"/>
                  <w:vAlign w:val="center"/>
                </w:tcPr>
                <w:p>
                  <w:pPr>
                    <w:jc w:val="center"/>
                    <w:rPr>
                      <w:rFonts w:asciiTheme="majorBidi" w:hAnsiTheme="majorBidi" w:eastAsiaTheme="minorEastAsia" w:cstheme="majorBidi"/>
                      <w:b/>
                      <w:bCs/>
                      <w:szCs w:val="21"/>
                    </w:rPr>
                  </w:pPr>
                  <w:r>
                    <w:rPr>
                      <w:rFonts w:asciiTheme="majorBidi" w:hAnsiTheme="majorBidi" w:eastAsiaTheme="minorEastAsia" w:cstheme="majorBidi"/>
                      <w:b/>
                      <w:bCs/>
                      <w:szCs w:val="21"/>
                    </w:rPr>
                    <w:t>规格型号</w:t>
                  </w:r>
                </w:p>
              </w:tc>
              <w:tc>
                <w:tcPr>
                  <w:tcW w:w="1963" w:type="dxa"/>
                  <w:vAlign w:val="center"/>
                </w:tcPr>
                <w:p>
                  <w:pPr>
                    <w:spacing w:line="240" w:lineRule="atLeast"/>
                    <w:jc w:val="center"/>
                    <w:rPr>
                      <w:rFonts w:asciiTheme="majorBidi" w:hAnsiTheme="majorBidi" w:eastAsiaTheme="minorEastAsia" w:cstheme="majorBidi"/>
                      <w:b/>
                      <w:bCs/>
                      <w:szCs w:val="21"/>
                    </w:rPr>
                  </w:pPr>
                  <w:r>
                    <w:rPr>
                      <w:rFonts w:asciiTheme="majorBidi" w:hAnsiTheme="majorBidi" w:eastAsiaTheme="minorEastAsia" w:cstheme="majorBidi"/>
                      <w:b/>
                      <w:bCs/>
                      <w:szCs w:val="21"/>
                    </w:rPr>
                    <w:t>环评设计数量</w:t>
                  </w:r>
                </w:p>
              </w:tc>
              <w:tc>
                <w:tcPr>
                  <w:tcW w:w="2017" w:type="dxa"/>
                  <w:vAlign w:val="center"/>
                </w:tcPr>
                <w:p>
                  <w:pPr>
                    <w:spacing w:line="240" w:lineRule="atLeast"/>
                    <w:jc w:val="center"/>
                    <w:rPr>
                      <w:rFonts w:asciiTheme="majorBidi" w:hAnsiTheme="majorBidi" w:eastAsiaTheme="minorEastAsia" w:cstheme="majorBidi"/>
                      <w:b/>
                      <w:bCs/>
                      <w:szCs w:val="21"/>
                    </w:rPr>
                  </w:pPr>
                  <w:r>
                    <w:rPr>
                      <w:rFonts w:asciiTheme="majorBidi" w:hAnsiTheme="majorBidi" w:eastAsiaTheme="minorEastAsia" w:cstheme="majorBidi"/>
                      <w:b/>
                      <w:bCs/>
                      <w:szCs w:val="21"/>
                      <w:highlight w:val="none"/>
                    </w:rPr>
                    <w:t>实际建设数量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8" w:type="dxa"/>
                  <w:vAlign w:val="center"/>
                </w:tcPr>
                <w:p>
                  <w:pPr>
                    <w:pStyle w:val="68"/>
                    <w:adjustRightInd w:val="0"/>
                    <w:snapToGrid w:val="0"/>
                    <w:rPr>
                      <w:rFonts w:asciiTheme="majorBidi" w:hAnsiTheme="majorBidi" w:eastAsiaTheme="minorEastAsia" w:cstheme="majorBidi"/>
                      <w:szCs w:val="21"/>
                    </w:rPr>
                  </w:pPr>
                  <w:r>
                    <w:rPr>
                      <w:rFonts w:eastAsia="宋体"/>
                    </w:rPr>
                    <w:t>地埋</w:t>
                  </w:r>
                  <w:r>
                    <w:rPr>
                      <w:rFonts w:hint="eastAsia" w:eastAsia="宋体"/>
                    </w:rPr>
                    <w:t>式</w:t>
                  </w:r>
                  <w:r>
                    <w:rPr>
                      <w:rFonts w:hint="eastAsia" w:eastAsia="宋体"/>
                      <w:lang w:val="en-US" w:eastAsia="zh-CN"/>
                    </w:rPr>
                    <w:t>SF</w:t>
                  </w:r>
                  <w:r>
                    <w:rPr>
                      <w:rFonts w:eastAsia="宋体"/>
                    </w:rPr>
                    <w:t>双层储罐</w:t>
                  </w:r>
                </w:p>
              </w:tc>
              <w:tc>
                <w:tcPr>
                  <w:tcW w:w="3123" w:type="dxa"/>
                  <w:vAlign w:val="center"/>
                </w:tcPr>
                <w:p>
                  <w:pPr>
                    <w:pStyle w:val="68"/>
                    <w:adjustRightInd w:val="0"/>
                    <w:snapToGrid w:val="0"/>
                    <w:rPr>
                      <w:rFonts w:asciiTheme="majorBidi" w:hAnsiTheme="majorBidi" w:eastAsiaTheme="minorEastAsia" w:cstheme="majorBidi"/>
                      <w:szCs w:val="21"/>
                    </w:rPr>
                  </w:pPr>
                  <w:r>
                    <w:rPr>
                      <w:rFonts w:eastAsia="宋体"/>
                    </w:rPr>
                    <w:t>0#卧式柴油储罐1个，92#、95#、98#汽油储罐各1个，每个均为30m</w:t>
                  </w:r>
                  <w:r>
                    <w:rPr>
                      <w:rFonts w:eastAsia="宋体"/>
                      <w:vertAlign w:val="superscript"/>
                    </w:rPr>
                    <w:t>3</w:t>
                  </w:r>
                </w:p>
              </w:tc>
              <w:tc>
                <w:tcPr>
                  <w:tcW w:w="1963" w:type="dxa"/>
                  <w:vAlign w:val="center"/>
                </w:tcPr>
                <w:p>
                  <w:pPr>
                    <w:widowControl/>
                    <w:jc w:val="center"/>
                    <w:rPr>
                      <w:rFonts w:hint="default" w:asciiTheme="majorBidi" w:hAnsiTheme="majorBidi" w:eastAsiaTheme="minorEastAsia" w:cstheme="majorBidi"/>
                      <w:kern w:val="0"/>
                      <w:sz w:val="22"/>
                      <w:szCs w:val="22"/>
                      <w:lang w:val="en-US" w:eastAsia="zh-CN"/>
                    </w:rPr>
                  </w:pPr>
                  <w:r>
                    <w:rPr>
                      <w:rFonts w:hint="eastAsia" w:asciiTheme="majorBidi" w:hAnsiTheme="majorBidi" w:eastAsiaTheme="minorEastAsia" w:cstheme="majorBidi"/>
                      <w:kern w:val="0"/>
                      <w:sz w:val="22"/>
                      <w:szCs w:val="22"/>
                      <w:lang w:val="en-US" w:eastAsia="zh-CN"/>
                    </w:rPr>
                    <w:t>4个</w:t>
                  </w:r>
                </w:p>
              </w:tc>
              <w:tc>
                <w:tcPr>
                  <w:tcW w:w="2017" w:type="dxa"/>
                  <w:vAlign w:val="center"/>
                </w:tcPr>
                <w:p>
                  <w:pPr>
                    <w:widowControl/>
                    <w:jc w:val="center"/>
                    <w:rPr>
                      <w:rFonts w:hint="eastAsia" w:asciiTheme="majorBidi" w:hAnsiTheme="majorBidi" w:eastAsiaTheme="minorEastAsia" w:cstheme="majorBidi"/>
                      <w:kern w:val="0"/>
                      <w:sz w:val="22"/>
                      <w:szCs w:val="22"/>
                      <w:lang w:val="en-US" w:eastAsia="zh-CN" w:bidi="ar-SA"/>
                    </w:rPr>
                  </w:pPr>
                  <w:r>
                    <w:rPr>
                      <w:rFonts w:hint="eastAsia" w:asciiTheme="majorBidi" w:hAnsiTheme="majorBidi" w:eastAsiaTheme="minorEastAsia" w:cstheme="majorBidi"/>
                      <w:kern w:val="0"/>
                      <w:sz w:val="22"/>
                      <w:szCs w:val="22"/>
                      <w:lang w:val="en-US" w:eastAsia="zh-CN"/>
                    </w:rPr>
                    <w:t>4个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8" w:type="dxa"/>
                  <w:vAlign w:val="center"/>
                </w:tcPr>
                <w:p>
                  <w:pPr>
                    <w:pStyle w:val="68"/>
                    <w:adjustRightInd w:val="0"/>
                    <w:snapToGrid w:val="0"/>
                    <w:rPr>
                      <w:rFonts w:asciiTheme="majorBidi" w:hAnsiTheme="majorBidi" w:eastAsiaTheme="minorEastAsia" w:cstheme="majorBidi"/>
                      <w:szCs w:val="21"/>
                    </w:rPr>
                  </w:pPr>
                  <w:r>
                    <w:rPr>
                      <w:rFonts w:eastAsia="宋体"/>
                    </w:rPr>
                    <w:t>加油机</w:t>
                  </w:r>
                </w:p>
              </w:tc>
              <w:tc>
                <w:tcPr>
                  <w:tcW w:w="3123" w:type="dxa"/>
                  <w:vAlign w:val="center"/>
                </w:tcPr>
                <w:p>
                  <w:pPr>
                    <w:pStyle w:val="68"/>
                    <w:adjustRightInd w:val="0"/>
                    <w:snapToGrid w:val="0"/>
                    <w:rPr>
                      <w:rFonts w:asciiTheme="majorBidi" w:hAnsiTheme="majorBidi" w:eastAsiaTheme="minorEastAsia" w:cstheme="majorBidi"/>
                      <w:szCs w:val="21"/>
                    </w:rPr>
                  </w:pPr>
                  <w:r>
                    <w:rPr>
                      <w:rFonts w:hint="eastAsia" w:eastAsia="宋体"/>
                    </w:rPr>
                    <w:t>四</w:t>
                  </w:r>
                  <w:r>
                    <w:rPr>
                      <w:rFonts w:eastAsia="宋体"/>
                    </w:rPr>
                    <w:t>枪</w:t>
                  </w:r>
                  <w:r>
                    <w:rPr>
                      <w:rFonts w:hint="eastAsia" w:eastAsia="宋体"/>
                    </w:rPr>
                    <w:t>四</w:t>
                  </w:r>
                  <w:r>
                    <w:rPr>
                      <w:rFonts w:eastAsia="宋体"/>
                    </w:rPr>
                    <w:t>油品潜油泵加油机</w:t>
                  </w:r>
                </w:p>
              </w:tc>
              <w:tc>
                <w:tcPr>
                  <w:tcW w:w="1963" w:type="dxa"/>
                  <w:vAlign w:val="center"/>
                </w:tcPr>
                <w:p>
                  <w:pPr>
                    <w:widowControl/>
                    <w:jc w:val="center"/>
                    <w:rPr>
                      <w:rFonts w:hint="eastAsia" w:asciiTheme="majorBidi" w:hAnsiTheme="majorBidi" w:eastAsiaTheme="minorEastAsia" w:cstheme="majorBidi"/>
                      <w:kern w:val="0"/>
                      <w:sz w:val="22"/>
                      <w:szCs w:val="22"/>
                      <w:lang w:eastAsia="zh-CN"/>
                    </w:rPr>
                  </w:pPr>
                  <w:r>
                    <w:rPr>
                      <w:rFonts w:hint="eastAsia" w:asciiTheme="majorBidi" w:hAnsiTheme="majorBidi" w:eastAsiaTheme="minorEastAsia" w:cstheme="majorBidi"/>
                      <w:kern w:val="0"/>
                      <w:sz w:val="22"/>
                      <w:szCs w:val="22"/>
                      <w:lang w:val="en-US" w:eastAsia="zh-CN"/>
                    </w:rPr>
                    <w:t>2</w:t>
                  </w:r>
                  <w:r>
                    <w:rPr>
                      <w:rFonts w:hint="eastAsia" w:asciiTheme="majorBidi" w:hAnsiTheme="majorBidi" w:eastAsiaTheme="minorEastAsia" w:cstheme="majorBidi"/>
                      <w:kern w:val="0"/>
                      <w:sz w:val="22"/>
                      <w:szCs w:val="22"/>
                      <w:lang w:eastAsia="zh-CN"/>
                    </w:rPr>
                    <w:t>台</w:t>
                  </w:r>
                </w:p>
              </w:tc>
              <w:tc>
                <w:tcPr>
                  <w:tcW w:w="2017" w:type="dxa"/>
                  <w:vAlign w:val="center"/>
                </w:tcPr>
                <w:p>
                  <w:pPr>
                    <w:widowControl/>
                    <w:jc w:val="center"/>
                    <w:rPr>
                      <w:rFonts w:hint="eastAsia" w:asciiTheme="majorBidi" w:hAnsiTheme="majorBidi" w:eastAsiaTheme="minorEastAsia" w:cstheme="majorBidi"/>
                      <w:kern w:val="0"/>
                      <w:sz w:val="22"/>
                      <w:szCs w:val="22"/>
                      <w:lang w:val="en-US" w:eastAsia="zh-CN" w:bidi="ar-SA"/>
                    </w:rPr>
                  </w:pPr>
                  <w:r>
                    <w:rPr>
                      <w:rFonts w:hint="eastAsia" w:asciiTheme="majorBidi" w:hAnsiTheme="majorBidi" w:eastAsiaTheme="minorEastAsia" w:cstheme="majorBidi"/>
                      <w:kern w:val="0"/>
                      <w:sz w:val="22"/>
                      <w:szCs w:val="22"/>
                      <w:lang w:val="en-US" w:eastAsia="zh-CN"/>
                    </w:rPr>
                    <w:t>2</w:t>
                  </w:r>
                  <w:r>
                    <w:rPr>
                      <w:rFonts w:hint="eastAsia" w:asciiTheme="majorBidi" w:hAnsiTheme="majorBidi" w:eastAsiaTheme="minorEastAsia" w:cstheme="majorBidi"/>
                      <w:kern w:val="0"/>
                      <w:sz w:val="22"/>
                      <w:szCs w:val="22"/>
                      <w:lang w:eastAsia="zh-CN"/>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8" w:type="dxa"/>
                  <w:vAlign w:val="center"/>
                </w:tcPr>
                <w:p>
                  <w:pPr>
                    <w:widowControl/>
                    <w:jc w:val="center"/>
                    <w:rPr>
                      <w:rFonts w:asciiTheme="majorBidi" w:hAnsiTheme="majorBidi" w:eastAsiaTheme="minorEastAsia" w:cstheme="majorBidi"/>
                      <w:szCs w:val="21"/>
                    </w:rPr>
                  </w:pPr>
                  <w:r>
                    <w:rPr>
                      <w:rFonts w:hint="eastAsia"/>
                    </w:rPr>
                    <w:t>一次油气回收系统</w:t>
                  </w:r>
                </w:p>
              </w:tc>
              <w:tc>
                <w:tcPr>
                  <w:tcW w:w="3123" w:type="dxa"/>
                  <w:vAlign w:val="center"/>
                </w:tcPr>
                <w:p>
                  <w:pPr>
                    <w:widowControl/>
                    <w:jc w:val="center"/>
                    <w:rPr>
                      <w:rFonts w:hint="default" w:asciiTheme="majorBidi" w:hAnsiTheme="majorBidi" w:eastAsiaTheme="minorEastAsia" w:cstheme="majorBidi"/>
                      <w:kern w:val="0"/>
                      <w:sz w:val="22"/>
                      <w:szCs w:val="22"/>
                      <w:lang w:val="en-US" w:eastAsia="zh-CN" w:bidi="ar-SA"/>
                    </w:rPr>
                  </w:pPr>
                  <w:r>
                    <w:rPr>
                      <w:rFonts w:hint="eastAsia" w:asciiTheme="majorBidi" w:hAnsiTheme="majorBidi" w:eastAsiaTheme="minorEastAsia" w:cstheme="majorBidi"/>
                      <w:kern w:val="0"/>
                      <w:sz w:val="22"/>
                      <w:szCs w:val="22"/>
                      <w:lang w:val="en-US" w:eastAsia="zh-CN" w:bidi="ar-SA"/>
                    </w:rPr>
                    <w:t>/</w:t>
                  </w:r>
                </w:p>
              </w:tc>
              <w:tc>
                <w:tcPr>
                  <w:tcW w:w="1963" w:type="dxa"/>
                  <w:vAlign w:val="center"/>
                </w:tcPr>
                <w:p>
                  <w:pPr>
                    <w:widowControl/>
                    <w:jc w:val="center"/>
                    <w:rPr>
                      <w:rFonts w:hint="eastAsia" w:asciiTheme="majorBidi" w:hAnsiTheme="majorBidi" w:eastAsiaTheme="minorEastAsia" w:cstheme="majorBidi"/>
                      <w:kern w:val="0"/>
                      <w:sz w:val="22"/>
                      <w:szCs w:val="22"/>
                      <w:lang w:eastAsia="zh-CN"/>
                    </w:rPr>
                  </w:pPr>
                  <w:r>
                    <w:rPr>
                      <w:rFonts w:hint="eastAsia" w:asciiTheme="majorBidi" w:hAnsiTheme="majorBidi" w:eastAsiaTheme="minorEastAsia" w:cstheme="majorBidi"/>
                      <w:kern w:val="0"/>
                      <w:sz w:val="22"/>
                      <w:szCs w:val="22"/>
                      <w:lang w:eastAsia="zh-CN"/>
                    </w:rPr>
                    <w:t>一套</w:t>
                  </w:r>
                </w:p>
              </w:tc>
              <w:tc>
                <w:tcPr>
                  <w:tcW w:w="2017" w:type="dxa"/>
                  <w:vAlign w:val="center"/>
                </w:tcPr>
                <w:p>
                  <w:pPr>
                    <w:widowControl/>
                    <w:jc w:val="center"/>
                    <w:rPr>
                      <w:rFonts w:hint="eastAsia" w:asciiTheme="majorBidi" w:hAnsiTheme="majorBidi" w:eastAsiaTheme="minorEastAsia" w:cstheme="majorBidi"/>
                      <w:kern w:val="0"/>
                      <w:sz w:val="22"/>
                      <w:szCs w:val="22"/>
                      <w:lang w:val="en-US" w:eastAsia="zh-CN" w:bidi="ar-SA"/>
                    </w:rPr>
                  </w:pPr>
                  <w:r>
                    <w:rPr>
                      <w:rFonts w:hint="eastAsia" w:asciiTheme="majorBidi" w:hAnsiTheme="majorBidi" w:eastAsiaTheme="minorEastAsia" w:cstheme="majorBidi"/>
                      <w:kern w:val="0"/>
                      <w:sz w:val="22"/>
                      <w:szCs w:val="22"/>
                      <w:lang w:eastAsia="zh-CN"/>
                    </w:rPr>
                    <w:t>一套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68" w:type="dxa"/>
                  <w:vAlign w:val="center"/>
                </w:tcPr>
                <w:p>
                  <w:pPr>
                    <w:widowControl/>
                    <w:jc w:val="center"/>
                    <w:rPr>
                      <w:rFonts w:asciiTheme="majorBidi" w:hAnsiTheme="majorBidi" w:eastAsiaTheme="minorEastAsia" w:cstheme="majorBidi"/>
                      <w:szCs w:val="21"/>
                    </w:rPr>
                  </w:pPr>
                  <w:r>
                    <w:rPr>
                      <w:rFonts w:hint="eastAsia"/>
                    </w:rPr>
                    <w:t>二次油气回收系统</w:t>
                  </w:r>
                </w:p>
              </w:tc>
              <w:tc>
                <w:tcPr>
                  <w:tcW w:w="3123" w:type="dxa"/>
                  <w:vAlign w:val="center"/>
                </w:tcPr>
                <w:p>
                  <w:pPr>
                    <w:widowControl/>
                    <w:jc w:val="center"/>
                    <w:rPr>
                      <w:rFonts w:hint="default" w:asciiTheme="majorBidi" w:hAnsiTheme="majorBidi" w:eastAsiaTheme="minorEastAsia" w:cstheme="majorBidi"/>
                      <w:kern w:val="0"/>
                      <w:sz w:val="22"/>
                      <w:szCs w:val="22"/>
                      <w:lang w:val="en-US" w:eastAsia="zh-CN" w:bidi="ar-SA"/>
                    </w:rPr>
                  </w:pPr>
                  <w:r>
                    <w:rPr>
                      <w:rFonts w:hint="eastAsia" w:asciiTheme="majorBidi" w:hAnsiTheme="majorBidi" w:eastAsiaTheme="minorEastAsia" w:cstheme="majorBidi"/>
                      <w:kern w:val="0"/>
                      <w:sz w:val="22"/>
                      <w:szCs w:val="22"/>
                      <w:lang w:val="en-US" w:eastAsia="zh-CN" w:bidi="ar-SA"/>
                    </w:rPr>
                    <w:t>/</w:t>
                  </w:r>
                </w:p>
              </w:tc>
              <w:tc>
                <w:tcPr>
                  <w:tcW w:w="1963" w:type="dxa"/>
                  <w:vAlign w:val="center"/>
                </w:tcPr>
                <w:p>
                  <w:pPr>
                    <w:widowControl/>
                    <w:jc w:val="center"/>
                    <w:rPr>
                      <w:rFonts w:hint="eastAsia" w:asciiTheme="majorBidi" w:hAnsiTheme="majorBidi" w:eastAsiaTheme="minorEastAsia" w:cstheme="majorBidi"/>
                      <w:kern w:val="0"/>
                      <w:sz w:val="22"/>
                      <w:szCs w:val="22"/>
                      <w:lang w:eastAsia="zh-CN"/>
                    </w:rPr>
                  </w:pPr>
                  <w:r>
                    <w:rPr>
                      <w:rFonts w:hint="eastAsia" w:asciiTheme="majorBidi" w:hAnsiTheme="majorBidi" w:eastAsiaTheme="minorEastAsia" w:cstheme="majorBidi"/>
                      <w:kern w:val="0"/>
                      <w:sz w:val="22"/>
                      <w:szCs w:val="22"/>
                      <w:lang w:eastAsia="zh-CN"/>
                    </w:rPr>
                    <w:t>一套</w:t>
                  </w:r>
                </w:p>
              </w:tc>
              <w:tc>
                <w:tcPr>
                  <w:tcW w:w="2017" w:type="dxa"/>
                  <w:vAlign w:val="center"/>
                </w:tcPr>
                <w:p>
                  <w:pPr>
                    <w:widowControl/>
                    <w:jc w:val="center"/>
                    <w:rPr>
                      <w:rFonts w:hint="eastAsia" w:asciiTheme="majorBidi" w:hAnsiTheme="majorBidi" w:eastAsiaTheme="minorEastAsia" w:cstheme="majorBidi"/>
                      <w:kern w:val="0"/>
                      <w:sz w:val="22"/>
                      <w:szCs w:val="22"/>
                      <w:lang w:val="en-US" w:eastAsia="zh-CN" w:bidi="ar-SA"/>
                    </w:rPr>
                  </w:pPr>
                  <w:r>
                    <w:rPr>
                      <w:rFonts w:hint="eastAsia" w:asciiTheme="majorBidi" w:hAnsiTheme="majorBidi" w:eastAsiaTheme="minorEastAsia" w:cstheme="majorBidi"/>
                      <w:kern w:val="0"/>
                      <w:sz w:val="22"/>
                      <w:szCs w:val="22"/>
                      <w:lang w:eastAsia="zh-CN"/>
                    </w:rPr>
                    <w:t>一套</w:t>
                  </w:r>
                </w:p>
              </w:tc>
            </w:tr>
          </w:tbl>
          <w:p>
            <w:pPr>
              <w:autoSpaceDE w:val="0"/>
              <w:autoSpaceDN w:val="0"/>
              <w:adjustRightInd w:val="0"/>
              <w:jc w:val="left"/>
              <w:rPr>
                <w:rFonts w:cs="Arial"/>
                <w:color w:val="000000"/>
                <w:kern w:val="0"/>
                <w:sz w:val="24"/>
              </w:rPr>
            </w:pPr>
          </w:p>
          <w:p>
            <w:pPr>
              <w:spacing w:line="360" w:lineRule="auto"/>
              <w:ind w:firstLine="482" w:firstLineChars="200"/>
              <w:rPr>
                <w:b/>
                <w:bCs/>
                <w:sz w:val="24"/>
              </w:rPr>
            </w:pPr>
            <w:r>
              <w:rPr>
                <w:rFonts w:hint="eastAsia"/>
                <w:b/>
                <w:bCs/>
                <w:sz w:val="24"/>
              </w:rPr>
              <w:t>5、公用工程</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（1）给水</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项目主要用水为生活用水、地面冲洗用水</w:t>
            </w:r>
            <w:r>
              <w:rPr>
                <w:color w:val="000000" w:themeColor="text1"/>
                <w:sz w:val="24"/>
                <w14:textFill>
                  <w14:solidFill>
                    <w14:schemeClr w14:val="tx1"/>
                  </w14:solidFill>
                </w14:textFill>
              </w:rPr>
              <w:t>等</w:t>
            </w:r>
            <w:r>
              <w:rPr>
                <w:rFonts w:hint="eastAsia"/>
                <w:color w:val="000000" w:themeColor="text1"/>
                <w:sz w:val="24"/>
                <w14:textFill>
                  <w14:solidFill>
                    <w14:schemeClr w14:val="tx1"/>
                  </w14:solidFill>
                </w14:textFill>
              </w:rPr>
              <w:t>，项目用水由市政管网供给</w:t>
            </w:r>
            <w:r>
              <w:rPr>
                <w:color w:val="000000" w:themeColor="text1"/>
                <w:sz w:val="24"/>
                <w14:textFill>
                  <w14:solidFill>
                    <w14:schemeClr w14:val="tx1"/>
                  </w14:solidFill>
                </w14:textFill>
              </w:rPr>
              <w:t>。</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（2）排水</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站内采</w:t>
            </w:r>
            <w:r>
              <w:rPr>
                <w:rFonts w:hint="eastAsia"/>
                <w:color w:val="000000" w:themeColor="text1"/>
                <w:sz w:val="24"/>
                <w:lang w:eastAsia="zh-CN"/>
                <w14:textFill>
                  <w14:solidFill>
                    <w14:schemeClr w14:val="tx1"/>
                  </w14:solidFill>
                </w14:textFill>
              </w:rPr>
              <w:t>用</w:t>
            </w:r>
            <w:r>
              <w:rPr>
                <w:rFonts w:hint="eastAsia"/>
                <w:color w:val="000000" w:themeColor="text1"/>
                <w:sz w:val="24"/>
                <w14:textFill>
                  <w14:solidFill>
                    <w14:schemeClr w14:val="tx1"/>
                  </w14:solidFill>
                </w14:textFill>
              </w:rPr>
              <w:t>雨污分流制。雨水排入市政雨水管网（初期</w:t>
            </w:r>
            <w:r>
              <w:rPr>
                <w:color w:val="000000" w:themeColor="text1"/>
                <w:sz w:val="24"/>
                <w14:textFill>
                  <w14:solidFill>
                    <w14:schemeClr w14:val="tx1"/>
                  </w14:solidFill>
                </w14:textFill>
              </w:rPr>
              <w:t>雨水进入隔油</w:t>
            </w:r>
            <w:r>
              <w:rPr>
                <w:rFonts w:hint="eastAsia"/>
                <w:color w:val="000000" w:themeColor="text1"/>
                <w:sz w:val="24"/>
                <w14:textFill>
                  <w14:solidFill>
                    <w14:schemeClr w14:val="tx1"/>
                  </w14:solidFill>
                </w14:textFill>
              </w:rPr>
              <w:t>沉淀</w:t>
            </w:r>
            <w:r>
              <w:rPr>
                <w:color w:val="000000" w:themeColor="text1"/>
                <w:sz w:val="24"/>
                <w14:textFill>
                  <w14:solidFill>
                    <w14:schemeClr w14:val="tx1"/>
                  </w14:solidFill>
                </w14:textFill>
              </w:rPr>
              <w:t>池处理达标后外排）</w:t>
            </w:r>
            <w:r>
              <w:rPr>
                <w:rFonts w:hint="eastAsia"/>
                <w:color w:val="000000" w:themeColor="text1"/>
                <w:sz w:val="24"/>
                <w14:textFill>
                  <w14:solidFill>
                    <w14:schemeClr w14:val="tx1"/>
                  </w14:solidFill>
                </w14:textFill>
              </w:rPr>
              <w:t>；</w:t>
            </w:r>
            <w:r>
              <w:rPr>
                <w:rFonts w:hint="eastAsia"/>
                <w:color w:val="000000" w:themeColor="text1"/>
                <w:sz w:val="24"/>
                <w:lang w:eastAsia="zh-CN"/>
                <w14:textFill>
                  <w14:solidFill>
                    <w14:schemeClr w14:val="tx1"/>
                  </w14:solidFill>
                </w14:textFill>
              </w:rPr>
              <w:t>地面冲洗</w:t>
            </w:r>
            <w:r>
              <w:rPr>
                <w:rFonts w:hint="eastAsia"/>
                <w:color w:val="000000" w:themeColor="text1"/>
                <w:sz w:val="24"/>
                <w14:textFill>
                  <w14:solidFill>
                    <w14:schemeClr w14:val="tx1"/>
                  </w14:solidFill>
                </w14:textFill>
              </w:rPr>
              <w:t>废水经隔油沉淀池处理后与生活污水经化粪池处理后排入市政污水管网，</w:t>
            </w:r>
            <w:r>
              <w:rPr>
                <w:color w:val="000000" w:themeColor="text1"/>
                <w:sz w:val="24"/>
                <w14:textFill>
                  <w14:solidFill>
                    <w14:schemeClr w14:val="tx1"/>
                  </w14:solidFill>
                </w14:textFill>
              </w:rPr>
              <w:t>然后</w:t>
            </w:r>
            <w:r>
              <w:rPr>
                <w:rFonts w:hint="eastAsia"/>
                <w:color w:val="000000" w:themeColor="text1"/>
                <w:sz w:val="24"/>
                <w14:textFill>
                  <w14:solidFill>
                    <w14:schemeClr w14:val="tx1"/>
                  </w14:solidFill>
                </w14:textFill>
              </w:rPr>
              <w:t>进入资溪县城市污水处理厂处理。</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（3）供电</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项目用电由市政供电部门统一供给。站区内</w:t>
            </w:r>
            <w:r>
              <w:rPr>
                <w:color w:val="000000" w:themeColor="text1"/>
                <w:sz w:val="24"/>
                <w14:textFill>
                  <w14:solidFill>
                    <w14:schemeClr w14:val="tx1"/>
                  </w14:solidFill>
                </w14:textFill>
              </w:rPr>
              <w:t>不配备</w:t>
            </w:r>
            <w:r>
              <w:rPr>
                <w:rFonts w:hint="eastAsia"/>
                <w:color w:val="000000" w:themeColor="text1"/>
                <w:sz w:val="24"/>
                <w14:textFill>
                  <w14:solidFill>
                    <w14:schemeClr w14:val="tx1"/>
                  </w14:solidFill>
                </w14:textFill>
              </w:rPr>
              <w:t>柴油发电机。</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w:t>
            </w:r>
            <w:r>
              <w:rPr>
                <w:color w:val="000000" w:themeColor="text1"/>
                <w:sz w:val="24"/>
                <w14:textFill>
                  <w14:solidFill>
                    <w14:schemeClr w14:val="tx1"/>
                  </w14:solidFill>
                </w14:textFill>
              </w:rPr>
              <w:t>）供热供冷</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项目无集中供热供冷系统，供冷供热由分体空调提供。</w:t>
            </w:r>
          </w:p>
          <w:p>
            <w:pPr>
              <w:spacing w:line="360" w:lineRule="auto"/>
              <w:ind w:firstLine="480" w:firstLineChars="20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（5）消防系统</w:t>
            </w:r>
          </w:p>
          <w:p>
            <w:pPr>
              <w:spacing w:line="360" w:lineRule="auto"/>
              <w:ind w:firstLine="480" w:firstLineChars="200"/>
              <w:rPr>
                <w:rFonts w:hint="eastAsia"/>
                <w:color w:val="000000" w:themeColor="text1"/>
                <w:sz w:val="24"/>
                <w14:textFill>
                  <w14:solidFill>
                    <w14:schemeClr w14:val="tx1"/>
                  </w14:solidFill>
                </w14:textFill>
              </w:rPr>
            </w:pPr>
            <w:r>
              <w:rPr>
                <w:color w:val="000000" w:themeColor="text1"/>
                <w:sz w:val="24"/>
                <w14:textFill>
                  <w14:solidFill>
                    <w14:schemeClr w14:val="tx1"/>
                  </w14:solidFill>
                </w14:textFill>
              </w:rPr>
              <w:t>按照规范标准和消防管理部门的规定配备消防设备。对于加油站，在加油机、地下储罐设一定数量的手提式和</w:t>
            </w:r>
            <w:r>
              <w:rPr>
                <w:rFonts w:hint="eastAsia"/>
                <w:color w:val="000000" w:themeColor="text1"/>
                <w:sz w:val="24"/>
                <w14:textFill>
                  <w14:solidFill>
                    <w14:schemeClr w14:val="tx1"/>
                  </w14:solidFill>
                </w14:textFill>
              </w:rPr>
              <w:t>手推</w:t>
            </w:r>
            <w:r>
              <w:rPr>
                <w:color w:val="000000" w:themeColor="text1"/>
                <w:sz w:val="24"/>
                <w14:textFill>
                  <w14:solidFill>
                    <w14:schemeClr w14:val="tx1"/>
                  </w14:solidFill>
                </w14:textFill>
              </w:rPr>
              <w:t>式干粉灭火器，同时站内配置灭火毯、消防罐和消防工具架一座，加油站消防同时依托当地消防站。</w:t>
            </w:r>
          </w:p>
          <w:p>
            <w:pPr>
              <w:spacing w:line="360" w:lineRule="auto"/>
              <w:ind w:firstLine="482" w:firstLineChars="200"/>
              <w:rPr>
                <w:b/>
                <w:bCs/>
                <w:sz w:val="24"/>
              </w:rPr>
            </w:pPr>
            <w:r>
              <w:rPr>
                <w:rFonts w:hint="eastAsia"/>
                <w:b/>
                <w:bCs/>
                <w:sz w:val="24"/>
              </w:rPr>
              <w:t>6</w:t>
            </w:r>
            <w:r>
              <w:rPr>
                <w:b/>
                <w:bCs/>
                <w:sz w:val="24"/>
              </w:rPr>
              <w:t>、投资、工作制度及劳动定员</w:t>
            </w:r>
          </w:p>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总投资</w:t>
            </w:r>
            <w:r>
              <w:rPr>
                <w:rFonts w:hint="eastAsia"/>
                <w:color w:val="000000" w:themeColor="text1"/>
                <w:sz w:val="24"/>
                <w:lang w:val="en-US" w:eastAsia="zh-CN"/>
                <w14:textFill>
                  <w14:solidFill>
                    <w14:schemeClr w14:val="tx1"/>
                  </w14:solidFill>
                </w14:textFill>
              </w:rPr>
              <w:t>534</w:t>
            </w:r>
            <w:r>
              <w:rPr>
                <w:rFonts w:hint="eastAsia"/>
                <w:color w:val="000000" w:themeColor="text1"/>
                <w:sz w:val="24"/>
                <w14:textFill>
                  <w14:solidFill>
                    <w14:schemeClr w14:val="tx1"/>
                  </w14:solidFill>
                </w14:textFill>
              </w:rPr>
              <w:t>万元，环保投资</w:t>
            </w:r>
            <w:r>
              <w:rPr>
                <w:rFonts w:hint="eastAsia"/>
                <w:color w:val="000000" w:themeColor="text1"/>
                <w:sz w:val="24"/>
                <w:lang w:val="en-US" w:eastAsia="zh-CN"/>
                <w14:textFill>
                  <w14:solidFill>
                    <w14:schemeClr w14:val="tx1"/>
                  </w14:solidFill>
                </w14:textFill>
              </w:rPr>
              <w:t>41</w:t>
            </w:r>
            <w:r>
              <w:rPr>
                <w:rFonts w:hint="eastAsia"/>
                <w:color w:val="000000" w:themeColor="text1"/>
                <w:sz w:val="24"/>
                <w14:textFill>
                  <w14:solidFill>
                    <w14:schemeClr w14:val="tx1"/>
                  </w14:solidFill>
                </w14:textFill>
              </w:rPr>
              <w:t>万元，占总投资的</w:t>
            </w:r>
            <w:r>
              <w:rPr>
                <w:rFonts w:hint="eastAsia"/>
                <w:color w:val="000000" w:themeColor="text1"/>
                <w:sz w:val="24"/>
                <w:lang w:val="en-US" w:eastAsia="zh-CN"/>
                <w14:textFill>
                  <w14:solidFill>
                    <w14:schemeClr w14:val="tx1"/>
                  </w14:solidFill>
                </w14:textFill>
              </w:rPr>
              <w:t>7.68</w:t>
            </w:r>
            <w:r>
              <w:rPr>
                <w:color w:val="000000" w:themeColor="text1"/>
                <w:sz w:val="24"/>
                <w14:textFill>
                  <w14:solidFill>
                    <w14:schemeClr w14:val="tx1"/>
                  </w14:solidFill>
                </w14:textFill>
              </w:rPr>
              <w:t>%，环保投资主要用于</w:t>
            </w:r>
            <w:r>
              <w:rPr>
                <w:rFonts w:hint="eastAsia"/>
                <w:color w:val="000000" w:themeColor="text1"/>
                <w:sz w:val="24"/>
                <w14:textFill>
                  <w14:solidFill>
                    <w14:schemeClr w14:val="tx1"/>
                  </w14:solidFill>
                </w14:textFill>
              </w:rPr>
              <w:t>废气</w:t>
            </w:r>
            <w:r>
              <w:rPr>
                <w:color w:val="000000" w:themeColor="text1"/>
                <w:sz w:val="24"/>
                <w14:textFill>
                  <w14:solidFill>
                    <w14:schemeClr w14:val="tx1"/>
                  </w14:solidFill>
                </w14:textFill>
              </w:rPr>
              <w:t>、噪声、固体废物治理等</w:t>
            </w:r>
            <w:r>
              <w:rPr>
                <w:rFonts w:hint="eastAsia"/>
                <w:color w:val="000000" w:themeColor="text1"/>
                <w:sz w:val="24"/>
                <w14:textFill>
                  <w14:solidFill>
                    <w14:schemeClr w14:val="tx1"/>
                  </w14:solidFill>
                </w14:textFill>
              </w:rPr>
              <w:t>项目</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员工共</w:t>
            </w:r>
            <w:r>
              <w:rPr>
                <w:rFonts w:hint="eastAsia"/>
                <w:color w:val="000000" w:themeColor="text1"/>
                <w:sz w:val="24"/>
                <w:lang w:val="en-US" w:eastAsia="zh-CN"/>
                <w14:textFill>
                  <w14:solidFill>
                    <w14:schemeClr w14:val="tx1"/>
                  </w14:solidFill>
                </w14:textFill>
              </w:rPr>
              <w:t>3</w:t>
            </w:r>
            <w:r>
              <w:rPr>
                <w:rFonts w:hint="eastAsia"/>
                <w:color w:val="000000" w:themeColor="text1"/>
                <w:sz w:val="24"/>
                <w14:textFill>
                  <w14:solidFill>
                    <w14:schemeClr w14:val="tx1"/>
                  </w14:solidFill>
                </w14:textFill>
              </w:rPr>
              <w:t>人，工作三班制，每班8小时，年工作日为365天。项目</w:t>
            </w:r>
            <w:r>
              <w:rPr>
                <w:color w:val="000000" w:themeColor="text1"/>
                <w:sz w:val="24"/>
                <w14:textFill>
                  <w14:solidFill>
                    <w14:schemeClr w14:val="tx1"/>
                  </w14:solidFill>
                </w14:textFill>
              </w:rPr>
              <w:t>站区内不设食堂及员工宿舍</w:t>
            </w:r>
            <w:r>
              <w:rPr>
                <w:rFonts w:hint="eastAsia"/>
                <w:color w:val="000000" w:themeColor="text1"/>
                <w:sz w:val="24"/>
                <w14:textFill>
                  <w14:solidFill>
                    <w14:schemeClr w14:val="tx1"/>
                  </w14:solidFill>
                </w14:textFill>
              </w:rPr>
              <w:t>。环保投资明细见表2-3。</w:t>
            </w:r>
          </w:p>
          <w:p>
            <w:pPr>
              <w:spacing w:line="360" w:lineRule="auto"/>
              <w:jc w:val="center"/>
              <w:rPr>
                <w:b/>
                <w:sz w:val="24"/>
                <w:szCs w:val="24"/>
              </w:rPr>
            </w:pPr>
            <w:r>
              <w:rPr>
                <w:rFonts w:hint="eastAsia"/>
                <w:b/>
                <w:sz w:val="24"/>
                <w:szCs w:val="24"/>
              </w:rPr>
              <w:t>表2-3  环保投资一览表</w:t>
            </w:r>
          </w:p>
          <w:tbl>
            <w:tblPr>
              <w:tblStyle w:val="24"/>
              <w:tblW w:w="8958" w:type="dxa"/>
              <w:tblInd w:w="11" w:type="dxa"/>
              <w:tblBorders>
                <w:top w:val="single" w:color="000000" w:sz="12" w:space="0"/>
                <w:left w:val="none" w:color="auto" w:sz="0" w:space="0"/>
                <w:bottom w:val="single" w:color="000000"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74"/>
              <w:gridCol w:w="1199"/>
              <w:gridCol w:w="5584"/>
              <w:gridCol w:w="1501"/>
            </w:tblGrid>
            <w:tr>
              <w:tblPrEx>
                <w:tblBorders>
                  <w:top w:val="single" w:color="000000" w:sz="12" w:space="0"/>
                  <w:left w:val="none" w:color="auto" w:sz="0" w:space="0"/>
                  <w:bottom w:val="single" w:color="000000"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76" w:type="pct"/>
                  <w:noWrap w:val="0"/>
                  <w:vAlign w:val="center"/>
                </w:tcPr>
                <w:p>
                  <w:pPr>
                    <w:jc w:val="center"/>
                    <w:rPr>
                      <w:rFonts w:hint="eastAsia"/>
                      <w:b/>
                      <w:bCs/>
                      <w:szCs w:val="21"/>
                    </w:rPr>
                  </w:pPr>
                  <w:r>
                    <w:rPr>
                      <w:rFonts w:hint="eastAsia"/>
                      <w:b/>
                      <w:bCs/>
                      <w:szCs w:val="21"/>
                    </w:rPr>
                    <w:t>阶段</w:t>
                  </w:r>
                </w:p>
              </w:tc>
              <w:tc>
                <w:tcPr>
                  <w:tcW w:w="669" w:type="pct"/>
                  <w:noWrap w:val="0"/>
                  <w:vAlign w:val="center"/>
                </w:tcPr>
                <w:p>
                  <w:pPr>
                    <w:jc w:val="center"/>
                    <w:rPr>
                      <w:rFonts w:hint="eastAsia"/>
                      <w:b/>
                      <w:bCs/>
                      <w:szCs w:val="21"/>
                    </w:rPr>
                  </w:pPr>
                  <w:r>
                    <w:rPr>
                      <w:rFonts w:hint="eastAsia"/>
                      <w:b/>
                      <w:bCs/>
                      <w:szCs w:val="21"/>
                    </w:rPr>
                    <w:t>污染类别</w:t>
                  </w:r>
                </w:p>
              </w:tc>
              <w:tc>
                <w:tcPr>
                  <w:tcW w:w="3117" w:type="pct"/>
                  <w:noWrap w:val="0"/>
                  <w:vAlign w:val="center"/>
                </w:tcPr>
                <w:p>
                  <w:pPr>
                    <w:jc w:val="center"/>
                    <w:rPr>
                      <w:b/>
                      <w:bCs/>
                      <w:szCs w:val="21"/>
                    </w:rPr>
                  </w:pPr>
                  <w:r>
                    <w:rPr>
                      <w:b/>
                      <w:bCs/>
                      <w:szCs w:val="21"/>
                    </w:rPr>
                    <w:t>环保措施</w:t>
                  </w:r>
                </w:p>
              </w:tc>
              <w:tc>
                <w:tcPr>
                  <w:tcW w:w="838" w:type="pct"/>
                  <w:noWrap w:val="0"/>
                  <w:vAlign w:val="center"/>
                </w:tcPr>
                <w:p>
                  <w:pPr>
                    <w:jc w:val="center"/>
                    <w:rPr>
                      <w:b/>
                      <w:bCs/>
                      <w:szCs w:val="21"/>
                    </w:rPr>
                  </w:pPr>
                  <w:r>
                    <w:rPr>
                      <w:rFonts w:hAnsi="宋体"/>
                      <w:b/>
                      <w:bCs/>
                      <w:szCs w:val="21"/>
                    </w:rPr>
                    <w:t>投资（万元）</w:t>
                  </w:r>
                </w:p>
              </w:tc>
            </w:tr>
            <w:tr>
              <w:tblPrEx>
                <w:tblBorders>
                  <w:top w:val="single" w:color="000000" w:sz="12" w:space="0"/>
                  <w:left w:val="none" w:color="auto" w:sz="0" w:space="0"/>
                  <w:bottom w:val="single" w:color="000000"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76" w:type="pct"/>
                  <w:vMerge w:val="restart"/>
                  <w:noWrap w:val="0"/>
                  <w:vAlign w:val="center"/>
                </w:tcPr>
                <w:p>
                  <w:pPr>
                    <w:jc w:val="center"/>
                    <w:rPr>
                      <w:rFonts w:hint="eastAsia"/>
                      <w:szCs w:val="21"/>
                    </w:rPr>
                  </w:pPr>
                  <w:r>
                    <w:rPr>
                      <w:rFonts w:hint="eastAsia"/>
                      <w:szCs w:val="21"/>
                    </w:rPr>
                    <w:t>施</w:t>
                  </w:r>
                </w:p>
                <w:p>
                  <w:pPr>
                    <w:jc w:val="center"/>
                    <w:rPr>
                      <w:rFonts w:hint="eastAsia"/>
                      <w:szCs w:val="21"/>
                    </w:rPr>
                  </w:pPr>
                  <w:r>
                    <w:rPr>
                      <w:rFonts w:hint="eastAsia"/>
                      <w:szCs w:val="21"/>
                    </w:rPr>
                    <w:t>工</w:t>
                  </w:r>
                </w:p>
                <w:p>
                  <w:pPr>
                    <w:jc w:val="center"/>
                    <w:rPr>
                      <w:rFonts w:hint="eastAsia"/>
                      <w:szCs w:val="21"/>
                    </w:rPr>
                  </w:pPr>
                  <w:r>
                    <w:rPr>
                      <w:rFonts w:hint="eastAsia"/>
                      <w:szCs w:val="21"/>
                    </w:rPr>
                    <w:t>期</w:t>
                  </w:r>
                </w:p>
              </w:tc>
              <w:tc>
                <w:tcPr>
                  <w:tcW w:w="669" w:type="pct"/>
                  <w:noWrap w:val="0"/>
                  <w:vAlign w:val="center"/>
                </w:tcPr>
                <w:p>
                  <w:pPr>
                    <w:snapToGrid w:val="0"/>
                    <w:spacing w:line="300" w:lineRule="exact"/>
                    <w:jc w:val="center"/>
                    <w:rPr>
                      <w:rFonts w:hint="eastAsia"/>
                      <w:szCs w:val="21"/>
                    </w:rPr>
                  </w:pPr>
                  <w:r>
                    <w:rPr>
                      <w:szCs w:val="21"/>
                    </w:rPr>
                    <w:t>施工</w:t>
                  </w:r>
                  <w:r>
                    <w:rPr>
                      <w:rFonts w:hint="eastAsia"/>
                      <w:szCs w:val="21"/>
                    </w:rPr>
                    <w:t>噪声</w:t>
                  </w:r>
                </w:p>
              </w:tc>
              <w:tc>
                <w:tcPr>
                  <w:tcW w:w="3117" w:type="pct"/>
                  <w:noWrap w:val="0"/>
                  <w:vAlign w:val="center"/>
                </w:tcPr>
                <w:p>
                  <w:pPr>
                    <w:jc w:val="center"/>
                    <w:rPr>
                      <w:bCs/>
                      <w:szCs w:val="21"/>
                    </w:rPr>
                  </w:pPr>
                  <w:r>
                    <w:rPr>
                      <w:rFonts w:hint="eastAsia" w:ascii="宋体" w:hAnsi="宋体"/>
                    </w:rPr>
                    <w:t>采用低噪声设备，设置临时声屏障，</w:t>
                  </w:r>
                  <w:r>
                    <w:rPr>
                      <w:rFonts w:hint="eastAsia"/>
                      <w:szCs w:val="21"/>
                    </w:rPr>
                    <w:t>施工机械的选用和维护</w:t>
                  </w:r>
                </w:p>
              </w:tc>
              <w:tc>
                <w:tcPr>
                  <w:tcW w:w="838" w:type="pct"/>
                  <w:noWrap w:val="0"/>
                  <w:vAlign w:val="center"/>
                </w:tcPr>
                <w:p>
                  <w:pPr>
                    <w:jc w:val="center"/>
                    <w:rPr>
                      <w:rFonts w:hint="eastAsia" w:hAnsi="宋体"/>
                      <w:szCs w:val="21"/>
                    </w:rPr>
                  </w:pPr>
                  <w:r>
                    <w:rPr>
                      <w:rFonts w:hint="eastAsia" w:hAnsi="宋体"/>
                      <w:szCs w:val="21"/>
                    </w:rPr>
                    <w:t>5</w:t>
                  </w:r>
                </w:p>
              </w:tc>
            </w:tr>
            <w:tr>
              <w:tblPrEx>
                <w:tblBorders>
                  <w:top w:val="single" w:color="000000" w:sz="12" w:space="0"/>
                  <w:left w:val="none" w:color="auto" w:sz="0" w:space="0"/>
                  <w:bottom w:val="single" w:color="000000"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76" w:type="pct"/>
                  <w:vMerge w:val="continue"/>
                  <w:noWrap w:val="0"/>
                  <w:vAlign w:val="center"/>
                </w:tcPr>
                <w:p>
                  <w:pPr>
                    <w:jc w:val="center"/>
                    <w:rPr>
                      <w:rFonts w:hint="eastAsia"/>
                      <w:szCs w:val="21"/>
                    </w:rPr>
                  </w:pPr>
                </w:p>
              </w:tc>
              <w:tc>
                <w:tcPr>
                  <w:tcW w:w="669" w:type="pct"/>
                  <w:noWrap w:val="0"/>
                  <w:vAlign w:val="center"/>
                </w:tcPr>
                <w:p>
                  <w:pPr>
                    <w:snapToGrid w:val="0"/>
                    <w:spacing w:line="300" w:lineRule="exact"/>
                    <w:jc w:val="center"/>
                    <w:rPr>
                      <w:rFonts w:hint="eastAsia"/>
                      <w:szCs w:val="21"/>
                    </w:rPr>
                  </w:pPr>
                  <w:r>
                    <w:rPr>
                      <w:szCs w:val="21"/>
                    </w:rPr>
                    <w:t>施工</w:t>
                  </w:r>
                  <w:r>
                    <w:rPr>
                      <w:rFonts w:hint="eastAsia"/>
                      <w:szCs w:val="21"/>
                    </w:rPr>
                    <w:t>扬尘</w:t>
                  </w:r>
                </w:p>
              </w:tc>
              <w:tc>
                <w:tcPr>
                  <w:tcW w:w="3117" w:type="pct"/>
                  <w:noWrap w:val="0"/>
                  <w:vAlign w:val="center"/>
                </w:tcPr>
                <w:p>
                  <w:pPr>
                    <w:jc w:val="center"/>
                    <w:rPr>
                      <w:bCs/>
                      <w:szCs w:val="21"/>
                    </w:rPr>
                  </w:pPr>
                  <w:r>
                    <w:rPr>
                      <w:rFonts w:hint="eastAsia" w:ascii="宋体" w:hAnsi="宋体"/>
                    </w:rPr>
                    <w:t>封闭或半封闭施工屏障，配备撒水车或撒水设施，</w:t>
                  </w:r>
                  <w:r>
                    <w:rPr>
                      <w:rFonts w:hint="eastAsia"/>
                      <w:szCs w:val="21"/>
                    </w:rPr>
                    <w:t>运输车辆设篷布，防止散落</w:t>
                  </w:r>
                </w:p>
              </w:tc>
              <w:tc>
                <w:tcPr>
                  <w:tcW w:w="838" w:type="pct"/>
                  <w:noWrap w:val="0"/>
                  <w:vAlign w:val="center"/>
                </w:tcPr>
                <w:p>
                  <w:pPr>
                    <w:jc w:val="center"/>
                    <w:rPr>
                      <w:rFonts w:hint="eastAsia" w:hAnsi="宋体"/>
                      <w:szCs w:val="21"/>
                    </w:rPr>
                  </w:pPr>
                  <w:r>
                    <w:rPr>
                      <w:rFonts w:hAnsi="宋体"/>
                      <w:szCs w:val="21"/>
                    </w:rPr>
                    <w:t>8</w:t>
                  </w:r>
                </w:p>
              </w:tc>
            </w:tr>
            <w:tr>
              <w:tblPrEx>
                <w:tblBorders>
                  <w:top w:val="single" w:color="000000" w:sz="12" w:space="0"/>
                  <w:left w:val="none" w:color="auto" w:sz="0" w:space="0"/>
                  <w:bottom w:val="single" w:color="000000"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76" w:type="pct"/>
                  <w:vMerge w:val="continue"/>
                  <w:noWrap w:val="0"/>
                  <w:vAlign w:val="center"/>
                </w:tcPr>
                <w:p>
                  <w:pPr>
                    <w:jc w:val="center"/>
                    <w:rPr>
                      <w:rFonts w:hint="eastAsia"/>
                      <w:szCs w:val="21"/>
                    </w:rPr>
                  </w:pPr>
                </w:p>
              </w:tc>
              <w:tc>
                <w:tcPr>
                  <w:tcW w:w="669" w:type="pct"/>
                  <w:noWrap w:val="0"/>
                  <w:vAlign w:val="center"/>
                </w:tcPr>
                <w:p>
                  <w:pPr>
                    <w:snapToGrid w:val="0"/>
                    <w:spacing w:line="300" w:lineRule="exact"/>
                    <w:jc w:val="center"/>
                    <w:rPr>
                      <w:rFonts w:hint="eastAsia"/>
                      <w:szCs w:val="21"/>
                    </w:rPr>
                  </w:pPr>
                  <w:r>
                    <w:rPr>
                      <w:rFonts w:hint="eastAsia"/>
                      <w:szCs w:val="21"/>
                    </w:rPr>
                    <w:t>施工废水</w:t>
                  </w:r>
                </w:p>
              </w:tc>
              <w:tc>
                <w:tcPr>
                  <w:tcW w:w="3117" w:type="pct"/>
                  <w:noWrap w:val="0"/>
                  <w:vAlign w:val="center"/>
                </w:tcPr>
                <w:p>
                  <w:pPr>
                    <w:jc w:val="center"/>
                    <w:rPr>
                      <w:bCs/>
                      <w:szCs w:val="21"/>
                    </w:rPr>
                  </w:pPr>
                  <w:r>
                    <w:rPr>
                      <w:rFonts w:hint="eastAsia" w:ascii="宋体" w:hAnsi="宋体"/>
                    </w:rPr>
                    <w:t>设置隔油沉砂池，施工人员使用周边已有公共卫生设施</w:t>
                  </w:r>
                  <w:r>
                    <w:rPr>
                      <w:bCs/>
                      <w:szCs w:val="21"/>
                    </w:rPr>
                    <w:t xml:space="preserve"> </w:t>
                  </w:r>
                </w:p>
              </w:tc>
              <w:tc>
                <w:tcPr>
                  <w:tcW w:w="838" w:type="pct"/>
                  <w:noWrap w:val="0"/>
                  <w:vAlign w:val="center"/>
                </w:tcPr>
                <w:p>
                  <w:pPr>
                    <w:jc w:val="center"/>
                    <w:rPr>
                      <w:rFonts w:hint="eastAsia" w:hAnsi="宋体"/>
                      <w:szCs w:val="21"/>
                    </w:rPr>
                  </w:pPr>
                  <w:r>
                    <w:rPr>
                      <w:rFonts w:hAnsi="宋体"/>
                      <w:szCs w:val="21"/>
                    </w:rPr>
                    <w:t>2</w:t>
                  </w:r>
                </w:p>
              </w:tc>
            </w:tr>
            <w:tr>
              <w:tblPrEx>
                <w:tblBorders>
                  <w:top w:val="single" w:color="000000" w:sz="12" w:space="0"/>
                  <w:left w:val="none" w:color="auto" w:sz="0" w:space="0"/>
                  <w:bottom w:val="single" w:color="000000"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76" w:type="pct"/>
                  <w:vMerge w:val="continue"/>
                  <w:noWrap w:val="0"/>
                  <w:vAlign w:val="center"/>
                </w:tcPr>
                <w:p>
                  <w:pPr>
                    <w:jc w:val="center"/>
                    <w:rPr>
                      <w:rFonts w:hint="eastAsia"/>
                      <w:szCs w:val="21"/>
                    </w:rPr>
                  </w:pPr>
                </w:p>
              </w:tc>
              <w:tc>
                <w:tcPr>
                  <w:tcW w:w="669" w:type="pct"/>
                  <w:noWrap w:val="0"/>
                  <w:vAlign w:val="center"/>
                </w:tcPr>
                <w:p>
                  <w:pPr>
                    <w:snapToGrid w:val="0"/>
                    <w:spacing w:line="300" w:lineRule="exact"/>
                    <w:jc w:val="center"/>
                    <w:rPr>
                      <w:rFonts w:hint="eastAsia"/>
                      <w:szCs w:val="21"/>
                    </w:rPr>
                  </w:pPr>
                  <w:r>
                    <w:rPr>
                      <w:rFonts w:hint="eastAsia"/>
                      <w:szCs w:val="21"/>
                    </w:rPr>
                    <w:t>固体</w:t>
                  </w:r>
                  <w:r>
                    <w:rPr>
                      <w:szCs w:val="21"/>
                    </w:rPr>
                    <w:t>废物</w:t>
                  </w:r>
                </w:p>
              </w:tc>
              <w:tc>
                <w:tcPr>
                  <w:tcW w:w="3117" w:type="pct"/>
                  <w:noWrap w:val="0"/>
                  <w:vAlign w:val="center"/>
                </w:tcPr>
                <w:p>
                  <w:pPr>
                    <w:autoSpaceDE w:val="0"/>
                    <w:autoSpaceDN w:val="0"/>
                    <w:adjustRightInd w:val="0"/>
                    <w:jc w:val="center"/>
                    <w:rPr>
                      <w:rFonts w:hint="eastAsia" w:ascii="宋体" w:hAnsi="宋体"/>
                    </w:rPr>
                  </w:pPr>
                  <w:r>
                    <w:rPr>
                      <w:rFonts w:hint="eastAsia" w:ascii="宋体" w:cs="宋体"/>
                      <w:kern w:val="0"/>
                      <w:szCs w:val="21"/>
                    </w:rPr>
                    <w:t>建筑垃圾、生活垃圾收运处理</w:t>
                  </w:r>
                </w:p>
              </w:tc>
              <w:tc>
                <w:tcPr>
                  <w:tcW w:w="838" w:type="pct"/>
                  <w:noWrap w:val="0"/>
                  <w:vAlign w:val="center"/>
                </w:tcPr>
                <w:p>
                  <w:pPr>
                    <w:jc w:val="center"/>
                    <w:rPr>
                      <w:rFonts w:hAnsi="宋体"/>
                      <w:szCs w:val="21"/>
                    </w:rPr>
                  </w:pPr>
                  <w:r>
                    <w:rPr>
                      <w:rFonts w:hAnsi="宋体"/>
                      <w:szCs w:val="21"/>
                    </w:rPr>
                    <w:t>2</w:t>
                  </w:r>
                </w:p>
              </w:tc>
            </w:tr>
            <w:tr>
              <w:tblPrEx>
                <w:tblBorders>
                  <w:top w:val="single" w:color="000000" w:sz="12" w:space="0"/>
                  <w:left w:val="none" w:color="auto" w:sz="0" w:space="0"/>
                  <w:bottom w:val="single" w:color="000000"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76" w:type="pct"/>
                  <w:vMerge w:val="restart"/>
                  <w:noWrap w:val="0"/>
                  <w:vAlign w:val="center"/>
                </w:tcPr>
                <w:p>
                  <w:pPr>
                    <w:jc w:val="center"/>
                    <w:rPr>
                      <w:rFonts w:hint="eastAsia"/>
                      <w:szCs w:val="21"/>
                    </w:rPr>
                  </w:pPr>
                  <w:r>
                    <w:rPr>
                      <w:rFonts w:hint="eastAsia"/>
                      <w:szCs w:val="21"/>
                    </w:rPr>
                    <w:t>运</w:t>
                  </w:r>
                </w:p>
                <w:p>
                  <w:pPr>
                    <w:jc w:val="center"/>
                    <w:rPr>
                      <w:rFonts w:hint="eastAsia"/>
                      <w:szCs w:val="21"/>
                    </w:rPr>
                  </w:pPr>
                  <w:r>
                    <w:rPr>
                      <w:rFonts w:hint="eastAsia"/>
                      <w:szCs w:val="21"/>
                    </w:rPr>
                    <w:t>营</w:t>
                  </w:r>
                </w:p>
                <w:p>
                  <w:pPr>
                    <w:jc w:val="center"/>
                    <w:rPr>
                      <w:rFonts w:hint="eastAsia"/>
                      <w:szCs w:val="21"/>
                    </w:rPr>
                  </w:pPr>
                  <w:r>
                    <w:rPr>
                      <w:rFonts w:hint="eastAsia"/>
                      <w:szCs w:val="21"/>
                    </w:rPr>
                    <w:t>期</w:t>
                  </w:r>
                </w:p>
              </w:tc>
              <w:tc>
                <w:tcPr>
                  <w:tcW w:w="669" w:type="pct"/>
                  <w:noWrap w:val="0"/>
                  <w:vAlign w:val="center"/>
                </w:tcPr>
                <w:p>
                  <w:pPr>
                    <w:jc w:val="center"/>
                    <w:rPr>
                      <w:szCs w:val="21"/>
                    </w:rPr>
                  </w:pPr>
                  <w:r>
                    <w:rPr>
                      <w:rFonts w:hint="eastAsia"/>
                      <w:szCs w:val="21"/>
                    </w:rPr>
                    <w:t>废气治理</w:t>
                  </w:r>
                </w:p>
              </w:tc>
              <w:tc>
                <w:tcPr>
                  <w:tcW w:w="3117" w:type="pct"/>
                  <w:noWrap w:val="0"/>
                  <w:vAlign w:val="center"/>
                </w:tcPr>
                <w:p>
                  <w:pPr>
                    <w:jc w:val="center"/>
                    <w:rPr>
                      <w:rFonts w:hint="eastAsia"/>
                      <w:szCs w:val="21"/>
                    </w:rPr>
                  </w:pPr>
                  <w:r>
                    <w:rPr>
                      <w:rFonts w:hint="eastAsia" w:hAnsi="宋体"/>
                      <w:szCs w:val="21"/>
                    </w:rPr>
                    <w:t>油气</w:t>
                  </w:r>
                  <w:r>
                    <w:rPr>
                      <w:rFonts w:hAnsi="宋体"/>
                      <w:szCs w:val="21"/>
                    </w:rPr>
                    <w:t>回收系统</w:t>
                  </w:r>
                </w:p>
              </w:tc>
              <w:tc>
                <w:tcPr>
                  <w:tcW w:w="838" w:type="pct"/>
                  <w:noWrap w:val="0"/>
                  <w:vAlign w:val="center"/>
                </w:tcPr>
                <w:p>
                  <w:pPr>
                    <w:jc w:val="center"/>
                    <w:rPr>
                      <w:szCs w:val="21"/>
                    </w:rPr>
                  </w:pPr>
                  <w:r>
                    <w:rPr>
                      <w:szCs w:val="21"/>
                    </w:rPr>
                    <w:t>5</w:t>
                  </w:r>
                </w:p>
              </w:tc>
            </w:tr>
            <w:tr>
              <w:tblPrEx>
                <w:tblBorders>
                  <w:top w:val="single" w:color="000000" w:sz="12" w:space="0"/>
                  <w:left w:val="none" w:color="auto" w:sz="0" w:space="0"/>
                  <w:bottom w:val="single" w:color="000000"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76" w:type="pct"/>
                  <w:vMerge w:val="continue"/>
                  <w:noWrap w:val="0"/>
                  <w:vAlign w:val="center"/>
                </w:tcPr>
                <w:p>
                  <w:pPr>
                    <w:jc w:val="center"/>
                    <w:rPr>
                      <w:rFonts w:hint="eastAsia"/>
                      <w:szCs w:val="21"/>
                    </w:rPr>
                  </w:pPr>
                </w:p>
              </w:tc>
              <w:tc>
                <w:tcPr>
                  <w:tcW w:w="669" w:type="pct"/>
                  <w:noWrap w:val="0"/>
                  <w:vAlign w:val="center"/>
                </w:tcPr>
                <w:p>
                  <w:pPr>
                    <w:jc w:val="center"/>
                    <w:rPr>
                      <w:rFonts w:hint="eastAsia"/>
                      <w:szCs w:val="21"/>
                    </w:rPr>
                  </w:pPr>
                  <w:r>
                    <w:rPr>
                      <w:rFonts w:hint="eastAsia"/>
                      <w:szCs w:val="21"/>
                    </w:rPr>
                    <w:t>废水</w:t>
                  </w:r>
                  <w:r>
                    <w:rPr>
                      <w:szCs w:val="21"/>
                    </w:rPr>
                    <w:t>治理</w:t>
                  </w:r>
                </w:p>
              </w:tc>
              <w:tc>
                <w:tcPr>
                  <w:tcW w:w="3117" w:type="pct"/>
                  <w:noWrap w:val="0"/>
                  <w:vAlign w:val="center"/>
                </w:tcPr>
                <w:p>
                  <w:pPr>
                    <w:jc w:val="center"/>
                    <w:rPr>
                      <w:rFonts w:hint="eastAsia" w:hAnsi="宋体"/>
                      <w:szCs w:val="21"/>
                    </w:rPr>
                  </w:pPr>
                  <w:r>
                    <w:rPr>
                      <w:rFonts w:hint="eastAsia"/>
                      <w:szCs w:val="21"/>
                    </w:rPr>
                    <w:t>化粪池、</w:t>
                  </w:r>
                  <w:r>
                    <w:rPr>
                      <w:szCs w:val="21"/>
                    </w:rPr>
                    <w:t>隔油沉淀池</w:t>
                  </w:r>
                  <w:r>
                    <w:rPr>
                      <w:rFonts w:hint="eastAsia"/>
                      <w:szCs w:val="21"/>
                    </w:rPr>
                    <w:t>、</w:t>
                  </w:r>
                  <w:r>
                    <w:rPr>
                      <w:szCs w:val="21"/>
                    </w:rPr>
                    <w:t>分区防渗处理、防渗监测装置</w:t>
                  </w:r>
                </w:p>
              </w:tc>
              <w:tc>
                <w:tcPr>
                  <w:tcW w:w="838" w:type="pct"/>
                  <w:noWrap w:val="0"/>
                  <w:vAlign w:val="center"/>
                </w:tcPr>
                <w:p>
                  <w:pPr>
                    <w:jc w:val="center"/>
                    <w:rPr>
                      <w:szCs w:val="21"/>
                    </w:rPr>
                  </w:pPr>
                  <w:r>
                    <w:rPr>
                      <w:szCs w:val="21"/>
                    </w:rPr>
                    <w:t>7</w:t>
                  </w:r>
                </w:p>
              </w:tc>
            </w:tr>
            <w:tr>
              <w:tblPrEx>
                <w:tblBorders>
                  <w:top w:val="single" w:color="000000" w:sz="12" w:space="0"/>
                  <w:left w:val="none" w:color="auto" w:sz="0" w:space="0"/>
                  <w:bottom w:val="single" w:color="000000"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76" w:type="pct"/>
                  <w:vMerge w:val="continue"/>
                  <w:noWrap w:val="0"/>
                  <w:vAlign w:val="center"/>
                </w:tcPr>
                <w:p>
                  <w:pPr>
                    <w:jc w:val="center"/>
                    <w:rPr>
                      <w:rFonts w:hint="eastAsia"/>
                      <w:szCs w:val="21"/>
                    </w:rPr>
                  </w:pPr>
                </w:p>
              </w:tc>
              <w:tc>
                <w:tcPr>
                  <w:tcW w:w="669" w:type="pct"/>
                  <w:noWrap w:val="0"/>
                  <w:vAlign w:val="center"/>
                </w:tcPr>
                <w:p>
                  <w:pPr>
                    <w:jc w:val="center"/>
                    <w:rPr>
                      <w:szCs w:val="21"/>
                    </w:rPr>
                  </w:pPr>
                  <w:r>
                    <w:rPr>
                      <w:rFonts w:hint="eastAsia" w:hAnsi="宋体"/>
                      <w:szCs w:val="21"/>
                    </w:rPr>
                    <w:t>噪声</w:t>
                  </w:r>
                  <w:r>
                    <w:rPr>
                      <w:rFonts w:hAnsi="宋体"/>
                      <w:szCs w:val="21"/>
                    </w:rPr>
                    <w:t>治理</w:t>
                  </w:r>
                </w:p>
              </w:tc>
              <w:tc>
                <w:tcPr>
                  <w:tcW w:w="3117" w:type="pct"/>
                  <w:noWrap w:val="0"/>
                  <w:vAlign w:val="center"/>
                </w:tcPr>
                <w:p>
                  <w:pPr>
                    <w:jc w:val="center"/>
                    <w:rPr>
                      <w:rFonts w:hint="eastAsia"/>
                      <w:szCs w:val="21"/>
                    </w:rPr>
                  </w:pPr>
                  <w:r>
                    <w:rPr>
                      <w:rFonts w:hint="eastAsia"/>
                      <w:szCs w:val="21"/>
                    </w:rPr>
                    <w:t>隔声、</w:t>
                  </w:r>
                  <w:r>
                    <w:rPr>
                      <w:szCs w:val="21"/>
                    </w:rPr>
                    <w:t>减振降噪措施</w:t>
                  </w:r>
                </w:p>
              </w:tc>
              <w:tc>
                <w:tcPr>
                  <w:tcW w:w="838" w:type="pct"/>
                  <w:noWrap w:val="0"/>
                  <w:vAlign w:val="center"/>
                </w:tcPr>
                <w:p>
                  <w:pPr>
                    <w:jc w:val="center"/>
                    <w:rPr>
                      <w:rFonts w:hint="eastAsia"/>
                      <w:szCs w:val="21"/>
                    </w:rPr>
                  </w:pPr>
                  <w:r>
                    <w:rPr>
                      <w:szCs w:val="21"/>
                    </w:rPr>
                    <w:t>5</w:t>
                  </w:r>
                </w:p>
              </w:tc>
            </w:tr>
            <w:tr>
              <w:tblPrEx>
                <w:tblBorders>
                  <w:top w:val="single" w:color="000000" w:sz="12" w:space="0"/>
                  <w:left w:val="none" w:color="auto" w:sz="0" w:space="0"/>
                  <w:bottom w:val="single" w:color="000000"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76" w:type="pct"/>
                  <w:vMerge w:val="continue"/>
                  <w:noWrap w:val="0"/>
                  <w:vAlign w:val="center"/>
                </w:tcPr>
                <w:p>
                  <w:pPr>
                    <w:jc w:val="center"/>
                    <w:rPr>
                      <w:rFonts w:hint="eastAsia"/>
                      <w:szCs w:val="21"/>
                    </w:rPr>
                  </w:pPr>
                </w:p>
              </w:tc>
              <w:tc>
                <w:tcPr>
                  <w:tcW w:w="669" w:type="pct"/>
                  <w:noWrap w:val="0"/>
                  <w:vAlign w:val="center"/>
                </w:tcPr>
                <w:p>
                  <w:pPr>
                    <w:jc w:val="center"/>
                    <w:rPr>
                      <w:rFonts w:hint="eastAsia" w:hAnsi="宋体"/>
                      <w:szCs w:val="21"/>
                    </w:rPr>
                  </w:pPr>
                  <w:r>
                    <w:rPr>
                      <w:szCs w:val="21"/>
                    </w:rPr>
                    <w:t>固体废物</w:t>
                  </w:r>
                </w:p>
              </w:tc>
              <w:tc>
                <w:tcPr>
                  <w:tcW w:w="3117" w:type="pct"/>
                  <w:noWrap w:val="0"/>
                  <w:vAlign w:val="center"/>
                </w:tcPr>
                <w:p>
                  <w:pPr>
                    <w:jc w:val="center"/>
                    <w:rPr>
                      <w:rFonts w:hint="eastAsia" w:eastAsia="宋体"/>
                      <w:szCs w:val="21"/>
                      <w:lang w:eastAsia="zh-CN"/>
                    </w:rPr>
                  </w:pPr>
                  <w:r>
                    <w:rPr>
                      <w:rFonts w:hint="eastAsia"/>
                      <w:szCs w:val="21"/>
                    </w:rPr>
                    <w:t>垃圾桶</w:t>
                  </w:r>
                  <w:r>
                    <w:rPr>
                      <w:szCs w:val="21"/>
                    </w:rPr>
                    <w:t>、</w:t>
                  </w:r>
                  <w:r>
                    <w:rPr>
                      <w:rFonts w:hint="eastAsia"/>
                      <w:szCs w:val="21"/>
                      <w:highlight w:val="none"/>
                    </w:rPr>
                    <w:t>危险</w:t>
                  </w:r>
                  <w:r>
                    <w:rPr>
                      <w:szCs w:val="21"/>
                      <w:highlight w:val="none"/>
                    </w:rPr>
                    <w:t>废物</w:t>
                  </w:r>
                  <w:r>
                    <w:rPr>
                      <w:rFonts w:hint="eastAsia"/>
                      <w:szCs w:val="21"/>
                      <w:highlight w:val="none"/>
                      <w:lang w:eastAsia="zh-CN"/>
                    </w:rPr>
                    <w:t>处置</w:t>
                  </w:r>
                </w:p>
              </w:tc>
              <w:tc>
                <w:tcPr>
                  <w:tcW w:w="838" w:type="pct"/>
                  <w:noWrap w:val="0"/>
                  <w:vAlign w:val="center"/>
                </w:tcPr>
                <w:p>
                  <w:pPr>
                    <w:jc w:val="center"/>
                    <w:rPr>
                      <w:rFonts w:hint="eastAsia"/>
                      <w:szCs w:val="21"/>
                    </w:rPr>
                  </w:pPr>
                  <w:r>
                    <w:rPr>
                      <w:szCs w:val="21"/>
                    </w:rPr>
                    <w:t>2</w:t>
                  </w:r>
                </w:p>
              </w:tc>
            </w:tr>
            <w:tr>
              <w:tblPrEx>
                <w:tblBorders>
                  <w:top w:val="single" w:color="000000" w:sz="12" w:space="0"/>
                  <w:left w:val="none" w:color="auto" w:sz="0" w:space="0"/>
                  <w:bottom w:val="single" w:color="000000"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376" w:type="pct"/>
                  <w:vMerge w:val="continue"/>
                  <w:noWrap w:val="0"/>
                  <w:vAlign w:val="center"/>
                </w:tcPr>
                <w:p>
                  <w:pPr>
                    <w:jc w:val="center"/>
                    <w:rPr>
                      <w:rFonts w:hint="eastAsia"/>
                      <w:szCs w:val="21"/>
                    </w:rPr>
                  </w:pPr>
                </w:p>
              </w:tc>
              <w:tc>
                <w:tcPr>
                  <w:tcW w:w="669" w:type="pct"/>
                  <w:noWrap w:val="0"/>
                  <w:vAlign w:val="center"/>
                </w:tcPr>
                <w:p>
                  <w:pPr>
                    <w:jc w:val="center"/>
                    <w:rPr>
                      <w:rFonts w:hAnsi="宋体"/>
                      <w:szCs w:val="21"/>
                    </w:rPr>
                  </w:pPr>
                  <w:r>
                    <w:rPr>
                      <w:rFonts w:hint="eastAsia" w:hAnsi="宋体"/>
                      <w:szCs w:val="21"/>
                    </w:rPr>
                    <w:t>环境风险</w:t>
                  </w:r>
                </w:p>
              </w:tc>
              <w:tc>
                <w:tcPr>
                  <w:tcW w:w="3117" w:type="pct"/>
                  <w:noWrap w:val="0"/>
                  <w:vAlign w:val="center"/>
                </w:tcPr>
                <w:p>
                  <w:pPr>
                    <w:autoSpaceDE w:val="0"/>
                    <w:autoSpaceDN w:val="0"/>
                    <w:adjustRightInd w:val="0"/>
                    <w:jc w:val="left"/>
                    <w:rPr>
                      <w:rFonts w:ascii="宋体" w:cs="宋体"/>
                      <w:kern w:val="0"/>
                      <w:szCs w:val="21"/>
                    </w:rPr>
                  </w:pPr>
                  <w:r>
                    <w:rPr>
                      <w:rFonts w:hint="eastAsia" w:ascii="宋体" w:cs="宋体"/>
                      <w:kern w:val="0"/>
                      <w:szCs w:val="21"/>
                    </w:rPr>
                    <w:t>设置风向标、安全警示标志、可燃气体报警仪等；配置灭</w:t>
                  </w:r>
                </w:p>
                <w:p>
                  <w:pPr>
                    <w:autoSpaceDE w:val="0"/>
                    <w:autoSpaceDN w:val="0"/>
                    <w:adjustRightInd w:val="0"/>
                    <w:jc w:val="left"/>
                    <w:rPr>
                      <w:rFonts w:hint="eastAsia" w:hAnsi="宋体"/>
                      <w:szCs w:val="21"/>
                    </w:rPr>
                  </w:pPr>
                  <w:r>
                    <w:rPr>
                      <w:rFonts w:hint="eastAsia" w:ascii="宋体" w:cs="宋体"/>
                      <w:kern w:val="0"/>
                      <w:szCs w:val="21"/>
                    </w:rPr>
                    <w:t>火器等消防设施；编制应急预案；加强宣传等。</w:t>
                  </w:r>
                </w:p>
              </w:tc>
              <w:tc>
                <w:tcPr>
                  <w:tcW w:w="838" w:type="pct"/>
                  <w:noWrap w:val="0"/>
                  <w:vAlign w:val="center"/>
                </w:tcPr>
                <w:p>
                  <w:pPr>
                    <w:jc w:val="center"/>
                    <w:rPr>
                      <w:rFonts w:hint="eastAsia"/>
                      <w:szCs w:val="21"/>
                    </w:rPr>
                  </w:pPr>
                  <w:r>
                    <w:rPr>
                      <w:szCs w:val="21"/>
                    </w:rPr>
                    <w:t>5</w:t>
                  </w:r>
                </w:p>
              </w:tc>
            </w:tr>
            <w:tr>
              <w:tblPrEx>
                <w:tblBorders>
                  <w:top w:val="single" w:color="000000" w:sz="12" w:space="0"/>
                  <w:left w:val="none" w:color="auto" w:sz="0" w:space="0"/>
                  <w:bottom w:val="single" w:color="000000"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trPr>
              <w:tc>
                <w:tcPr>
                  <w:tcW w:w="4162" w:type="pct"/>
                  <w:gridSpan w:val="3"/>
                  <w:noWrap w:val="0"/>
                  <w:vAlign w:val="center"/>
                </w:tcPr>
                <w:p>
                  <w:pPr>
                    <w:jc w:val="center"/>
                    <w:rPr>
                      <w:rFonts w:hAnsi="宋体"/>
                      <w:szCs w:val="21"/>
                    </w:rPr>
                  </w:pPr>
                  <w:r>
                    <w:rPr>
                      <w:rFonts w:hAnsi="宋体"/>
                      <w:szCs w:val="21"/>
                    </w:rPr>
                    <w:t>合计</w:t>
                  </w:r>
                </w:p>
              </w:tc>
              <w:tc>
                <w:tcPr>
                  <w:tcW w:w="838" w:type="pct"/>
                  <w:noWrap w:val="0"/>
                  <w:vAlign w:val="center"/>
                </w:tcPr>
                <w:p>
                  <w:pPr>
                    <w:jc w:val="center"/>
                    <w:rPr>
                      <w:rFonts w:hint="eastAsia"/>
                      <w:szCs w:val="21"/>
                    </w:rPr>
                  </w:pPr>
                  <w:r>
                    <w:rPr>
                      <w:szCs w:val="21"/>
                    </w:rPr>
                    <w:t>41</w:t>
                  </w:r>
                </w:p>
              </w:tc>
            </w:tr>
          </w:tbl>
          <w:p>
            <w:pPr>
              <w:spacing w:line="360" w:lineRule="auto"/>
              <w:ind w:firstLine="482" w:firstLineChars="200"/>
              <w:rPr>
                <w:b/>
                <w:bCs/>
                <w:color w:val="000000"/>
                <w:sz w:val="24"/>
                <w:highlight w:val="none"/>
              </w:rPr>
            </w:pPr>
            <w:r>
              <w:rPr>
                <w:rFonts w:hint="eastAsia"/>
                <w:b/>
                <w:bCs/>
                <w:color w:val="000000"/>
                <w:sz w:val="24"/>
                <w:highlight w:val="none"/>
              </w:rPr>
              <w:t>7、项目变动情况</w:t>
            </w:r>
          </w:p>
          <w:p>
            <w:pPr>
              <w:pStyle w:val="2"/>
              <w:spacing w:line="360" w:lineRule="auto"/>
              <w:ind w:left="0" w:leftChars="0" w:firstLine="480" w:firstLineChars="200"/>
            </w:pPr>
            <w:r>
              <w:rPr>
                <w:rFonts w:hint="eastAsia"/>
                <w:bCs/>
                <w:color w:val="000000"/>
                <w:sz w:val="24"/>
                <w:highlight w:val="none"/>
                <w:lang w:eastAsia="zh-CN"/>
              </w:rPr>
              <w:t>与该项目环评设计对比，实际加油站没有建设洗车房，不提供洗车服务，没有新增污染源和污染量；项目其他建设与环评设计基本一致，无重大变动。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8" w:hRule="atLeast"/>
          <w:jc w:val="center"/>
        </w:trPr>
        <w:tc>
          <w:tcPr>
            <w:tcW w:w="9459" w:type="dxa"/>
            <w:vAlign w:val="center"/>
          </w:tcPr>
          <w:p>
            <w:pPr>
              <w:spacing w:line="360" w:lineRule="auto"/>
              <w:ind w:firstLine="562" w:firstLineChars="200"/>
              <w:jc w:val="left"/>
              <w:rPr>
                <w:b/>
                <w:bCs/>
                <w:sz w:val="28"/>
                <w:szCs w:val="28"/>
              </w:rPr>
            </w:pPr>
            <w:r>
              <w:rPr>
                <w:rFonts w:hint="eastAsia"/>
                <w:b/>
                <w:bCs/>
                <w:sz w:val="28"/>
                <w:szCs w:val="28"/>
              </w:rPr>
              <w:t>项目石油销售及水平衡：</w:t>
            </w:r>
          </w:p>
          <w:p>
            <w:pPr>
              <w:spacing w:line="360" w:lineRule="auto"/>
              <w:ind w:firstLine="480" w:firstLineChars="200"/>
              <w:jc w:val="left"/>
              <w:rPr>
                <w:sz w:val="24"/>
                <w:szCs w:val="24"/>
              </w:rPr>
            </w:pPr>
            <w:r>
              <w:rPr>
                <w:rFonts w:hint="eastAsia"/>
                <w:sz w:val="24"/>
                <w:szCs w:val="24"/>
              </w:rPr>
              <w:t>1、项目石油销售用量</w:t>
            </w:r>
          </w:p>
          <w:p>
            <w:pPr>
              <w:spacing w:line="360" w:lineRule="auto"/>
              <w:ind w:firstLine="480" w:firstLineChars="200"/>
              <w:jc w:val="left"/>
              <w:rPr>
                <w:sz w:val="24"/>
                <w:szCs w:val="24"/>
              </w:rPr>
            </w:pPr>
            <w:r>
              <w:rPr>
                <w:sz w:val="24"/>
                <w:szCs w:val="24"/>
              </w:rPr>
              <w:t>本项目</w:t>
            </w:r>
            <w:r>
              <w:rPr>
                <w:rFonts w:hint="eastAsia"/>
                <w:sz w:val="24"/>
                <w:szCs w:val="24"/>
              </w:rPr>
              <w:t>石油销售</w:t>
            </w:r>
            <w:r>
              <w:rPr>
                <w:sz w:val="24"/>
                <w:szCs w:val="24"/>
              </w:rPr>
              <w:t>情况见表</w:t>
            </w:r>
            <w:r>
              <w:rPr>
                <w:rFonts w:hint="eastAsia"/>
                <w:sz w:val="24"/>
                <w:szCs w:val="24"/>
              </w:rPr>
              <w:t>2-4</w:t>
            </w:r>
            <w:r>
              <w:rPr>
                <w:sz w:val="24"/>
                <w:szCs w:val="24"/>
              </w:rPr>
              <w:t>。</w:t>
            </w:r>
          </w:p>
          <w:p>
            <w:pPr>
              <w:adjustRightInd w:val="0"/>
              <w:snapToGrid w:val="0"/>
              <w:spacing w:line="360" w:lineRule="auto"/>
              <w:jc w:val="center"/>
              <w:rPr>
                <w:sz w:val="24"/>
                <w:szCs w:val="24"/>
              </w:rPr>
            </w:pPr>
            <w:r>
              <w:rPr>
                <w:sz w:val="24"/>
                <w:szCs w:val="24"/>
              </w:rPr>
              <w:t>表</w:t>
            </w:r>
            <w:r>
              <w:rPr>
                <w:rFonts w:hint="eastAsia"/>
                <w:sz w:val="24"/>
                <w:szCs w:val="24"/>
              </w:rPr>
              <w:t>2-4</w:t>
            </w:r>
            <w:r>
              <w:rPr>
                <w:sz w:val="24"/>
                <w:szCs w:val="24"/>
              </w:rPr>
              <w:t xml:space="preserve">  </w:t>
            </w:r>
            <w:r>
              <w:rPr>
                <w:rFonts w:hint="eastAsia"/>
                <w:sz w:val="24"/>
                <w:szCs w:val="24"/>
              </w:rPr>
              <w:t>项目石油销售情况</w:t>
            </w:r>
            <w:r>
              <w:rPr>
                <w:sz w:val="24"/>
                <w:szCs w:val="24"/>
              </w:rPr>
              <w:t>表</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351"/>
              <w:gridCol w:w="1095"/>
              <w:gridCol w:w="1984"/>
              <w:gridCol w:w="2126"/>
              <w:gridCol w:w="198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54" w:hRule="atLeast"/>
                <w:jc w:val="center"/>
              </w:trPr>
              <w:tc>
                <w:tcPr>
                  <w:tcW w:w="1351" w:type="dxa"/>
                  <w:vAlign w:val="center"/>
                </w:tcPr>
                <w:p>
                  <w:pPr>
                    <w:jc w:val="center"/>
                    <w:rPr>
                      <w:sz w:val="24"/>
                      <w:szCs w:val="24"/>
                    </w:rPr>
                  </w:pPr>
                  <w:r>
                    <w:rPr>
                      <w:rFonts w:hint="eastAsia"/>
                      <w:sz w:val="24"/>
                      <w:szCs w:val="24"/>
                    </w:rPr>
                    <w:t>序号</w:t>
                  </w:r>
                </w:p>
              </w:tc>
              <w:tc>
                <w:tcPr>
                  <w:tcW w:w="1095" w:type="dxa"/>
                  <w:vAlign w:val="center"/>
                </w:tcPr>
                <w:p>
                  <w:pPr>
                    <w:jc w:val="center"/>
                    <w:rPr>
                      <w:sz w:val="24"/>
                      <w:szCs w:val="24"/>
                    </w:rPr>
                  </w:pPr>
                  <w:r>
                    <w:rPr>
                      <w:sz w:val="24"/>
                      <w:szCs w:val="24"/>
                    </w:rPr>
                    <w:t>名称</w:t>
                  </w:r>
                </w:p>
              </w:tc>
              <w:tc>
                <w:tcPr>
                  <w:tcW w:w="1984" w:type="dxa"/>
                  <w:vAlign w:val="center"/>
                </w:tcPr>
                <w:p>
                  <w:pPr>
                    <w:jc w:val="center"/>
                    <w:rPr>
                      <w:sz w:val="24"/>
                      <w:szCs w:val="24"/>
                    </w:rPr>
                  </w:pPr>
                  <w:r>
                    <w:rPr>
                      <w:rFonts w:hint="eastAsia"/>
                      <w:sz w:val="24"/>
                      <w:szCs w:val="24"/>
                    </w:rPr>
                    <w:t>环评设计</w:t>
                  </w:r>
                  <w:r>
                    <w:rPr>
                      <w:sz w:val="24"/>
                      <w:szCs w:val="24"/>
                    </w:rPr>
                    <w:t>年</w:t>
                  </w:r>
                  <w:r>
                    <w:rPr>
                      <w:rFonts w:hint="eastAsia"/>
                      <w:sz w:val="24"/>
                      <w:szCs w:val="24"/>
                    </w:rPr>
                    <w:t>销售量</w:t>
                  </w:r>
                </w:p>
              </w:tc>
              <w:tc>
                <w:tcPr>
                  <w:tcW w:w="2126" w:type="dxa"/>
                  <w:vAlign w:val="center"/>
                </w:tcPr>
                <w:p>
                  <w:pPr>
                    <w:jc w:val="center"/>
                    <w:rPr>
                      <w:sz w:val="24"/>
                      <w:szCs w:val="24"/>
                    </w:rPr>
                  </w:pPr>
                  <w:r>
                    <w:rPr>
                      <w:sz w:val="24"/>
                      <w:szCs w:val="24"/>
                    </w:rPr>
                    <w:t>来源</w:t>
                  </w:r>
                </w:p>
              </w:tc>
              <w:tc>
                <w:tcPr>
                  <w:tcW w:w="1984" w:type="dxa"/>
                  <w:vAlign w:val="center"/>
                </w:tcPr>
                <w:p>
                  <w:pPr>
                    <w:jc w:val="center"/>
                    <w:rPr>
                      <w:sz w:val="24"/>
                      <w:szCs w:val="24"/>
                    </w:rPr>
                  </w:pPr>
                  <w:r>
                    <w:rPr>
                      <w:rFonts w:hint="eastAsia"/>
                      <w:sz w:val="24"/>
                      <w:szCs w:val="24"/>
                    </w:rPr>
                    <w:t>实际销售能力</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54" w:hRule="atLeast"/>
                <w:jc w:val="center"/>
              </w:trPr>
              <w:tc>
                <w:tcPr>
                  <w:tcW w:w="1351" w:type="dxa"/>
                  <w:vAlign w:val="center"/>
                </w:tcPr>
                <w:p>
                  <w:pPr>
                    <w:jc w:val="center"/>
                    <w:rPr>
                      <w:sz w:val="24"/>
                      <w:szCs w:val="24"/>
                    </w:rPr>
                  </w:pPr>
                  <w:r>
                    <w:rPr>
                      <w:rFonts w:hint="eastAsia"/>
                      <w:sz w:val="24"/>
                      <w:szCs w:val="24"/>
                    </w:rPr>
                    <w:t>1</w:t>
                  </w:r>
                </w:p>
              </w:tc>
              <w:tc>
                <w:tcPr>
                  <w:tcW w:w="1095" w:type="dxa"/>
                  <w:vAlign w:val="center"/>
                </w:tcPr>
                <w:p>
                  <w:pPr>
                    <w:jc w:val="center"/>
                    <w:rPr>
                      <w:sz w:val="24"/>
                      <w:szCs w:val="24"/>
                    </w:rPr>
                  </w:pPr>
                  <w:r>
                    <w:rPr>
                      <w:rFonts w:hint="eastAsia"/>
                      <w:sz w:val="24"/>
                      <w:szCs w:val="24"/>
                    </w:rPr>
                    <w:t>柴油</w:t>
                  </w:r>
                </w:p>
              </w:tc>
              <w:tc>
                <w:tcPr>
                  <w:tcW w:w="1984" w:type="dxa"/>
                  <w:vAlign w:val="center"/>
                </w:tcPr>
                <w:p>
                  <w:pPr>
                    <w:jc w:val="center"/>
                    <w:rPr>
                      <w:sz w:val="24"/>
                      <w:szCs w:val="24"/>
                    </w:rPr>
                  </w:pPr>
                  <w:r>
                    <w:rPr>
                      <w:rFonts w:hint="eastAsia"/>
                      <w:sz w:val="24"/>
                      <w:szCs w:val="24"/>
                      <w:lang w:val="en-US" w:eastAsia="zh-CN"/>
                    </w:rPr>
                    <w:t>660</w:t>
                  </w:r>
                  <w:r>
                    <w:rPr>
                      <w:rFonts w:hint="eastAsia"/>
                      <w:sz w:val="24"/>
                      <w:szCs w:val="24"/>
                    </w:rPr>
                    <w:t>t/a</w:t>
                  </w:r>
                </w:p>
              </w:tc>
              <w:tc>
                <w:tcPr>
                  <w:tcW w:w="2126" w:type="dxa"/>
                  <w:vAlign w:val="center"/>
                </w:tcPr>
                <w:p>
                  <w:pPr>
                    <w:jc w:val="center"/>
                    <w:rPr>
                      <w:sz w:val="24"/>
                      <w:szCs w:val="24"/>
                    </w:rPr>
                  </w:pPr>
                  <w:r>
                    <w:rPr>
                      <w:rFonts w:hint="eastAsia"/>
                      <w:sz w:val="24"/>
                      <w:szCs w:val="24"/>
                    </w:rPr>
                    <w:t>中国石化</w:t>
                  </w:r>
                </w:p>
              </w:tc>
              <w:tc>
                <w:tcPr>
                  <w:tcW w:w="1984" w:type="dxa"/>
                  <w:vAlign w:val="center"/>
                </w:tcPr>
                <w:p>
                  <w:pPr>
                    <w:jc w:val="center"/>
                    <w:rPr>
                      <w:sz w:val="24"/>
                      <w:szCs w:val="24"/>
                    </w:rPr>
                  </w:pPr>
                  <w:r>
                    <w:rPr>
                      <w:rFonts w:hint="eastAsia"/>
                      <w:sz w:val="24"/>
                      <w:szCs w:val="24"/>
                      <w:lang w:val="en-US" w:eastAsia="zh-CN"/>
                    </w:rPr>
                    <w:t>660</w:t>
                  </w:r>
                  <w:r>
                    <w:rPr>
                      <w:rFonts w:hint="eastAsia"/>
                      <w:sz w:val="24"/>
                      <w:szCs w:val="24"/>
                    </w:rPr>
                    <w:t>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454" w:hRule="atLeast"/>
                <w:jc w:val="center"/>
              </w:trPr>
              <w:tc>
                <w:tcPr>
                  <w:tcW w:w="1351" w:type="dxa"/>
                  <w:vAlign w:val="center"/>
                </w:tcPr>
                <w:p>
                  <w:pPr>
                    <w:jc w:val="center"/>
                    <w:rPr>
                      <w:sz w:val="24"/>
                      <w:szCs w:val="24"/>
                    </w:rPr>
                  </w:pPr>
                  <w:r>
                    <w:rPr>
                      <w:rFonts w:hint="eastAsia"/>
                      <w:sz w:val="24"/>
                      <w:szCs w:val="24"/>
                    </w:rPr>
                    <w:t>2</w:t>
                  </w:r>
                </w:p>
              </w:tc>
              <w:tc>
                <w:tcPr>
                  <w:tcW w:w="1095" w:type="dxa"/>
                  <w:vAlign w:val="center"/>
                </w:tcPr>
                <w:p>
                  <w:pPr>
                    <w:jc w:val="center"/>
                    <w:rPr>
                      <w:sz w:val="24"/>
                      <w:szCs w:val="24"/>
                    </w:rPr>
                  </w:pPr>
                  <w:r>
                    <w:rPr>
                      <w:rFonts w:hint="eastAsia"/>
                      <w:sz w:val="24"/>
                      <w:szCs w:val="24"/>
                    </w:rPr>
                    <w:t>汽油</w:t>
                  </w:r>
                </w:p>
              </w:tc>
              <w:tc>
                <w:tcPr>
                  <w:tcW w:w="1984" w:type="dxa"/>
                  <w:vAlign w:val="center"/>
                </w:tcPr>
                <w:p>
                  <w:pPr>
                    <w:jc w:val="center"/>
                    <w:rPr>
                      <w:sz w:val="24"/>
                      <w:szCs w:val="24"/>
                    </w:rPr>
                  </w:pPr>
                  <w:r>
                    <w:rPr>
                      <w:rFonts w:hint="eastAsia"/>
                      <w:sz w:val="24"/>
                      <w:szCs w:val="24"/>
                      <w:lang w:val="en-US" w:eastAsia="zh-CN"/>
                    </w:rPr>
                    <w:t>1540</w:t>
                  </w:r>
                  <w:r>
                    <w:rPr>
                      <w:rFonts w:hint="eastAsia"/>
                      <w:sz w:val="24"/>
                      <w:szCs w:val="24"/>
                    </w:rPr>
                    <w:t>t/a</w:t>
                  </w:r>
                </w:p>
              </w:tc>
              <w:tc>
                <w:tcPr>
                  <w:tcW w:w="2126" w:type="dxa"/>
                  <w:vAlign w:val="center"/>
                </w:tcPr>
                <w:p>
                  <w:pPr>
                    <w:jc w:val="center"/>
                    <w:rPr>
                      <w:sz w:val="24"/>
                      <w:szCs w:val="24"/>
                    </w:rPr>
                  </w:pPr>
                  <w:r>
                    <w:rPr>
                      <w:rFonts w:hint="eastAsia"/>
                      <w:sz w:val="24"/>
                      <w:szCs w:val="24"/>
                    </w:rPr>
                    <w:t>中国石化</w:t>
                  </w:r>
                </w:p>
              </w:tc>
              <w:tc>
                <w:tcPr>
                  <w:tcW w:w="1984" w:type="dxa"/>
                  <w:vAlign w:val="center"/>
                </w:tcPr>
                <w:p>
                  <w:pPr>
                    <w:jc w:val="center"/>
                    <w:rPr>
                      <w:sz w:val="24"/>
                      <w:szCs w:val="24"/>
                    </w:rPr>
                  </w:pPr>
                  <w:r>
                    <w:rPr>
                      <w:rFonts w:hint="eastAsia"/>
                      <w:sz w:val="24"/>
                      <w:szCs w:val="24"/>
                      <w:lang w:val="en-US" w:eastAsia="zh-CN"/>
                    </w:rPr>
                    <w:t>1540</w:t>
                  </w:r>
                  <w:r>
                    <w:rPr>
                      <w:rFonts w:hint="eastAsia"/>
                      <w:sz w:val="24"/>
                      <w:szCs w:val="24"/>
                    </w:rPr>
                    <w:t>t/a</w:t>
                  </w:r>
                </w:p>
              </w:tc>
            </w:tr>
          </w:tbl>
          <w:p>
            <w:pPr>
              <w:spacing w:line="360" w:lineRule="auto"/>
              <w:ind w:firstLine="480" w:firstLineChars="200"/>
              <w:jc w:val="left"/>
              <w:rPr>
                <w:sz w:val="24"/>
                <w:szCs w:val="24"/>
              </w:rPr>
            </w:pPr>
            <w:r>
              <w:rPr>
                <w:rFonts w:hint="eastAsia"/>
                <w:sz w:val="24"/>
                <w:szCs w:val="24"/>
              </w:rPr>
              <w:t>2、水源及水平衡</w:t>
            </w:r>
          </w:p>
          <w:p>
            <w:pPr>
              <w:pStyle w:val="69"/>
              <w:ind w:firstLine="480"/>
              <w:rPr>
                <w:sz w:val="24"/>
                <w:szCs w:val="24"/>
              </w:rPr>
            </w:pPr>
            <w:r>
              <w:rPr>
                <w:rFonts w:hint="eastAsia"/>
                <w:sz w:val="24"/>
                <w:szCs w:val="24"/>
              </w:rPr>
              <w:t>本项目营运期污水主要为员工、来往车辆生活污水，地面冲洗废水。</w:t>
            </w:r>
          </w:p>
          <w:p>
            <w:pPr>
              <w:pStyle w:val="69"/>
              <w:ind w:firstLine="480"/>
              <w:rPr>
                <w:sz w:val="24"/>
                <w:szCs w:val="24"/>
              </w:rPr>
            </w:pPr>
            <w:r>
              <w:rPr>
                <w:rFonts w:hint="eastAsia"/>
                <w:sz w:val="24"/>
                <w:szCs w:val="24"/>
              </w:rPr>
              <w:t>（1</w:t>
            </w:r>
            <w:r>
              <w:rPr>
                <w:sz w:val="24"/>
                <w:szCs w:val="24"/>
              </w:rPr>
              <w:t>）生活污水</w:t>
            </w:r>
          </w:p>
          <w:p>
            <w:pPr>
              <w:spacing w:line="360" w:lineRule="auto"/>
              <w:ind w:firstLine="480" w:firstLineChars="200"/>
              <w:rPr>
                <w:rFonts w:hint="eastAsia"/>
                <w:sz w:val="24"/>
                <w:szCs w:val="24"/>
              </w:rPr>
            </w:pPr>
            <w:r>
              <w:rPr>
                <w:rFonts w:hint="eastAsia"/>
                <w:sz w:val="24"/>
                <w:szCs w:val="24"/>
              </w:rPr>
              <w:t>根据</w:t>
            </w:r>
            <w:r>
              <w:rPr>
                <w:rFonts w:hint="eastAsia"/>
                <w:sz w:val="24"/>
                <w:szCs w:val="24"/>
                <w:lang w:eastAsia="zh-CN"/>
              </w:rPr>
              <w:t>现场勘查</w:t>
            </w:r>
            <w:r>
              <w:rPr>
                <w:rFonts w:hint="eastAsia"/>
                <w:sz w:val="24"/>
                <w:szCs w:val="24"/>
              </w:rPr>
              <w:t>，本项目工作人员有</w:t>
            </w:r>
            <w:r>
              <w:rPr>
                <w:rFonts w:hint="eastAsia"/>
                <w:sz w:val="24"/>
                <w:szCs w:val="24"/>
                <w:lang w:val="en-US" w:eastAsia="zh-CN"/>
              </w:rPr>
              <w:t>3</w:t>
            </w:r>
            <w:r>
              <w:rPr>
                <w:rFonts w:hint="eastAsia"/>
                <w:sz w:val="24"/>
                <w:szCs w:val="24"/>
              </w:rPr>
              <w:t>人，用水标准按照《江西省城市生活用水定额》（DB36/T419-2011）中系数计算，员工用水量为110L/d·人，排放量按产生量的80% 计；站场客流量最高日按</w:t>
            </w:r>
            <w:r>
              <w:rPr>
                <w:sz w:val="24"/>
                <w:szCs w:val="24"/>
              </w:rPr>
              <w:t>2</w:t>
            </w:r>
            <w:r>
              <w:rPr>
                <w:rFonts w:hint="eastAsia"/>
                <w:sz w:val="24"/>
                <w:szCs w:val="24"/>
              </w:rPr>
              <w:t>00 人/日，用水量按10L/人次·天计；排放量按产生量的80%计。</w:t>
            </w:r>
          </w:p>
          <w:p>
            <w:pPr>
              <w:spacing w:line="360" w:lineRule="auto"/>
              <w:ind w:firstLine="480" w:firstLineChars="200"/>
              <w:rPr>
                <w:sz w:val="24"/>
                <w:szCs w:val="24"/>
              </w:rPr>
            </w:pPr>
            <w:r>
              <w:rPr>
                <w:rFonts w:hint="eastAsia"/>
                <w:sz w:val="24"/>
                <w:szCs w:val="24"/>
              </w:rPr>
              <w:t>经计算，项目日用水量为</w:t>
            </w:r>
            <w:r>
              <w:rPr>
                <w:sz w:val="24"/>
                <w:szCs w:val="24"/>
              </w:rPr>
              <w:t>2.</w:t>
            </w:r>
            <w:r>
              <w:rPr>
                <w:rFonts w:hint="eastAsia"/>
                <w:sz w:val="24"/>
                <w:szCs w:val="24"/>
                <w:lang w:val="en-US" w:eastAsia="zh-CN"/>
              </w:rPr>
              <w:t>33</w:t>
            </w:r>
            <w:r>
              <w:rPr>
                <w:rFonts w:hint="eastAsia"/>
                <w:sz w:val="24"/>
                <w:szCs w:val="24"/>
              </w:rPr>
              <w:t>t，日废水排放量为</w:t>
            </w:r>
            <w:r>
              <w:rPr>
                <w:rFonts w:hint="eastAsia"/>
                <w:sz w:val="24"/>
                <w:szCs w:val="24"/>
                <w:lang w:val="en-US" w:eastAsia="zh-CN"/>
              </w:rPr>
              <w:t>1.864</w:t>
            </w:r>
            <w:r>
              <w:rPr>
                <w:rFonts w:hint="eastAsia"/>
                <w:sz w:val="24"/>
                <w:szCs w:val="24"/>
              </w:rPr>
              <w:t>t（年用水量约</w:t>
            </w:r>
            <w:r>
              <w:rPr>
                <w:rFonts w:hint="eastAsia"/>
                <w:sz w:val="24"/>
                <w:szCs w:val="24"/>
                <w:lang w:val="en-US" w:eastAsia="zh-CN"/>
              </w:rPr>
              <w:t>850.75</w:t>
            </w:r>
            <w:r>
              <w:rPr>
                <w:rFonts w:hint="eastAsia"/>
                <w:sz w:val="24"/>
                <w:szCs w:val="24"/>
              </w:rPr>
              <w:t>t，年排放量为</w:t>
            </w:r>
            <w:r>
              <w:rPr>
                <w:rFonts w:hint="eastAsia"/>
                <w:sz w:val="24"/>
                <w:szCs w:val="24"/>
                <w:lang w:val="en-US" w:eastAsia="zh-CN"/>
              </w:rPr>
              <w:t>680.36</w:t>
            </w:r>
            <w:r>
              <w:rPr>
                <w:rFonts w:hint="eastAsia"/>
                <w:sz w:val="24"/>
                <w:szCs w:val="24"/>
              </w:rPr>
              <w:t>t）。主要污染指标为CODcr、BOD</w:t>
            </w:r>
            <w:r>
              <w:rPr>
                <w:rFonts w:hint="eastAsia"/>
                <w:sz w:val="24"/>
                <w:szCs w:val="24"/>
                <w:vertAlign w:val="subscript"/>
              </w:rPr>
              <w:t>5</w:t>
            </w:r>
            <w:r>
              <w:rPr>
                <w:rFonts w:hint="eastAsia"/>
                <w:sz w:val="24"/>
                <w:szCs w:val="24"/>
              </w:rPr>
              <w:t>、SS 和氨氮，其浓度分别为250mg/l、1</w:t>
            </w:r>
            <w:r>
              <w:rPr>
                <w:sz w:val="24"/>
                <w:szCs w:val="24"/>
              </w:rPr>
              <w:t>2</w:t>
            </w:r>
            <w:r>
              <w:rPr>
                <w:rFonts w:hint="eastAsia"/>
                <w:sz w:val="24"/>
                <w:szCs w:val="24"/>
              </w:rPr>
              <w:t>0mg/l、200mg/L、2</w:t>
            </w:r>
            <w:r>
              <w:rPr>
                <w:sz w:val="24"/>
                <w:szCs w:val="24"/>
              </w:rPr>
              <w:t>0</w:t>
            </w:r>
            <w:r>
              <w:rPr>
                <w:rFonts w:hint="eastAsia"/>
                <w:sz w:val="24"/>
                <w:szCs w:val="24"/>
              </w:rPr>
              <w:t>mg/L。</w:t>
            </w:r>
          </w:p>
          <w:p>
            <w:pPr>
              <w:spacing w:line="360" w:lineRule="auto"/>
              <w:ind w:firstLine="480" w:firstLineChars="200"/>
              <w:rPr>
                <w:rFonts w:hint="eastAsia"/>
                <w:sz w:val="24"/>
                <w:szCs w:val="24"/>
              </w:rPr>
            </w:pPr>
            <w:r>
              <w:rPr>
                <w:rFonts w:hint="eastAsia"/>
                <w:sz w:val="24"/>
                <w:szCs w:val="24"/>
              </w:rPr>
              <w:t>（2）地面冲洗废水</w:t>
            </w:r>
          </w:p>
          <w:p>
            <w:pPr>
              <w:spacing w:line="360" w:lineRule="auto"/>
              <w:ind w:firstLine="480" w:firstLineChars="200"/>
              <w:rPr>
                <w:rFonts w:hint="eastAsia"/>
              </w:rPr>
            </w:pPr>
            <w:r>
              <w:rPr>
                <w:rFonts w:hint="eastAsia"/>
                <w:sz w:val="24"/>
                <w:szCs w:val="24"/>
              </w:rPr>
              <w:t>项目加油站每周定期冲洗一次地面（每年按53 次计算），产生地面冲洗水废水。冲洗水用量按1.5L/m</w:t>
            </w:r>
            <w:r>
              <w:rPr>
                <w:rFonts w:hint="eastAsia"/>
                <w:sz w:val="24"/>
                <w:szCs w:val="24"/>
                <w:vertAlign w:val="superscript"/>
              </w:rPr>
              <w:t>2</w:t>
            </w:r>
            <w:r>
              <w:rPr>
                <w:rFonts w:hint="eastAsia"/>
                <w:sz w:val="24"/>
                <w:szCs w:val="24"/>
              </w:rPr>
              <w:t>·次计，本项目站场地坪面积约为</w:t>
            </w:r>
            <w:r>
              <w:rPr>
                <w:sz w:val="24"/>
                <w:szCs w:val="24"/>
              </w:rPr>
              <w:t>112</w:t>
            </w:r>
            <w:r>
              <w:rPr>
                <w:rFonts w:hint="eastAsia"/>
                <w:sz w:val="24"/>
                <w:szCs w:val="24"/>
              </w:rPr>
              <w:t>0m</w:t>
            </w:r>
            <w:r>
              <w:rPr>
                <w:rFonts w:hint="eastAsia"/>
                <w:sz w:val="24"/>
                <w:szCs w:val="24"/>
                <w:vertAlign w:val="superscript"/>
              </w:rPr>
              <w:t>2</w:t>
            </w:r>
            <w:r>
              <w:rPr>
                <w:rFonts w:hint="eastAsia"/>
                <w:sz w:val="24"/>
                <w:szCs w:val="24"/>
              </w:rPr>
              <w:t>，则地面冲洗用水量约1.</w:t>
            </w:r>
            <w:r>
              <w:rPr>
                <w:sz w:val="24"/>
                <w:szCs w:val="24"/>
              </w:rPr>
              <w:t>68</w:t>
            </w:r>
            <w:r>
              <w:rPr>
                <w:rFonts w:hint="eastAsia"/>
                <w:sz w:val="24"/>
                <w:szCs w:val="24"/>
              </w:rPr>
              <w:t>t/次（</w:t>
            </w:r>
            <w:r>
              <w:rPr>
                <w:sz w:val="24"/>
                <w:szCs w:val="24"/>
              </w:rPr>
              <w:t>89</w:t>
            </w:r>
            <w:r>
              <w:rPr>
                <w:rFonts w:hint="eastAsia"/>
                <w:sz w:val="24"/>
                <w:szCs w:val="24"/>
              </w:rPr>
              <w:t>t/a），污水排放量按其用水量的90%计，则地面冲洗废水排放量为1.</w:t>
            </w:r>
            <w:r>
              <w:rPr>
                <w:sz w:val="24"/>
                <w:szCs w:val="24"/>
              </w:rPr>
              <w:t>51</w:t>
            </w:r>
            <w:r>
              <w:rPr>
                <w:rFonts w:hint="eastAsia"/>
                <w:sz w:val="24"/>
                <w:szCs w:val="24"/>
              </w:rPr>
              <w:t>t/次（</w:t>
            </w:r>
            <w:r>
              <w:rPr>
                <w:sz w:val="24"/>
                <w:szCs w:val="24"/>
              </w:rPr>
              <w:t>80.1</w:t>
            </w:r>
            <w:r>
              <w:rPr>
                <w:rFonts w:hint="eastAsia"/>
                <w:sz w:val="24"/>
                <w:szCs w:val="24"/>
              </w:rPr>
              <w:t>t/a）。据类比调查，废水中主要污染物为CODcr、SS 和石油类，其浓度分别为100mg/L、500mg/L 和80mg/L，经隔油沉淀池处理后与生活污水混合纳入市政污水管网。</w:t>
            </w:r>
          </w:p>
          <w:p>
            <w:pPr>
              <w:spacing w:line="360" w:lineRule="auto"/>
              <w:ind w:firstLine="420" w:firstLineChars="200"/>
              <w:jc w:val="center"/>
            </w:pPr>
            <w:r>
              <w:rPr>
                <w:rFonts w:hint="eastAsia"/>
              </w:rPr>
              <w:t>表2-5 项目水平衡表</w:t>
            </w:r>
          </w:p>
          <w:tbl>
            <w:tblPr>
              <w:tblStyle w:val="24"/>
              <w:tblW w:w="9011" w:type="dxa"/>
              <w:jc w:val="center"/>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Layout w:type="fixed"/>
              <w:tblCellMar>
                <w:top w:w="0" w:type="dxa"/>
                <w:left w:w="108" w:type="dxa"/>
                <w:bottom w:w="0" w:type="dxa"/>
                <w:right w:w="108" w:type="dxa"/>
              </w:tblCellMar>
            </w:tblPr>
            <w:tblGrid>
              <w:gridCol w:w="694"/>
              <w:gridCol w:w="1134"/>
              <w:gridCol w:w="1276"/>
              <w:gridCol w:w="1283"/>
              <w:gridCol w:w="1705"/>
              <w:gridCol w:w="1433"/>
              <w:gridCol w:w="1486"/>
            </w:tblGrid>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454" w:hRule="atLeast"/>
                <w:jc w:val="center"/>
              </w:trPr>
              <w:tc>
                <w:tcPr>
                  <w:tcW w:w="1828" w:type="dxa"/>
                  <w:gridSpan w:val="2"/>
                  <w:noWrap w:val="0"/>
                  <w:vAlign w:val="center"/>
                </w:tcPr>
                <w:p>
                  <w:pPr>
                    <w:jc w:val="center"/>
                  </w:pPr>
                  <w:r>
                    <w:t>用水类型</w:t>
                  </w:r>
                </w:p>
              </w:tc>
              <w:tc>
                <w:tcPr>
                  <w:tcW w:w="1276" w:type="dxa"/>
                  <w:noWrap w:val="0"/>
                  <w:vAlign w:val="center"/>
                </w:tcPr>
                <w:p>
                  <w:pPr>
                    <w:jc w:val="center"/>
                  </w:pPr>
                  <w:r>
                    <w:rPr>
                      <w:rFonts w:hint="eastAsia"/>
                    </w:rPr>
                    <w:t>规模</w:t>
                  </w:r>
                </w:p>
              </w:tc>
              <w:tc>
                <w:tcPr>
                  <w:tcW w:w="1283" w:type="dxa"/>
                  <w:noWrap w:val="0"/>
                  <w:vAlign w:val="center"/>
                </w:tcPr>
                <w:p>
                  <w:pPr>
                    <w:jc w:val="center"/>
                  </w:pPr>
                  <w:r>
                    <w:t>用水定额</w:t>
                  </w:r>
                </w:p>
              </w:tc>
              <w:tc>
                <w:tcPr>
                  <w:tcW w:w="1705" w:type="dxa"/>
                  <w:noWrap w:val="0"/>
                  <w:vAlign w:val="center"/>
                </w:tcPr>
                <w:p>
                  <w:pPr>
                    <w:jc w:val="center"/>
                  </w:pPr>
                  <w:r>
                    <w:t>用水量</w:t>
                  </w:r>
                </w:p>
              </w:tc>
              <w:tc>
                <w:tcPr>
                  <w:tcW w:w="1433" w:type="dxa"/>
                  <w:noWrap w:val="0"/>
                  <w:vAlign w:val="center"/>
                </w:tcPr>
                <w:p>
                  <w:pPr>
                    <w:jc w:val="center"/>
                  </w:pPr>
                  <w:r>
                    <w:t>排水量</w:t>
                  </w:r>
                </w:p>
              </w:tc>
              <w:tc>
                <w:tcPr>
                  <w:tcW w:w="1486" w:type="dxa"/>
                  <w:noWrap w:val="0"/>
                  <w:vAlign w:val="center"/>
                </w:tcPr>
                <w:p>
                  <w:pPr>
                    <w:jc w:val="center"/>
                  </w:pPr>
                  <w: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454" w:hRule="atLeast"/>
                <w:jc w:val="center"/>
              </w:trPr>
              <w:tc>
                <w:tcPr>
                  <w:tcW w:w="694" w:type="dxa"/>
                  <w:vMerge w:val="restart"/>
                  <w:noWrap w:val="0"/>
                  <w:vAlign w:val="center"/>
                </w:tcPr>
                <w:p>
                  <w:pPr>
                    <w:jc w:val="center"/>
                    <w:rPr>
                      <w:rFonts w:hint="eastAsia"/>
                    </w:rPr>
                  </w:pPr>
                  <w:r>
                    <w:t>生活</w:t>
                  </w:r>
                  <w:r>
                    <w:rPr>
                      <w:rFonts w:hint="eastAsia"/>
                    </w:rPr>
                    <w:t>用水</w:t>
                  </w:r>
                </w:p>
              </w:tc>
              <w:tc>
                <w:tcPr>
                  <w:tcW w:w="1134" w:type="dxa"/>
                  <w:noWrap w:val="0"/>
                  <w:vAlign w:val="center"/>
                </w:tcPr>
                <w:p>
                  <w:pPr>
                    <w:jc w:val="center"/>
                    <w:rPr>
                      <w:rFonts w:hint="eastAsia"/>
                    </w:rPr>
                  </w:pPr>
                  <w:r>
                    <w:rPr>
                      <w:rFonts w:hint="eastAsia"/>
                    </w:rPr>
                    <w:t>工作</w:t>
                  </w:r>
                  <w:r>
                    <w:t>人员</w:t>
                  </w:r>
                </w:p>
              </w:tc>
              <w:tc>
                <w:tcPr>
                  <w:tcW w:w="1276" w:type="dxa"/>
                  <w:noWrap w:val="0"/>
                  <w:vAlign w:val="center"/>
                </w:tcPr>
                <w:p>
                  <w:pPr>
                    <w:jc w:val="center"/>
                  </w:pPr>
                  <w:r>
                    <w:rPr>
                      <w:rFonts w:hint="eastAsia"/>
                      <w:lang w:val="en-US" w:eastAsia="zh-CN"/>
                    </w:rPr>
                    <w:t>3</w:t>
                  </w:r>
                  <w:r>
                    <w:t>人</w:t>
                  </w:r>
                </w:p>
              </w:tc>
              <w:tc>
                <w:tcPr>
                  <w:tcW w:w="1283" w:type="dxa"/>
                  <w:noWrap w:val="0"/>
                  <w:vAlign w:val="center"/>
                </w:tcPr>
                <w:p>
                  <w:pPr>
                    <w:jc w:val="center"/>
                  </w:pPr>
                  <w:r>
                    <w:t>110L/人</w:t>
                  </w:r>
                  <w:r>
                    <w:rPr>
                      <w:rFonts w:hint="eastAsia"/>
                      <w:lang w:val="en-US" w:eastAsia="zh-CN"/>
                    </w:rPr>
                    <w:t>·</w:t>
                  </w:r>
                  <w:r>
                    <w:t>d</w:t>
                  </w:r>
                </w:p>
              </w:tc>
              <w:tc>
                <w:tcPr>
                  <w:tcW w:w="1705" w:type="dxa"/>
                  <w:noWrap w:val="0"/>
                  <w:vAlign w:val="center"/>
                </w:tcPr>
                <w:p>
                  <w:pPr>
                    <w:jc w:val="center"/>
                    <w:rPr>
                      <w:rFonts w:hint="eastAsia"/>
                      <w:lang w:eastAsia="zh-CN"/>
                    </w:rPr>
                  </w:pPr>
                  <w:r>
                    <w:t>0.</w:t>
                  </w:r>
                  <w:r>
                    <w:rPr>
                      <w:rFonts w:hint="eastAsia"/>
                      <w:lang w:val="en-US" w:eastAsia="zh-CN"/>
                    </w:rPr>
                    <w:t>33</w:t>
                  </w:r>
                  <w:r>
                    <w:t>m</w:t>
                  </w:r>
                  <w:r>
                    <w:rPr>
                      <w:vertAlign w:val="superscript"/>
                    </w:rPr>
                    <w:t>3</w:t>
                  </w:r>
                  <w:r>
                    <w:t>/d</w:t>
                  </w:r>
                  <w:r>
                    <w:rPr>
                      <w:rFonts w:hint="eastAsia"/>
                      <w:lang w:eastAsia="zh-CN"/>
                    </w:rPr>
                    <w:t>，</w:t>
                  </w:r>
                </w:p>
                <w:p>
                  <w:pPr>
                    <w:jc w:val="center"/>
                  </w:pPr>
                  <w:r>
                    <w:rPr>
                      <w:rFonts w:hint="eastAsia"/>
                      <w:lang w:val="en-US" w:eastAsia="zh-CN"/>
                    </w:rPr>
                    <w:t>120.45</w:t>
                  </w:r>
                  <w:r>
                    <w:t>m</w:t>
                  </w:r>
                  <w:r>
                    <w:rPr>
                      <w:vertAlign w:val="superscript"/>
                    </w:rPr>
                    <w:t>3</w:t>
                  </w:r>
                  <w:r>
                    <w:t>/a</w:t>
                  </w:r>
                </w:p>
              </w:tc>
              <w:tc>
                <w:tcPr>
                  <w:tcW w:w="1433" w:type="dxa"/>
                  <w:noWrap w:val="0"/>
                  <w:vAlign w:val="center"/>
                </w:tcPr>
                <w:p>
                  <w:pPr>
                    <w:jc w:val="center"/>
                  </w:pPr>
                  <w:r>
                    <w:t>0.</w:t>
                  </w:r>
                  <w:r>
                    <w:rPr>
                      <w:rFonts w:hint="eastAsia"/>
                      <w:lang w:val="en-US" w:eastAsia="zh-CN"/>
                    </w:rPr>
                    <w:t>264</w:t>
                  </w:r>
                  <w:r>
                    <w:t>m</w:t>
                  </w:r>
                  <w:r>
                    <w:rPr>
                      <w:vertAlign w:val="superscript"/>
                    </w:rPr>
                    <w:t>3</w:t>
                  </w:r>
                  <w:r>
                    <w:t>/d</w:t>
                  </w:r>
                </w:p>
                <w:p>
                  <w:pPr>
                    <w:jc w:val="center"/>
                  </w:pPr>
                  <w:r>
                    <w:rPr>
                      <w:rFonts w:hint="eastAsia"/>
                      <w:lang w:val="en-US" w:eastAsia="zh-CN"/>
                    </w:rPr>
                    <w:t>96.36</w:t>
                  </w:r>
                  <w:r>
                    <w:t>m</w:t>
                  </w:r>
                  <w:r>
                    <w:rPr>
                      <w:vertAlign w:val="superscript"/>
                    </w:rPr>
                    <w:t>3</w:t>
                  </w:r>
                  <w:r>
                    <w:t>/a</w:t>
                  </w:r>
                </w:p>
              </w:tc>
              <w:tc>
                <w:tcPr>
                  <w:tcW w:w="1486" w:type="dxa"/>
                  <w:vMerge w:val="restart"/>
                  <w:noWrap w:val="0"/>
                  <w:vAlign w:val="center"/>
                </w:tcPr>
                <w:p>
                  <w:pPr>
                    <w:jc w:val="center"/>
                  </w:pPr>
                  <w:r>
                    <w:t>按365d/a计，排污系数取0.8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454" w:hRule="atLeast"/>
                <w:jc w:val="center"/>
              </w:trPr>
              <w:tc>
                <w:tcPr>
                  <w:tcW w:w="694" w:type="dxa"/>
                  <w:vMerge w:val="continue"/>
                  <w:noWrap w:val="0"/>
                  <w:vAlign w:val="center"/>
                </w:tcPr>
                <w:p>
                  <w:pPr>
                    <w:jc w:val="center"/>
                  </w:pPr>
                </w:p>
              </w:tc>
              <w:tc>
                <w:tcPr>
                  <w:tcW w:w="1134" w:type="dxa"/>
                  <w:noWrap w:val="0"/>
                  <w:vAlign w:val="center"/>
                </w:tcPr>
                <w:p>
                  <w:pPr>
                    <w:jc w:val="center"/>
                    <w:rPr>
                      <w:rFonts w:hint="eastAsia"/>
                    </w:rPr>
                  </w:pPr>
                  <w:r>
                    <w:rPr>
                      <w:rFonts w:hint="eastAsia"/>
                    </w:rPr>
                    <w:t>来往</w:t>
                  </w:r>
                  <w:r>
                    <w:t>顾客</w:t>
                  </w:r>
                </w:p>
              </w:tc>
              <w:tc>
                <w:tcPr>
                  <w:tcW w:w="1276" w:type="dxa"/>
                  <w:noWrap w:val="0"/>
                  <w:vAlign w:val="center"/>
                </w:tcPr>
                <w:p>
                  <w:pPr>
                    <w:jc w:val="center"/>
                    <w:rPr>
                      <w:rFonts w:hint="eastAsia"/>
                    </w:rPr>
                  </w:pPr>
                  <w:r>
                    <w:rPr>
                      <w:rFonts w:hint="eastAsia"/>
                    </w:rPr>
                    <w:t>200</w:t>
                  </w:r>
                  <w:r>
                    <w:t>人</w:t>
                  </w:r>
                  <w:r>
                    <w:rPr>
                      <w:rFonts w:hint="eastAsia"/>
                    </w:rPr>
                    <w:t>/</w:t>
                  </w:r>
                  <w:r>
                    <w:t>d</w:t>
                  </w:r>
                </w:p>
              </w:tc>
              <w:tc>
                <w:tcPr>
                  <w:tcW w:w="1283" w:type="dxa"/>
                  <w:noWrap w:val="0"/>
                  <w:vAlign w:val="center"/>
                </w:tcPr>
                <w:p>
                  <w:pPr>
                    <w:jc w:val="center"/>
                  </w:pPr>
                  <w:r>
                    <w:t>10L/人</w:t>
                  </w:r>
                  <w:r>
                    <w:rPr>
                      <w:rFonts w:hint="eastAsia"/>
                      <w:lang w:val="en-US" w:eastAsia="zh-CN"/>
                    </w:rPr>
                    <w:t>·</w:t>
                  </w:r>
                  <w:r>
                    <w:t xml:space="preserve">d </w:t>
                  </w:r>
                </w:p>
              </w:tc>
              <w:tc>
                <w:tcPr>
                  <w:tcW w:w="1705" w:type="dxa"/>
                  <w:noWrap w:val="0"/>
                  <w:vAlign w:val="center"/>
                </w:tcPr>
                <w:p>
                  <w:pPr>
                    <w:jc w:val="center"/>
                  </w:pPr>
                  <w:r>
                    <w:t>2m</w:t>
                  </w:r>
                  <w:r>
                    <w:rPr>
                      <w:vertAlign w:val="superscript"/>
                    </w:rPr>
                    <w:t>3</w:t>
                  </w:r>
                  <w:r>
                    <w:t>/d，</w:t>
                  </w:r>
                </w:p>
                <w:p>
                  <w:pPr>
                    <w:jc w:val="center"/>
                  </w:pPr>
                  <w:r>
                    <w:t>730m</w:t>
                  </w:r>
                  <w:r>
                    <w:rPr>
                      <w:vertAlign w:val="superscript"/>
                    </w:rPr>
                    <w:t>3</w:t>
                  </w:r>
                  <w:r>
                    <w:t>/a</w:t>
                  </w:r>
                </w:p>
              </w:tc>
              <w:tc>
                <w:tcPr>
                  <w:tcW w:w="1433" w:type="dxa"/>
                  <w:noWrap w:val="0"/>
                  <w:vAlign w:val="center"/>
                </w:tcPr>
                <w:p>
                  <w:pPr>
                    <w:jc w:val="center"/>
                  </w:pPr>
                  <w:r>
                    <w:t>1.6m</w:t>
                  </w:r>
                  <w:r>
                    <w:rPr>
                      <w:vertAlign w:val="superscript"/>
                    </w:rPr>
                    <w:t>3</w:t>
                  </w:r>
                  <w:r>
                    <w:t>/d</w:t>
                  </w:r>
                </w:p>
                <w:p>
                  <w:pPr>
                    <w:jc w:val="center"/>
                  </w:pPr>
                  <w:r>
                    <w:t>584m</w:t>
                  </w:r>
                  <w:r>
                    <w:rPr>
                      <w:vertAlign w:val="superscript"/>
                    </w:rPr>
                    <w:t>3</w:t>
                  </w:r>
                  <w:r>
                    <w:t>/a</w:t>
                  </w:r>
                </w:p>
              </w:tc>
              <w:tc>
                <w:tcPr>
                  <w:tcW w:w="1486" w:type="dxa"/>
                  <w:vMerge w:val="continue"/>
                  <w:noWrap w:val="0"/>
                  <w:vAlign w:val="center"/>
                </w:tc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2" w:space="0"/>
                </w:tblBorders>
                <w:tblCellMar>
                  <w:top w:w="0" w:type="dxa"/>
                  <w:left w:w="108" w:type="dxa"/>
                  <w:bottom w:w="0" w:type="dxa"/>
                  <w:right w:w="108" w:type="dxa"/>
                </w:tblCellMar>
              </w:tblPrEx>
              <w:trPr>
                <w:trHeight w:val="454" w:hRule="atLeast"/>
                <w:jc w:val="center"/>
              </w:trPr>
              <w:tc>
                <w:tcPr>
                  <w:tcW w:w="1828" w:type="dxa"/>
                  <w:gridSpan w:val="2"/>
                  <w:noWrap w:val="0"/>
                  <w:vAlign w:val="center"/>
                </w:tcPr>
                <w:p>
                  <w:pPr>
                    <w:jc w:val="center"/>
                    <w:rPr>
                      <w:rFonts w:hint="eastAsia"/>
                    </w:rPr>
                  </w:pPr>
                  <w:r>
                    <w:rPr>
                      <w:rFonts w:hint="eastAsia"/>
                    </w:rPr>
                    <w:t>地面</w:t>
                  </w:r>
                  <w:r>
                    <w:t>冲洗</w:t>
                  </w:r>
                  <w:r>
                    <w:rPr>
                      <w:rFonts w:hint="eastAsia"/>
                    </w:rPr>
                    <w:t>用水</w:t>
                  </w:r>
                </w:p>
              </w:tc>
              <w:tc>
                <w:tcPr>
                  <w:tcW w:w="1276" w:type="dxa"/>
                  <w:noWrap w:val="0"/>
                  <w:vAlign w:val="center"/>
                </w:tcPr>
                <w:p>
                  <w:pPr>
                    <w:jc w:val="center"/>
                  </w:pPr>
                  <w:r>
                    <w:t>1120 m</w:t>
                  </w:r>
                  <w:r>
                    <w:rPr>
                      <w:vertAlign w:val="superscript"/>
                    </w:rPr>
                    <w:t>2</w:t>
                  </w:r>
                </w:p>
              </w:tc>
              <w:tc>
                <w:tcPr>
                  <w:tcW w:w="1283" w:type="dxa"/>
                  <w:noWrap w:val="0"/>
                  <w:vAlign w:val="center"/>
                </w:tcPr>
                <w:p>
                  <w:pPr>
                    <w:jc w:val="center"/>
                  </w:pPr>
                  <w:r>
                    <w:rPr>
                      <w:rFonts w:hint="eastAsia"/>
                    </w:rPr>
                    <w:t>1.5L</w:t>
                  </w:r>
                  <w:r>
                    <w:t>/</w:t>
                  </w:r>
                  <w:r>
                    <w:rPr>
                      <w:rFonts w:hint="eastAsia"/>
                    </w:rPr>
                    <w:t>m</w:t>
                  </w:r>
                  <w:r>
                    <w:rPr>
                      <w:rFonts w:hint="eastAsia"/>
                      <w:vertAlign w:val="superscript"/>
                      <w:lang w:val="en-US" w:eastAsia="zh-CN"/>
                    </w:rPr>
                    <w:t>3</w:t>
                  </w:r>
                  <w:r>
                    <w:rPr>
                      <w:rFonts w:hint="eastAsia"/>
                      <w:lang w:val="en-US" w:eastAsia="zh-CN"/>
                    </w:rPr>
                    <w:t>·</w:t>
                  </w:r>
                  <w:r>
                    <w:rPr>
                      <w:rFonts w:hint="eastAsia"/>
                    </w:rPr>
                    <w:t>次</w:t>
                  </w:r>
                </w:p>
              </w:tc>
              <w:tc>
                <w:tcPr>
                  <w:tcW w:w="1705" w:type="dxa"/>
                  <w:noWrap w:val="0"/>
                  <w:vAlign w:val="center"/>
                </w:tcPr>
                <w:p>
                  <w:pPr>
                    <w:jc w:val="center"/>
                    <w:rPr>
                      <w:rFonts w:hint="eastAsia"/>
                    </w:rPr>
                  </w:pPr>
                  <w:r>
                    <w:t>1.68m</w:t>
                  </w:r>
                  <w:r>
                    <w:rPr>
                      <w:vertAlign w:val="superscript"/>
                    </w:rPr>
                    <w:t>3</w:t>
                  </w:r>
                  <w:r>
                    <w:t>/</w:t>
                  </w:r>
                  <w:r>
                    <w:rPr>
                      <w:rFonts w:hint="eastAsia"/>
                    </w:rPr>
                    <w:t>次</w:t>
                  </w:r>
                </w:p>
                <w:p>
                  <w:pPr>
                    <w:jc w:val="center"/>
                  </w:pPr>
                  <w:r>
                    <w:t>89m</w:t>
                  </w:r>
                  <w:r>
                    <w:rPr>
                      <w:vertAlign w:val="superscript"/>
                    </w:rPr>
                    <w:t>3</w:t>
                  </w:r>
                  <w:r>
                    <w:t>/a</w:t>
                  </w:r>
                </w:p>
              </w:tc>
              <w:tc>
                <w:tcPr>
                  <w:tcW w:w="1433" w:type="dxa"/>
                  <w:noWrap w:val="0"/>
                  <w:vAlign w:val="center"/>
                </w:tcPr>
                <w:p>
                  <w:pPr>
                    <w:jc w:val="center"/>
                    <w:rPr>
                      <w:rFonts w:hint="eastAsia"/>
                    </w:rPr>
                  </w:pPr>
                  <w:r>
                    <w:t>1.51m</w:t>
                  </w:r>
                  <w:r>
                    <w:rPr>
                      <w:vertAlign w:val="superscript"/>
                    </w:rPr>
                    <w:t>3</w:t>
                  </w:r>
                  <w:r>
                    <w:t>/</w:t>
                  </w:r>
                  <w:r>
                    <w:rPr>
                      <w:rFonts w:hint="eastAsia"/>
                    </w:rPr>
                    <w:t>次</w:t>
                  </w:r>
                </w:p>
                <w:p>
                  <w:pPr>
                    <w:jc w:val="center"/>
                  </w:pPr>
                  <w:r>
                    <w:t>80.1m</w:t>
                  </w:r>
                  <w:r>
                    <w:rPr>
                      <w:vertAlign w:val="superscript"/>
                    </w:rPr>
                    <w:t>3</w:t>
                  </w:r>
                  <w:r>
                    <w:t>/a</w:t>
                  </w:r>
                </w:p>
              </w:tc>
              <w:tc>
                <w:tcPr>
                  <w:tcW w:w="1486" w:type="dxa"/>
                  <w:noWrap w:val="0"/>
                  <w:vAlign w:val="center"/>
                </w:tcPr>
                <w:p>
                  <w:pPr>
                    <w:jc w:val="center"/>
                  </w:pPr>
                  <w:r>
                    <w:t>排污系数取0.9</w:t>
                  </w:r>
                </w:p>
              </w:tc>
            </w:tr>
          </w:tbl>
          <w:p>
            <w:pPr>
              <w:jc w:val="left"/>
            </w:pPr>
            <w:r>
              <w:rPr>
                <w:rFonts w:hint="eastAsia"/>
              </w:rPr>
              <w:t>项目水平衡图见图2-1。</w:t>
            </w:r>
          </w:p>
          <w:p>
            <w:pPr>
              <w:adjustRightInd w:val="0"/>
              <w:snapToGrid w:val="0"/>
              <w:spacing w:line="360" w:lineRule="auto"/>
              <w:jc w:val="center"/>
            </w:pPr>
            <w:r>
              <mc:AlternateContent>
                <mc:Choice Requires="wpc">
                  <w:drawing>
                    <wp:inline distT="0" distB="0" distL="114300" distR="114300">
                      <wp:extent cx="5759450" cy="1721485"/>
                      <wp:effectExtent l="0" t="0" r="0" b="0"/>
                      <wp:docPr id="119" name="画布 1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3" name="矩形 33"/>
                              <wps:cNvSpPr/>
                              <wps:spPr>
                                <a:xfrm>
                                  <a:off x="1363345" y="318135"/>
                                  <a:ext cx="755650" cy="28829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生活</w:t>
                                    </w:r>
                                    <w:r>
                                      <w:t>用水</w:t>
                                    </w:r>
                                  </w:p>
                                </w:txbxContent>
                              </wps:txbx>
                              <wps:bodyPr upright="1"/>
                            </wps:wsp>
                            <wps:wsp>
                              <wps:cNvPr id="79" name="矩形 79"/>
                              <wps:cNvSpPr/>
                              <wps:spPr>
                                <a:xfrm>
                                  <a:off x="2586990" y="318135"/>
                                  <a:ext cx="648335" cy="28829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化粪池</w:t>
                                    </w:r>
                                  </w:p>
                                </w:txbxContent>
                              </wps:txbx>
                              <wps:bodyPr upright="1"/>
                            </wps:wsp>
                            <wps:wsp>
                              <wps:cNvPr id="80" name="矩形 80"/>
                              <wps:cNvSpPr/>
                              <wps:spPr>
                                <a:xfrm>
                                  <a:off x="2586990" y="963930"/>
                                  <a:ext cx="774700" cy="2889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隔油沉淀</w:t>
                                    </w:r>
                                  </w:p>
                                </w:txbxContent>
                              </wps:txbx>
                              <wps:bodyPr upright="1"/>
                            </wps:wsp>
                            <wps:wsp>
                              <wps:cNvPr id="82" name="矩形 82"/>
                              <wps:cNvSpPr/>
                              <wps:spPr>
                                <a:xfrm>
                                  <a:off x="1363345" y="973455"/>
                                  <a:ext cx="756285" cy="28829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冲洗</w:t>
                                    </w:r>
                                    <w:r>
                                      <w:t>用水</w:t>
                                    </w:r>
                                  </w:p>
                                </w:txbxContent>
                              </wps:txbx>
                              <wps:bodyPr upright="1"/>
                            </wps:wsp>
                            <wps:wsp>
                              <wps:cNvPr id="84" name="矩形 84"/>
                              <wps:cNvSpPr/>
                              <wps:spPr>
                                <a:xfrm>
                                  <a:off x="57785" y="603250"/>
                                  <a:ext cx="647700" cy="28829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自来水</w:t>
                                    </w:r>
                                  </w:p>
                                </w:txbxContent>
                              </wps:txbx>
                              <wps:bodyPr upright="1"/>
                            </wps:wsp>
                            <wps:wsp>
                              <wps:cNvPr id="85" name="直接箭头连接符 85"/>
                              <wps:cNvCnPr/>
                              <wps:spPr>
                                <a:xfrm>
                                  <a:off x="945515" y="463550"/>
                                  <a:ext cx="417830" cy="635"/>
                                </a:xfrm>
                                <a:prstGeom prst="straightConnector1">
                                  <a:avLst/>
                                </a:prstGeom>
                                <a:ln w="9525" cap="flat" cmpd="sng">
                                  <a:solidFill>
                                    <a:srgbClr val="000000"/>
                                  </a:solidFill>
                                  <a:prstDash val="solid"/>
                                  <a:headEnd type="none" w="med" len="med"/>
                                  <a:tailEnd type="triangle" w="med" len="med"/>
                                </a:ln>
                              </wps:spPr>
                              <wps:bodyPr/>
                            </wps:wsp>
                            <wps:wsp>
                              <wps:cNvPr id="86" name="矩形 86"/>
                              <wps:cNvSpPr/>
                              <wps:spPr>
                                <a:xfrm>
                                  <a:off x="3283585" y="831215"/>
                                  <a:ext cx="582930" cy="287020"/>
                                </a:xfrm>
                                <a:prstGeom prst="rect">
                                  <a:avLst/>
                                </a:prstGeom>
                                <a:noFill/>
                                <a:ln>
                                  <a:noFill/>
                                </a:ln>
                              </wps:spPr>
                              <wps:txbx>
                                <w:txbxContent>
                                  <w:p>
                                    <w:pPr>
                                      <w:jc w:val="center"/>
                                      <w:rPr>
                                        <w:rFonts w:hint="eastAsia"/>
                                      </w:rPr>
                                    </w:pPr>
                                    <w:r>
                                      <w:t>0.22</w:t>
                                    </w:r>
                                  </w:p>
                                </w:txbxContent>
                              </wps:txbx>
                              <wps:bodyPr upright="1"/>
                            </wps:wsp>
                            <wps:wsp>
                              <wps:cNvPr id="87" name="矩形 87"/>
                              <wps:cNvSpPr/>
                              <wps:spPr>
                                <a:xfrm>
                                  <a:off x="875665" y="882015"/>
                                  <a:ext cx="582930" cy="287020"/>
                                </a:xfrm>
                                <a:prstGeom prst="rect">
                                  <a:avLst/>
                                </a:prstGeom>
                                <a:noFill/>
                                <a:ln>
                                  <a:noFill/>
                                </a:ln>
                              </wps:spPr>
                              <wps:txbx>
                                <w:txbxContent>
                                  <w:p>
                                    <w:pPr>
                                      <w:jc w:val="center"/>
                                      <w:rPr>
                                        <w:rFonts w:hint="eastAsia"/>
                                      </w:rPr>
                                    </w:pPr>
                                    <w:r>
                                      <w:t>0.24</w:t>
                                    </w:r>
                                  </w:p>
                                </w:txbxContent>
                              </wps:txbx>
                              <wps:bodyPr upright="1"/>
                            </wps:wsp>
                            <wps:wsp>
                              <wps:cNvPr id="88" name="直接箭头连接符 88"/>
                              <wps:cNvCnPr/>
                              <wps:spPr>
                                <a:xfrm>
                                  <a:off x="937260" y="463550"/>
                                  <a:ext cx="635" cy="666750"/>
                                </a:xfrm>
                                <a:prstGeom prst="straightConnector1">
                                  <a:avLst/>
                                </a:prstGeom>
                                <a:ln w="9525" cap="flat" cmpd="sng">
                                  <a:solidFill>
                                    <a:srgbClr val="000000"/>
                                  </a:solidFill>
                                  <a:prstDash val="solid"/>
                                  <a:headEnd type="none" w="med" len="med"/>
                                  <a:tailEnd type="none" w="med" len="med"/>
                                </a:ln>
                              </wps:spPr>
                              <wps:bodyPr/>
                            </wps:wsp>
                            <wps:wsp>
                              <wps:cNvPr id="89" name="任意多边形 89"/>
                              <wps:cNvSpPr/>
                              <wps:spPr>
                                <a:xfrm>
                                  <a:off x="1739900" y="175895"/>
                                  <a:ext cx="330200" cy="142240"/>
                                </a:xfrm>
                                <a:custGeom>
                                  <a:avLst/>
                                  <a:gdLst/>
                                  <a:ahLst/>
                                  <a:cxnLst/>
                                  <a:pathLst>
                                    <a:path w="520" h="224">
                                      <a:moveTo>
                                        <a:pt x="0" y="224"/>
                                      </a:moveTo>
                                      <a:cubicBezTo>
                                        <a:pt x="94" y="136"/>
                                        <a:pt x="188" y="49"/>
                                        <a:pt x="255" y="30"/>
                                      </a:cubicBezTo>
                                      <a:cubicBezTo>
                                        <a:pt x="322" y="11"/>
                                        <a:pt x="356" y="113"/>
                                        <a:pt x="400" y="108"/>
                                      </a:cubicBezTo>
                                      <a:cubicBezTo>
                                        <a:pt x="444" y="103"/>
                                        <a:pt x="500" y="18"/>
                                        <a:pt x="520" y="0"/>
                                      </a:cubicBezTo>
                                    </a:path>
                                  </a:pathLst>
                                </a:custGeom>
                                <a:noFill/>
                                <a:ln w="9525" cap="flat" cmpd="sng">
                                  <a:solidFill>
                                    <a:srgbClr val="000000"/>
                                  </a:solidFill>
                                  <a:prstDash val="solid"/>
                                  <a:headEnd type="none" w="med" len="med"/>
                                  <a:tailEnd type="none" w="med" len="med"/>
                                </a:ln>
                              </wps:spPr>
                              <wps:bodyPr upright="1"/>
                            </wps:wsp>
                            <wps:wsp>
                              <wps:cNvPr id="90" name="矩形 90"/>
                              <wps:cNvSpPr/>
                              <wps:spPr>
                                <a:xfrm>
                                  <a:off x="780415" y="244475"/>
                                  <a:ext cx="582930" cy="287020"/>
                                </a:xfrm>
                                <a:prstGeom prst="rect">
                                  <a:avLst/>
                                </a:prstGeom>
                                <a:noFill/>
                                <a:ln>
                                  <a:noFill/>
                                </a:ln>
                              </wps:spPr>
                              <wps:txbx>
                                <w:txbxContent>
                                  <w:p>
                                    <w:pPr>
                                      <w:jc w:val="center"/>
                                      <w:rPr>
                                        <w:rFonts w:hint="default" w:eastAsia="宋体"/>
                                        <w:lang w:val="en-US" w:eastAsia="zh-CN"/>
                                      </w:rPr>
                                    </w:pPr>
                                    <w:r>
                                      <w:t>2.</w:t>
                                    </w:r>
                                    <w:r>
                                      <w:rPr>
                                        <w:rFonts w:hint="eastAsia"/>
                                        <w:lang w:val="en-US" w:eastAsia="zh-CN"/>
                                      </w:rPr>
                                      <w:t>33</w:t>
                                    </w:r>
                                  </w:p>
                                </w:txbxContent>
                              </wps:txbx>
                              <wps:bodyPr upright="1"/>
                            </wps:wsp>
                            <wps:wsp>
                              <wps:cNvPr id="91" name="矩形 91"/>
                              <wps:cNvSpPr/>
                              <wps:spPr>
                                <a:xfrm>
                                  <a:off x="3780790" y="502285"/>
                                  <a:ext cx="582930" cy="287020"/>
                                </a:xfrm>
                                <a:prstGeom prst="rect">
                                  <a:avLst/>
                                </a:prstGeom>
                                <a:noFill/>
                                <a:ln>
                                  <a:noFill/>
                                </a:ln>
                              </wps:spPr>
                              <wps:txbx>
                                <w:txbxContent>
                                  <w:p>
                                    <w:pPr>
                                      <w:jc w:val="center"/>
                                      <w:rPr>
                                        <w:rFonts w:hint="default" w:eastAsia="宋体"/>
                                        <w:lang w:val="en-US" w:eastAsia="zh-CN"/>
                                      </w:rPr>
                                    </w:pPr>
                                    <w:r>
                                      <w:rPr>
                                        <w:rFonts w:hint="eastAsia"/>
                                        <w:lang w:val="en-US" w:eastAsia="zh-CN"/>
                                      </w:rPr>
                                      <w:t>2.084</w:t>
                                    </w:r>
                                  </w:p>
                                </w:txbxContent>
                              </wps:txbx>
                              <wps:bodyPr upright="1"/>
                            </wps:wsp>
                            <wps:wsp>
                              <wps:cNvPr id="92" name="直接箭头连接符 92"/>
                              <wps:cNvCnPr/>
                              <wps:spPr>
                                <a:xfrm>
                                  <a:off x="2118995" y="462915"/>
                                  <a:ext cx="467995" cy="635"/>
                                </a:xfrm>
                                <a:prstGeom prst="straightConnector1">
                                  <a:avLst/>
                                </a:prstGeom>
                                <a:ln w="9525" cap="flat" cmpd="sng">
                                  <a:solidFill>
                                    <a:srgbClr val="000000"/>
                                  </a:solidFill>
                                  <a:prstDash val="solid"/>
                                  <a:headEnd type="none" w="med" len="med"/>
                                  <a:tailEnd type="triangle" w="med" len="med"/>
                                </a:ln>
                              </wps:spPr>
                              <wps:bodyPr/>
                            </wps:wsp>
                            <wps:wsp>
                              <wps:cNvPr id="93" name="矩形 93"/>
                              <wps:cNvSpPr/>
                              <wps:spPr>
                                <a:xfrm>
                                  <a:off x="2042160" y="237490"/>
                                  <a:ext cx="582930" cy="287020"/>
                                </a:xfrm>
                                <a:prstGeom prst="rect">
                                  <a:avLst/>
                                </a:prstGeom>
                                <a:noFill/>
                                <a:ln>
                                  <a:noFill/>
                                </a:ln>
                              </wps:spPr>
                              <wps:txbx>
                                <w:txbxContent>
                                  <w:p>
                                    <w:pPr>
                                      <w:jc w:val="center"/>
                                      <w:rPr>
                                        <w:rFonts w:hint="default" w:eastAsia="宋体"/>
                                        <w:lang w:val="en-US" w:eastAsia="zh-CN"/>
                                      </w:rPr>
                                    </w:pPr>
                                    <w:r>
                                      <w:rPr>
                                        <w:rFonts w:hint="eastAsia"/>
                                        <w:lang w:val="en-US" w:eastAsia="zh-CN"/>
                                      </w:rPr>
                                      <w:t>1.864</w:t>
                                    </w:r>
                                  </w:p>
                                </w:txbxContent>
                              </wps:txbx>
                              <wps:bodyPr upright="1"/>
                            </wps:wsp>
                            <wps:wsp>
                              <wps:cNvPr id="94" name="直接箭头连接符 94"/>
                              <wps:cNvCnPr/>
                              <wps:spPr>
                                <a:xfrm>
                                  <a:off x="937260" y="1110615"/>
                                  <a:ext cx="417830" cy="635"/>
                                </a:xfrm>
                                <a:prstGeom prst="straightConnector1">
                                  <a:avLst/>
                                </a:prstGeom>
                                <a:ln w="9525" cap="flat" cmpd="sng">
                                  <a:solidFill>
                                    <a:srgbClr val="000000"/>
                                  </a:solidFill>
                                  <a:prstDash val="solid"/>
                                  <a:headEnd type="none" w="med" len="med"/>
                                  <a:tailEnd type="triangle" w="med" len="med"/>
                                </a:ln>
                              </wps:spPr>
                              <wps:bodyPr/>
                            </wps:wsp>
                            <wps:wsp>
                              <wps:cNvPr id="95" name="任意多边形 95"/>
                              <wps:cNvSpPr/>
                              <wps:spPr>
                                <a:xfrm>
                                  <a:off x="1720850" y="831215"/>
                                  <a:ext cx="330200" cy="142240"/>
                                </a:xfrm>
                                <a:custGeom>
                                  <a:avLst/>
                                  <a:gdLst/>
                                  <a:ahLst/>
                                  <a:cxnLst/>
                                  <a:pathLst>
                                    <a:path w="520" h="224">
                                      <a:moveTo>
                                        <a:pt x="0" y="224"/>
                                      </a:moveTo>
                                      <a:cubicBezTo>
                                        <a:pt x="94" y="136"/>
                                        <a:pt x="188" y="49"/>
                                        <a:pt x="255" y="30"/>
                                      </a:cubicBezTo>
                                      <a:cubicBezTo>
                                        <a:pt x="322" y="11"/>
                                        <a:pt x="356" y="113"/>
                                        <a:pt x="400" y="108"/>
                                      </a:cubicBezTo>
                                      <a:cubicBezTo>
                                        <a:pt x="444" y="103"/>
                                        <a:pt x="500" y="18"/>
                                        <a:pt x="520" y="0"/>
                                      </a:cubicBezTo>
                                    </a:path>
                                  </a:pathLst>
                                </a:custGeom>
                                <a:noFill/>
                                <a:ln w="9525" cap="flat" cmpd="sng">
                                  <a:solidFill>
                                    <a:srgbClr val="000000"/>
                                  </a:solidFill>
                                  <a:prstDash val="solid"/>
                                  <a:headEnd type="none" w="med" len="med"/>
                                  <a:tailEnd type="none" w="med" len="med"/>
                                </a:ln>
                              </wps:spPr>
                              <wps:bodyPr upright="1"/>
                            </wps:wsp>
                            <wps:wsp>
                              <wps:cNvPr id="96" name="矩形 96"/>
                              <wps:cNvSpPr/>
                              <wps:spPr>
                                <a:xfrm>
                                  <a:off x="1906270" y="657860"/>
                                  <a:ext cx="868680" cy="287020"/>
                                </a:xfrm>
                                <a:prstGeom prst="rect">
                                  <a:avLst/>
                                </a:prstGeom>
                                <a:noFill/>
                                <a:ln>
                                  <a:noFill/>
                                </a:ln>
                              </wps:spPr>
                              <wps:txbx>
                                <w:txbxContent>
                                  <w:p>
                                    <w:pPr>
                                      <w:jc w:val="center"/>
                                      <w:rPr>
                                        <w:rFonts w:hint="eastAsia"/>
                                      </w:rPr>
                                    </w:pPr>
                                    <w:r>
                                      <w:rPr>
                                        <w:rFonts w:hint="eastAsia"/>
                                      </w:rPr>
                                      <w:t>损耗</w:t>
                                    </w:r>
                                    <w:r>
                                      <w:t>0.02</w:t>
                                    </w:r>
                                  </w:p>
                                </w:txbxContent>
                              </wps:txbx>
                              <wps:bodyPr upright="1"/>
                            </wps:wsp>
                            <wps:wsp>
                              <wps:cNvPr id="97" name="矩形 97"/>
                              <wps:cNvSpPr/>
                              <wps:spPr>
                                <a:xfrm>
                                  <a:off x="3155950" y="244475"/>
                                  <a:ext cx="582930" cy="287020"/>
                                </a:xfrm>
                                <a:prstGeom prst="rect">
                                  <a:avLst/>
                                </a:prstGeom>
                                <a:noFill/>
                                <a:ln>
                                  <a:noFill/>
                                </a:ln>
                              </wps:spPr>
                              <wps:txbx>
                                <w:txbxContent>
                                  <w:p>
                                    <w:pPr>
                                      <w:jc w:val="center"/>
                                      <w:rPr>
                                        <w:rFonts w:hint="default" w:eastAsia="宋体"/>
                                        <w:lang w:val="en-US" w:eastAsia="zh-CN"/>
                                      </w:rPr>
                                    </w:pPr>
                                    <w:r>
                                      <w:rPr>
                                        <w:rFonts w:hint="eastAsia"/>
                                        <w:lang w:val="en-US" w:eastAsia="zh-CN"/>
                                      </w:rPr>
                                      <w:t>1.864</w:t>
                                    </w:r>
                                  </w:p>
                                </w:txbxContent>
                              </wps:txbx>
                              <wps:bodyPr upright="1"/>
                            </wps:wsp>
                            <wps:wsp>
                              <wps:cNvPr id="98" name="直接箭头连接符 98"/>
                              <wps:cNvCnPr/>
                              <wps:spPr>
                                <a:xfrm>
                                  <a:off x="2118995" y="1100455"/>
                                  <a:ext cx="467995" cy="635"/>
                                </a:xfrm>
                                <a:prstGeom prst="straightConnector1">
                                  <a:avLst/>
                                </a:prstGeom>
                                <a:ln w="9525" cap="flat" cmpd="sng">
                                  <a:solidFill>
                                    <a:srgbClr val="000000"/>
                                  </a:solidFill>
                                  <a:prstDash val="solid"/>
                                  <a:headEnd type="none" w="med" len="med"/>
                                  <a:tailEnd type="triangle" w="med" len="med"/>
                                </a:ln>
                              </wps:spPr>
                              <wps:bodyPr/>
                            </wps:wsp>
                            <wps:wsp>
                              <wps:cNvPr id="101" name="直接箭头连接符 101"/>
                              <wps:cNvCnPr>
                                <a:endCxn id="84" idx="3"/>
                              </wps:cNvCnPr>
                              <wps:spPr>
                                <a:xfrm flipH="1">
                                  <a:off x="705485" y="737235"/>
                                  <a:ext cx="222885" cy="10160"/>
                                </a:xfrm>
                                <a:prstGeom prst="straightConnector1">
                                  <a:avLst/>
                                </a:prstGeom>
                                <a:ln w="9525" cap="flat" cmpd="sng">
                                  <a:solidFill>
                                    <a:srgbClr val="000000"/>
                                  </a:solidFill>
                                  <a:prstDash val="solid"/>
                                  <a:headEnd type="none" w="med" len="med"/>
                                  <a:tailEnd type="none" w="med" len="med"/>
                                </a:ln>
                              </wps:spPr>
                              <wps:bodyPr/>
                            </wps:wsp>
                            <wps:wsp>
                              <wps:cNvPr id="102" name="直接箭头连接符 102"/>
                              <wps:cNvCnPr/>
                              <wps:spPr>
                                <a:xfrm>
                                  <a:off x="3729990" y="743585"/>
                                  <a:ext cx="801370" cy="635"/>
                                </a:xfrm>
                                <a:prstGeom prst="straightConnector1">
                                  <a:avLst/>
                                </a:prstGeom>
                                <a:ln w="9525" cap="flat" cmpd="sng">
                                  <a:solidFill>
                                    <a:srgbClr val="000000"/>
                                  </a:solidFill>
                                  <a:prstDash val="solid"/>
                                  <a:headEnd type="none" w="med" len="med"/>
                                  <a:tailEnd type="triangle" w="med" len="med"/>
                                </a:ln>
                              </wps:spPr>
                              <wps:bodyPr/>
                            </wps:wsp>
                            <wps:wsp>
                              <wps:cNvPr id="103" name="直接箭头连接符 103"/>
                              <wps:cNvCnPr/>
                              <wps:spPr>
                                <a:xfrm>
                                  <a:off x="3234690" y="462915"/>
                                  <a:ext cx="504190" cy="635"/>
                                </a:xfrm>
                                <a:prstGeom prst="straightConnector1">
                                  <a:avLst/>
                                </a:prstGeom>
                                <a:ln w="9525" cap="flat" cmpd="sng">
                                  <a:solidFill>
                                    <a:srgbClr val="000000"/>
                                  </a:solidFill>
                                  <a:prstDash val="solid"/>
                                  <a:headEnd type="none" w="med" len="med"/>
                                  <a:tailEnd type="triangle" w="med" len="med"/>
                                </a:ln>
                              </wps:spPr>
                              <wps:bodyPr/>
                            </wps:wsp>
                            <wps:wsp>
                              <wps:cNvPr id="104" name="直接箭头连接符 104"/>
                              <wps:cNvCnPr/>
                              <wps:spPr>
                                <a:xfrm flipV="1">
                                  <a:off x="3361690" y="1110615"/>
                                  <a:ext cx="378460" cy="635"/>
                                </a:xfrm>
                                <a:prstGeom prst="straightConnector1">
                                  <a:avLst/>
                                </a:prstGeom>
                                <a:ln w="9525" cap="flat" cmpd="sng">
                                  <a:solidFill>
                                    <a:srgbClr val="000000"/>
                                  </a:solidFill>
                                  <a:prstDash val="solid"/>
                                  <a:headEnd type="none" w="med" len="med"/>
                                  <a:tailEnd type="triangle" w="med" len="med"/>
                                </a:ln>
                              </wps:spPr>
                              <wps:bodyPr/>
                            </wps:wsp>
                            <wps:wsp>
                              <wps:cNvPr id="105" name="矩形 105"/>
                              <wps:cNvSpPr/>
                              <wps:spPr>
                                <a:xfrm>
                                  <a:off x="4531360" y="606425"/>
                                  <a:ext cx="756285" cy="2889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污水管网</w:t>
                                    </w:r>
                                  </w:p>
                                </w:txbxContent>
                              </wps:txbx>
                              <wps:bodyPr upright="1"/>
                            </wps:wsp>
                            <wps:wsp>
                              <wps:cNvPr id="106" name="直接箭头连接符 106"/>
                              <wps:cNvCnPr/>
                              <wps:spPr>
                                <a:xfrm rot="5400000">
                                  <a:off x="4735830" y="1066800"/>
                                  <a:ext cx="360045" cy="635"/>
                                </a:xfrm>
                                <a:prstGeom prst="straightConnector1">
                                  <a:avLst/>
                                </a:prstGeom>
                                <a:ln w="9525" cap="flat" cmpd="sng">
                                  <a:solidFill>
                                    <a:srgbClr val="000000"/>
                                  </a:solidFill>
                                  <a:prstDash val="solid"/>
                                  <a:headEnd type="none" w="med" len="med"/>
                                  <a:tailEnd type="triangle" w="med" len="med"/>
                                </a:ln>
                              </wps:spPr>
                              <wps:bodyPr/>
                            </wps:wsp>
                            <wps:wsp>
                              <wps:cNvPr id="107" name="矩形 107"/>
                              <wps:cNvSpPr/>
                              <wps:spPr>
                                <a:xfrm>
                                  <a:off x="4283075" y="1247775"/>
                                  <a:ext cx="1285240" cy="2889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资溪县</w:t>
                                    </w:r>
                                    <w:r>
                                      <w:t>污水处理厂</w:t>
                                    </w:r>
                                    <w:r>
                                      <w:rPr>
                                        <w:rFonts w:hint="eastAsia"/>
                                      </w:rPr>
                                      <w:t xml:space="preserve"> </w:t>
                                    </w:r>
                                  </w:p>
                                </w:txbxContent>
                              </wps:txbx>
                              <wps:bodyPr upright="1"/>
                            </wps:wsp>
                            <wps:wsp>
                              <wps:cNvPr id="110" name="矩形 110"/>
                              <wps:cNvSpPr/>
                              <wps:spPr>
                                <a:xfrm>
                                  <a:off x="2045335" y="882015"/>
                                  <a:ext cx="582930" cy="287020"/>
                                </a:xfrm>
                                <a:prstGeom prst="rect">
                                  <a:avLst/>
                                </a:prstGeom>
                                <a:noFill/>
                                <a:ln>
                                  <a:noFill/>
                                </a:ln>
                              </wps:spPr>
                              <wps:txbx>
                                <w:txbxContent>
                                  <w:p>
                                    <w:pPr>
                                      <w:jc w:val="center"/>
                                      <w:rPr>
                                        <w:rFonts w:hint="eastAsia"/>
                                      </w:rPr>
                                    </w:pPr>
                                    <w:r>
                                      <w:t>0.22</w:t>
                                    </w:r>
                                  </w:p>
                                </w:txbxContent>
                              </wps:txbx>
                              <wps:bodyPr upright="1"/>
                            </wps:wsp>
                            <wps:wsp>
                              <wps:cNvPr id="111" name="矩形 111"/>
                              <wps:cNvSpPr/>
                              <wps:spPr>
                                <a:xfrm>
                                  <a:off x="4420870" y="960755"/>
                                  <a:ext cx="582930" cy="287020"/>
                                </a:xfrm>
                                <a:prstGeom prst="rect">
                                  <a:avLst/>
                                </a:prstGeom>
                                <a:noFill/>
                                <a:ln>
                                  <a:noFill/>
                                </a:ln>
                              </wps:spPr>
                              <wps:txbx>
                                <w:txbxContent>
                                  <w:p>
                                    <w:pPr>
                                      <w:jc w:val="center"/>
                                      <w:rPr>
                                        <w:rFonts w:hint="default" w:eastAsia="宋体"/>
                                        <w:lang w:val="en-US" w:eastAsia="zh-CN"/>
                                      </w:rPr>
                                    </w:pPr>
                                    <w:r>
                                      <w:t>2.</w:t>
                                    </w:r>
                                    <w:r>
                                      <w:rPr>
                                        <w:rFonts w:hint="eastAsia"/>
                                        <w:lang w:val="en-US" w:eastAsia="zh-CN"/>
                                      </w:rPr>
                                      <w:t>084</w:t>
                                    </w:r>
                                  </w:p>
                                </w:txbxContent>
                              </wps:txbx>
                              <wps:bodyPr upright="1"/>
                            </wps:wsp>
                            <wps:wsp>
                              <wps:cNvPr id="118" name="直接箭头连接符 118"/>
                              <wps:cNvCnPr/>
                              <wps:spPr>
                                <a:xfrm rot="5400000" flipH="1">
                                  <a:off x="3406140" y="782955"/>
                                  <a:ext cx="647700" cy="635"/>
                                </a:xfrm>
                                <a:prstGeom prst="straightConnector1">
                                  <a:avLst/>
                                </a:prstGeom>
                                <a:ln w="9525" cap="flat" cmpd="sng">
                                  <a:solidFill>
                                    <a:srgbClr val="000000"/>
                                  </a:solidFill>
                                  <a:prstDash val="solid"/>
                                  <a:headEnd type="none" w="med" len="med"/>
                                  <a:tailEnd type="none" w="med" len="med"/>
                                </a:ln>
                              </wps:spPr>
                              <wps:bodyPr/>
                            </wps:wsp>
                            <wps:wsp>
                              <wps:cNvPr id="120" name="矩形 120"/>
                              <wps:cNvSpPr/>
                              <wps:spPr>
                                <a:xfrm>
                                  <a:off x="1938020" y="0"/>
                                  <a:ext cx="863600" cy="279400"/>
                                </a:xfrm>
                                <a:prstGeom prst="rect">
                                  <a:avLst/>
                                </a:prstGeom>
                                <a:noFill/>
                                <a:ln>
                                  <a:noFill/>
                                </a:ln>
                              </wps:spPr>
                              <wps:txbx>
                                <w:txbxContent>
                                  <w:p>
                                    <w:pPr>
                                      <w:jc w:val="center"/>
                                      <w:rPr>
                                        <w:rFonts w:hint="default" w:eastAsia="宋体"/>
                                        <w:lang w:val="en-US" w:eastAsia="zh-CN"/>
                                      </w:rPr>
                                    </w:pPr>
                                    <w:r>
                                      <w:rPr>
                                        <w:rFonts w:hint="eastAsia"/>
                                      </w:rPr>
                                      <w:t>损耗</w:t>
                                    </w:r>
                                    <w:r>
                                      <w:t>0.</w:t>
                                    </w:r>
                                    <w:r>
                                      <w:rPr>
                                        <w:rFonts w:hint="eastAsia"/>
                                        <w:lang w:val="en-US" w:eastAsia="zh-CN"/>
                                      </w:rPr>
                                      <w:t>466</w:t>
                                    </w:r>
                                  </w:p>
                                </w:txbxContent>
                              </wps:txbx>
                              <wps:bodyPr upright="1"/>
                            </wps:wsp>
                          </wpc:wpc>
                        </a:graphicData>
                      </a:graphic>
                    </wp:inline>
                  </w:drawing>
                </mc:Choice>
                <mc:Fallback>
                  <w:pict>
                    <v:group id="_x0000_s1026" o:spid="_x0000_s1026" o:spt="203" style="height:135.55pt;width:453.5pt;" coordsize="5759450,1721485" editas="canvas" o:gfxdata="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">
                      <o:lock v:ext="edit" aspectratio="f"/>
                      <v:shape id="_x0000_s1026" o:spid="_x0000_s1026" style="position:absolute;left:0;top:0;height:1721485;width:5759450;" filled="f" stroked="f" coordsize="21600,21600" o:gfxdata="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">
                        <v:fill on="f" focussize="0,0"/>
                        <v:stroke on="f"/>
                        <v:imagedata o:title=""/>
                        <o:lock v:ext="edit" aspectratio="t"/>
                      </v:shape>
                      <v:rect id="_x0000_s1026" o:spid="_x0000_s1026" o:spt="1" style="position:absolute;left:1363345;top:318135;height:288290;width:755650;" fillcolor="#FFFFFF" filled="t" stroked="t" coordsize="21600,21600" o:gfxdata="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eulFstMAAAAFAQAADwAAAAAAAAABACAAAAAi&#10;AAAAZHJzL2Rvd25yZXYueG1sUEsBAhQAFAAAAAgAh07iQGnxOtcPAgAANQQAAA4AAAAAAAAAAQAg&#10;AAAAIgEAAGRycy9lMm9Eb2MueG1sUEsFBgAAAAAGAAYAWQEAAKMFAAAAAA==&#10;">
                        <v:fill on="t" focussize="0,0"/>
                        <v:stroke color="#000000" joinstyle="miter"/>
                        <v:imagedata o:title=""/>
                        <o:lock v:ext="edit" aspectratio="f"/>
                        <v:textbox>
                          <w:txbxContent>
                            <w:p>
                              <w:pPr>
                                <w:jc w:val="center"/>
                                <w:rPr>
                                  <w:rFonts w:hint="eastAsia"/>
                                </w:rPr>
                              </w:pPr>
                              <w:r>
                                <w:rPr>
                                  <w:rFonts w:hint="eastAsia"/>
                                </w:rPr>
                                <w:t>生活</w:t>
                              </w:r>
                              <w:r>
                                <w:t>用水</w:t>
                              </w:r>
                            </w:p>
                          </w:txbxContent>
                        </v:textbox>
                      </v:rect>
                      <v:rect id="_x0000_s1026" o:spid="_x0000_s1026" o:spt="1" style="position:absolute;left:2586990;top:318135;height:288290;width:648335;" fillcolor="#FFFFFF" filled="t" stroked="t" coordsize="21600,21600" o:gfxdata="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eulFstMAAAAFAQAADwAAAAAAAAABACAAAAAiAAAA&#10;ZHJzL2Rvd25yZXYueG1sUEsBAhQAFAAAAAgAh07iQJHPa8MMAgAANQQAAA4AAAAAAAAAAQAgAAAA&#10;IgEAAGRycy9lMm9Eb2MueG1sUEsFBgAAAAAGAAYAWQEAAKAFAAAAAA==&#10;">
                        <v:fill on="t" focussize="0,0"/>
                        <v:stroke color="#000000" joinstyle="miter"/>
                        <v:imagedata o:title=""/>
                        <o:lock v:ext="edit" aspectratio="f"/>
                        <v:textbox>
                          <w:txbxContent>
                            <w:p>
                              <w:pPr>
                                <w:jc w:val="center"/>
                                <w:rPr>
                                  <w:rFonts w:hint="eastAsia"/>
                                </w:rPr>
                              </w:pPr>
                              <w:r>
                                <w:rPr>
                                  <w:rFonts w:hint="eastAsia"/>
                                </w:rPr>
                                <w:t>化粪池</w:t>
                              </w:r>
                            </w:p>
                          </w:txbxContent>
                        </v:textbox>
                      </v:rect>
                      <v:rect id="_x0000_s1026" o:spid="_x0000_s1026" o:spt="1" style="position:absolute;left:2586990;top:963930;height:288925;width:774700;" fillcolor="#FFFFFF" filled="t" stroked="t" coordsize="21600,21600" o:gfxdata="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eulFstMAAAAFAQAADwAAAAAAAAABACAAAAAiAAAA&#10;ZHJzL2Rvd25yZXYueG1sUEsBAhQAFAAAAAgAh07iQNueWVgMAgAANQQAAA4AAAAAAAAAAQAgAAAA&#10;IgEAAGRycy9lMm9Eb2MueG1sUEsFBgAAAAAGAAYAWQEAAKAFAAAAAA==&#10;">
                        <v:fill on="t" focussize="0,0"/>
                        <v:stroke color="#000000" joinstyle="miter"/>
                        <v:imagedata o:title=""/>
                        <o:lock v:ext="edit" aspectratio="f"/>
                        <v:textbox>
                          <w:txbxContent>
                            <w:p>
                              <w:pPr>
                                <w:jc w:val="center"/>
                                <w:rPr>
                                  <w:rFonts w:hint="eastAsia"/>
                                </w:rPr>
                              </w:pPr>
                              <w:r>
                                <w:rPr>
                                  <w:rFonts w:hint="eastAsia"/>
                                </w:rPr>
                                <w:t>隔油沉淀</w:t>
                              </w:r>
                            </w:p>
                          </w:txbxContent>
                        </v:textbox>
                      </v:rect>
                      <v:rect id="_x0000_s1026" o:spid="_x0000_s1026" o:spt="1" style="position:absolute;left:1363345;top:973455;height:288290;width:756285;" fillcolor="#FFFFFF" filled="t" stroked="t" coordsize="21600,21600" o:gfxdata="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66UWy0wAAAAUBAAAPAAAAAAAAAAEAIAAAACIA&#10;AABkcnMvZG93bnJldi54bWxQSwECFAAUAAAACACHTuJAsFXEnw4CAAA1BAAADgAAAAAAAAABACAA&#10;AAAiAQAAZHJzL2Uyb0RvYy54bWxQSwUGAAAAAAYABgBZAQAAogUAAAAA&#10;">
                        <v:fill on="t" focussize="0,0"/>
                        <v:stroke color="#000000" joinstyle="miter"/>
                        <v:imagedata o:title=""/>
                        <o:lock v:ext="edit" aspectratio="f"/>
                        <v:textbox>
                          <w:txbxContent>
                            <w:p>
                              <w:pPr>
                                <w:jc w:val="center"/>
                                <w:rPr>
                                  <w:rFonts w:hint="eastAsia"/>
                                </w:rPr>
                              </w:pPr>
                              <w:r>
                                <w:rPr>
                                  <w:rFonts w:hint="eastAsia"/>
                                </w:rPr>
                                <w:t>冲洗</w:t>
                              </w:r>
                              <w:r>
                                <w:t>用水</w:t>
                              </w:r>
                            </w:p>
                          </w:txbxContent>
                        </v:textbox>
                      </v:rect>
                      <v:rect id="_x0000_s1026" o:spid="_x0000_s1026" o:spt="1" style="position:absolute;left:57785;top:603250;height:288290;width:647700;" fillcolor="#FFFFFF" filled="t" stroked="t" coordsize="21600,21600" o:gfxdata="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66UWy0wAAAAUBAAAPAAAAAAAAAAEAIAAAACIA&#10;AABkcnMvZG93bnJldi54bWxQSwECFAAUAAAACACHTuJAvPb8wA4CAAAzBAAADgAAAAAAAAABACAA&#10;AAAiAQAAZHJzL2Uyb0RvYy54bWxQSwUGAAAAAAYABgBZAQAAogUAAAAA&#10;">
                        <v:fill on="t" focussize="0,0"/>
                        <v:stroke color="#000000" joinstyle="miter"/>
                        <v:imagedata o:title=""/>
                        <o:lock v:ext="edit" aspectratio="f"/>
                        <v:textbox>
                          <w:txbxContent>
                            <w:p>
                              <w:pPr>
                                <w:jc w:val="center"/>
                                <w:rPr>
                                  <w:rFonts w:hint="eastAsia"/>
                                </w:rPr>
                              </w:pPr>
                              <w:r>
                                <w:rPr>
                                  <w:rFonts w:hint="eastAsia"/>
                                </w:rPr>
                                <w:t>自来水</w:t>
                              </w:r>
                            </w:p>
                          </w:txbxContent>
                        </v:textbox>
                      </v:rect>
                      <v:shape id="_x0000_s1026" o:spid="_x0000_s1026" o:spt="32" type="#_x0000_t32" style="position:absolute;left:945515;top:463550;height:635;width:417830;" filled="f" stroked="t" coordsize="21600,21600" o:gfxdata="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iVuALWAAAABQEAAA8AAAAAAAAAAQAg&#10;AAAAIgAAAGRycy9kb3ducmV2LnhtbFBLAQIUABQAAAAIAIdO4kCFSqfOEAIAAP0DAAAOAAAAAAAA&#10;AAEAIAAAACUBAABkcnMvZTJvRG9jLnhtbFBLBQYAAAAABgAGAFkBAACnBQAAAAA=&#10;">
                        <v:fill on="f" focussize="0,0"/>
                        <v:stroke color="#000000" joinstyle="round" endarrow="block"/>
                        <v:imagedata o:title=""/>
                        <o:lock v:ext="edit" aspectratio="f"/>
                      </v:shape>
                      <v:rect id="_x0000_s1026" o:spid="_x0000_s1026" o:spt="1" style="position:absolute;left:3283585;top:831215;height:287020;width:582930;" filled="f" stroked="f" coordsize="21600,21600" o:gfxdata="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JX2fW&#10;AAAABQEAAA8AAAAAAAAAAQAgAAAAIgAAAGRycy9kb3ducmV2LnhtbFBLAQIUABQAAAAIAIdO4kD3&#10;CPCzsAEAAE0DAAAOAAAAAAAAAAEAIAAAACUBAABkcnMvZTJvRG9jLnhtbFBLBQYAAAAABgAGAFkB&#10;AABHBQAAAAA=&#10;">
                        <v:fill on="f" focussize="0,0"/>
                        <v:stroke on="f"/>
                        <v:imagedata o:title=""/>
                        <o:lock v:ext="edit" aspectratio="f"/>
                        <v:textbox>
                          <w:txbxContent>
                            <w:p>
                              <w:pPr>
                                <w:jc w:val="center"/>
                                <w:rPr>
                                  <w:rFonts w:hint="eastAsia"/>
                                </w:rPr>
                              </w:pPr>
                              <w:r>
                                <w:t>0.22</w:t>
                              </w:r>
                            </w:p>
                          </w:txbxContent>
                        </v:textbox>
                      </v:rect>
                      <v:rect id="_x0000_s1026" o:spid="_x0000_s1026" o:spt="1" style="position:absolute;left:875665;top:882015;height:287020;width:582930;" filled="f" stroked="f" coordsize="21600,21600" o:gfxdata="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L+JX2fWAAAA&#10;BQEAAA8AAAAAAAAAAQAgAAAAIgAAAGRycy9kb3ducmV2LnhtbFBLAQIUABQAAAAIAIdO4kAF8Ati&#10;rQEAAEwDAAAOAAAAAAAAAAEAIAAAACUBAABkcnMvZTJvRG9jLnhtbFBLBQYAAAAABgAGAFkBAABE&#10;BQAAAAA=&#10;">
                        <v:fill on="f" focussize="0,0"/>
                        <v:stroke on="f"/>
                        <v:imagedata o:title=""/>
                        <o:lock v:ext="edit" aspectratio="f"/>
                        <v:textbox>
                          <w:txbxContent>
                            <w:p>
                              <w:pPr>
                                <w:jc w:val="center"/>
                                <w:rPr>
                                  <w:rFonts w:hint="eastAsia"/>
                                </w:rPr>
                              </w:pPr>
                              <w:r>
                                <w:t>0.24</w:t>
                              </w:r>
                            </w:p>
                          </w:txbxContent>
                        </v:textbox>
                      </v:rect>
                      <v:shape id="_x0000_s1026" o:spid="_x0000_s1026" o:spt="32" type="#_x0000_t32" style="position:absolute;left:937260;top:463550;height:666750;width:635;" filled="f" stroked="t" coordsize="21600,21600" o:gfxdata="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cUdLO1AAAAAUBAAAPAAAAAAAAAAEAIAAAACIAAABk&#10;cnMvZG93bnJldi54bWxQSwECFAAUAAAACACHTuJAyrmdGQoCAAD5AwAADgAAAAAAAAABACAAAAAj&#10;AQAAZHJzL2Uyb0RvYy54bWxQSwUGAAAAAAYABgBZAQAAnwUAAAAA&#10;">
                        <v:fill on="f" focussize="0,0"/>
                        <v:stroke color="#000000" joinstyle="round"/>
                        <v:imagedata o:title=""/>
                        <o:lock v:ext="edit" aspectratio="f"/>
                      </v:shape>
                      <v:shape id="_x0000_s1026" o:spid="_x0000_s1026" o:spt="100" style="position:absolute;left:1739900;top:175895;height:142240;width:330200;" filled="f" stroked="t" coordsize="520,224" o:gfxdata="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OgMSF0QAAAAUB&#10;AAAPAAAAAAAAAAEAIAAAACIAAABkcnMvZG93bnJldi54bWxQSwECFAAUAAAACACHTuJAkJkzEpQC&#10;AACUBQAADgAAAAAAAAABACAAAAAgAQAAZHJzL2Uyb0RvYy54bWxQSwUGAAAAAAYABgBZAQAAJgYA&#10;AAAA&#10;" path="m0,224c94,136,188,49,255,30c322,11,356,113,400,108c444,103,500,18,520,0e">
                        <v:fill on="f" focussize="0,0"/>
                        <v:stroke color="#000000" joinstyle="round"/>
                        <v:imagedata o:title=""/>
                        <o:lock v:ext="edit" aspectratio="f"/>
                      </v:shape>
                      <v:rect id="_x0000_s1026" o:spid="_x0000_s1026" o:spt="1" style="position:absolute;left:780415;top:244475;height:287020;width:582930;" filled="f" stroked="f" coordsize="21600,21600" o:gfxdata="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iV9n1gAA&#10;AAUBAAAPAAAAAAAAAAEAIAAAACIAAABkcnMvZG93bnJldi54bWxQSwECFAAUAAAACACHTuJANDWD&#10;Za4BAABMAwAADgAAAAAAAAABACAAAAAlAQAAZHJzL2Uyb0RvYy54bWxQSwUGAAAAAAYABgBZAQAA&#10;RQUAAAAA&#10;">
                        <v:fill on="f" focussize="0,0"/>
                        <v:stroke on="f"/>
                        <v:imagedata o:title=""/>
                        <o:lock v:ext="edit" aspectratio="f"/>
                        <v:textbox>
                          <w:txbxContent>
                            <w:p>
                              <w:pPr>
                                <w:jc w:val="center"/>
                                <w:rPr>
                                  <w:rFonts w:hint="default" w:eastAsia="宋体"/>
                                  <w:lang w:val="en-US" w:eastAsia="zh-CN"/>
                                </w:rPr>
                              </w:pPr>
                              <w:r>
                                <w:t>2.</w:t>
                              </w:r>
                              <w:r>
                                <w:rPr>
                                  <w:rFonts w:hint="eastAsia"/>
                                  <w:lang w:val="en-US" w:eastAsia="zh-CN"/>
                                </w:rPr>
                                <w:t>33</w:t>
                              </w:r>
                            </w:p>
                          </w:txbxContent>
                        </v:textbox>
                      </v:rect>
                      <v:rect id="_x0000_s1026" o:spid="_x0000_s1026" o:spt="1" style="position:absolute;left:3780790;top:502285;height:287020;width:582930;" filled="f" stroked="f" coordsize="21600,21600" o:gfxdata="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v4lfZ9YA&#10;AAAFAQAADwAAAAAAAAABACAAAAAiAAAAZHJzL2Rvd25yZXYueG1sUEsBAhQAFAAAAAgAh07iQF96&#10;mOmvAQAATQMAAA4AAAAAAAAAAQAgAAAAJQEAAGRycy9lMm9Eb2MueG1sUEsFBgAAAAAGAAYAWQEA&#10;AEYFA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2.084</w:t>
                              </w:r>
                            </w:p>
                          </w:txbxContent>
                        </v:textbox>
                      </v:rect>
                      <v:shape id="_x0000_s1026" o:spid="_x0000_s1026" o:spt="32" type="#_x0000_t32" style="position:absolute;left:2118995;top:462915;height:635;width:467995;" filled="f" stroked="t" coordsize="21600,21600" o:gfxdata="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iVuALWAAAABQEAAA8AAAAAAAAA&#10;AQAgAAAAIgAAAGRycy9kb3ducmV2LnhtbFBLAQIUABQAAAAIAIdO4kCBCA31EwIAAP4DAAAOAAAA&#10;AAAAAAEAIAAAACUBAABkcnMvZTJvRG9jLnhtbFBLBQYAAAAABgAGAFkBAACqBQAAAAA=&#10;">
                        <v:fill on="f" focussize="0,0"/>
                        <v:stroke color="#000000" joinstyle="round" endarrow="block"/>
                        <v:imagedata o:title=""/>
                        <o:lock v:ext="edit" aspectratio="f"/>
                      </v:shape>
                      <v:rect id="_x0000_s1026" o:spid="_x0000_s1026" o:spt="1" style="position:absolute;left:2042160;top:237490;height:287020;width:582930;" filled="f" stroked="f" coordsize="21600,21600" o:gfxdata="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L+JX2fWAAAA&#10;BQEAAA8AAAAAAAAAAQAgAAAAIgAAAGRycy9kb3ducmV2LnhtbFBLAQIUABQAAAAIAIdO4kDE3y4j&#10;rQEAAE0DAAAOAAAAAAAAAAEAIAAAACUBAABkcnMvZTJvRG9jLnhtbFBLBQYAAAAABgAGAFkBAABE&#10;BQ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1.864</w:t>
                              </w:r>
                            </w:p>
                          </w:txbxContent>
                        </v:textbox>
                      </v:rect>
                      <v:shape id="_x0000_s1026" o:spid="_x0000_s1026" o:spt="32" type="#_x0000_t32" style="position:absolute;left:937260;top:1110615;height:635;width:417830;" filled="f" stroked="t" coordsize="21600,21600" o:gfxdata="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iVuALWAAAABQEAAA8AAAAAAAAA&#10;AQAgAAAAIgAAAGRycy9kb3ducmV2LnhtbFBLAQIUABQAAAAIAIdO4kD8m3XfEwIAAP4DAAAOAAAA&#10;AAAAAAEAIAAAACUBAABkcnMvZTJvRG9jLnhtbFBLBQYAAAAABgAGAFkBAACqBQAAAAA=&#10;">
                        <v:fill on="f" focussize="0,0"/>
                        <v:stroke color="#000000" joinstyle="round" endarrow="block"/>
                        <v:imagedata o:title=""/>
                        <o:lock v:ext="edit" aspectratio="f"/>
                      </v:shape>
                      <v:shape id="_x0000_s1026" o:spid="_x0000_s1026" o:spt="100" style="position:absolute;left:1720850;top:831215;height:142240;width:330200;" filled="f" stroked="t" coordsize="520,224" o:gfxdata="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I6AxIXR&#10;AAAABQEAAA8AAAAAAAAAAQAgAAAAIgAAAGRycy9kb3ducmV2LnhtbFBLAQIUABQAAAAIAIdO4kCt&#10;8+BPmQIAAJQFAAAOAAAAAAAAAAEAIAAAACABAABkcnMvZTJvRG9jLnhtbFBLBQYAAAAABgAGAFkB&#10;AAArBgAAAAA=&#10;" path="m0,224c94,136,188,49,255,30c322,11,356,113,400,108c444,103,500,18,520,0e">
                        <v:fill on="f" focussize="0,0"/>
                        <v:stroke color="#000000" joinstyle="round"/>
                        <v:imagedata o:title=""/>
                        <o:lock v:ext="edit" aspectratio="f"/>
                      </v:shape>
                      <v:rect id="_x0000_s1026" o:spid="_x0000_s1026" o:spt="1" style="position:absolute;left:1906270;top:657860;height:287020;width:868680;" filled="f" stroked="f" coordsize="21600,21600" o:gfxdata="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v4lfZ9YAAAAF&#10;AQAADwAAAAAAAAABACAAAAAiAAAAZHJzL2Rvd25yZXYueG1sUEsBAhQAFAAAAAgAh07iQEth3Y6s&#10;AQAATQMAAA4AAAAAAAAAAQAgAAAAJQEAAGRycy9lMm9Eb2MueG1sUEsFBgAAAAAGAAYAWQEAAEMF&#10;AAAAAA==&#10;">
                        <v:fill on="f" focussize="0,0"/>
                        <v:stroke on="f"/>
                        <v:imagedata o:title=""/>
                        <o:lock v:ext="edit" aspectratio="f"/>
                        <v:textbox>
                          <w:txbxContent>
                            <w:p>
                              <w:pPr>
                                <w:jc w:val="center"/>
                                <w:rPr>
                                  <w:rFonts w:hint="eastAsia"/>
                                </w:rPr>
                              </w:pPr>
                              <w:r>
                                <w:rPr>
                                  <w:rFonts w:hint="eastAsia"/>
                                </w:rPr>
                                <w:t>损耗</w:t>
                              </w:r>
                              <w:r>
                                <w:t>0.02</w:t>
                              </w:r>
                            </w:p>
                          </w:txbxContent>
                        </v:textbox>
                      </v:rect>
                      <v:rect id="_x0000_s1026" o:spid="_x0000_s1026" o:spt="1" style="position:absolute;left:3155950;top:244475;height:287020;width:582930;" filled="f" stroked="f" coordsize="21600,21600" o:gfxdata="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JX2fW&#10;AAAABQEAAA8AAAAAAAAAAQAgAAAAIgAAAGRycy9kb3ducmV2LnhtbFBLAQIUABQAAAAIAIdO4kBB&#10;qCBMsAEAAE0DAAAOAAAAAAAAAAEAIAAAACUBAABkcnMvZTJvRG9jLnhtbFBLBQYAAAAABgAGAFkB&#10;AABHBQAAAAA=&#10;">
                        <v:fill on="f" focussize="0,0"/>
                        <v:stroke on="f"/>
                        <v:imagedata o:title=""/>
                        <o:lock v:ext="edit" aspectratio="f"/>
                        <v:textbox>
                          <w:txbxContent>
                            <w:p>
                              <w:pPr>
                                <w:jc w:val="center"/>
                                <w:rPr>
                                  <w:rFonts w:hint="default" w:eastAsia="宋体"/>
                                  <w:lang w:val="en-US" w:eastAsia="zh-CN"/>
                                </w:rPr>
                              </w:pPr>
                              <w:r>
                                <w:rPr>
                                  <w:rFonts w:hint="eastAsia"/>
                                  <w:lang w:val="en-US" w:eastAsia="zh-CN"/>
                                </w:rPr>
                                <w:t>1.864</w:t>
                              </w:r>
                            </w:p>
                          </w:txbxContent>
                        </v:textbox>
                      </v:rect>
                      <v:shape id="_x0000_s1026" o:spid="_x0000_s1026" o:spt="32" type="#_x0000_t32" style="position:absolute;left:2118995;top:1100455;height:635;width:467995;" filled="f" stroked="t" coordsize="21600,21600" o:gfxdata="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IlbgC1gAAAAUBAAAPAAAAAAAA&#10;AAEAIAAAACIAAABkcnMvZG93bnJldi54bWxQSwECFAAUAAAACACHTuJA2Eo7qBQCAAD/AwAADgAA&#10;AAAAAAABACAAAAAlAQAAZHJzL2Uyb0RvYy54bWxQSwUGAAAAAAYABgBZAQAAqwUAAAAA&#10;">
                        <v:fill on="f" focussize="0,0"/>
                        <v:stroke color="#000000" joinstyle="round" endarrow="block"/>
                        <v:imagedata o:title=""/>
                        <o:lock v:ext="edit" aspectratio="f"/>
                      </v:shape>
                      <v:shape id="_x0000_s1026" o:spid="_x0000_s1026" o:spt="32" type="#_x0000_t32" style="position:absolute;left:705485;top:737235;flip:x;height:10160;width:222885;" filled="f" stroked="t" coordsize="21600,21600" o:gfxdata="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CGBRvnU&#10;AAAABQEAAA8AAAAAAAAAAQAgAAAAIgAAAGRycy9kb3ducmV2LnhtbFBLAQIUABQAAAAIAIdO4kAl&#10;A+S+JAIAAC8EAAAOAAAAAAAAAAEAIAAAACMBAABkcnMvZTJvRG9jLnhtbFBLBQYAAAAABgAGAFkB&#10;AAC5BQAAAAA=&#10;">
                        <v:fill on="f" focussize="0,0"/>
                        <v:stroke color="#000000" joinstyle="round"/>
                        <v:imagedata o:title=""/>
                        <o:lock v:ext="edit" aspectratio="f"/>
                      </v:shape>
                      <v:shape id="_x0000_s1026" o:spid="_x0000_s1026" o:spt="32" type="#_x0000_t32" style="position:absolute;left:3729990;top:743585;height:635;width:801370;" filled="f" stroked="t" coordsize="21600,21600" o:gfxdata="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MiVuALWAAAABQEAAA8AAAAA&#10;AAAAAQAgAAAAIgAAAGRycy9kb3ducmV2LnhtbFBLAQIUABQAAAAIAIdO4kCrV56UFgIAAAAEAAAO&#10;AAAAAAAAAAEAIAAAACUBAABkcnMvZTJvRG9jLnhtbFBLBQYAAAAABgAGAFkBAACtBQAAAAA=&#10;">
                        <v:fill on="f" focussize="0,0"/>
                        <v:stroke color="#000000" joinstyle="round" endarrow="block"/>
                        <v:imagedata o:title=""/>
                        <o:lock v:ext="edit" aspectratio="f"/>
                      </v:shape>
                      <v:shape id="_x0000_s1026" o:spid="_x0000_s1026" o:spt="32" type="#_x0000_t32" style="position:absolute;left:3234690;top:462915;height:635;width:504190;" filled="f" stroked="t" coordsize="21600,21600" o:gfxdata="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IlbgC1gAAAAUBAAAPAAAAAAAA&#10;AAEAIAAAACIAAABkcnMvZG93bnJldi54bWxQSwECFAAUAAAACACHTuJAM79dnRQCAAAABAAADgAA&#10;AAAAAAABACAAAAAlAQAAZHJzL2Uyb0RvYy54bWxQSwUGAAAAAAYABgBZAQAAqwUAAAAA&#10;">
                        <v:fill on="f" focussize="0,0"/>
                        <v:stroke color="#000000" joinstyle="round" endarrow="block"/>
                        <v:imagedata o:title=""/>
                        <o:lock v:ext="edit" aspectratio="f"/>
                      </v:shape>
                      <v:shape id="_x0000_s1026" o:spid="_x0000_s1026" o:spt="32" type="#_x0000_t32" style="position:absolute;left:3361690;top:1110615;flip:y;height:635;width:378460;" filled="f" stroked="t" coordsize="21600,21600" o:gfxdata="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gJkHzVAAAABQEA&#10;AA8AAAAAAAAAAQAgAAAAIgAAAGRycy9kb3ducmV2LnhtbFBLAQIUABQAAAAIAIdO4kDuMG7PHQIA&#10;AAsEAAAOAAAAAAAAAAEAIAAAACQBAABkcnMvZTJvRG9jLnhtbFBLBQYAAAAABgAGAFkBAACzBQAA&#10;AAA=&#10;">
                        <v:fill on="f" focussize="0,0"/>
                        <v:stroke color="#000000" joinstyle="round" endarrow="block"/>
                        <v:imagedata o:title=""/>
                        <o:lock v:ext="edit" aspectratio="f"/>
                      </v:shape>
                      <v:rect id="_x0000_s1026" o:spid="_x0000_s1026" o:spt="1" style="position:absolute;left:4531360;top:606425;height:288925;width:756285;" fillcolor="#FFFFFF" filled="t" stroked="t" coordsize="21600,21600" o:gfxdata="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rpRbLTAAAABQEAAA8AAAAAAAAAAQAgAAAA&#10;IgAAAGRycy9kb3ducmV2LnhtbFBLAQIUABQAAAAIAIdO4kCyQzA8EAIAADcEAAAOAAAAAAAAAAEA&#10;IAAAACIBAABkcnMvZTJvRG9jLnhtbFBLBQYAAAAABgAGAFkBAACkBQAAAAA=&#10;">
                        <v:fill on="t" focussize="0,0"/>
                        <v:stroke color="#000000" joinstyle="miter"/>
                        <v:imagedata o:title=""/>
                        <o:lock v:ext="edit" aspectratio="f"/>
                        <v:textbox>
                          <w:txbxContent>
                            <w:p>
                              <w:pPr>
                                <w:jc w:val="center"/>
                                <w:rPr>
                                  <w:rFonts w:hint="eastAsia"/>
                                </w:rPr>
                              </w:pPr>
                              <w:r>
                                <w:rPr>
                                  <w:rFonts w:hint="eastAsia"/>
                                </w:rPr>
                                <w:t>污水管网</w:t>
                              </w:r>
                            </w:p>
                          </w:txbxContent>
                        </v:textbox>
                      </v:rect>
                      <v:shape id="_x0000_s1026" o:spid="_x0000_s1026" o:spt="32" type="#_x0000_t32" style="position:absolute;left:4735830;top:1066800;height:635;width:360045;rotation:5898240f;" filled="f" stroked="t" coordsize="21600,21600" o:gfxdata="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PCtDbWAAAABQEAAA8A&#10;AAAAAAAAAQAgAAAAIgAAAGRycy9kb3ducmV2LnhtbFBLAQIUABQAAAAIAIdO4kBOa2PRGQIAAA8E&#10;AAAOAAAAAAAAAAEAIAAAACUBAABkcnMvZTJvRG9jLnhtbFBLBQYAAAAABgAGAFkBAACwBQAAAAA=&#10;">
                        <v:fill on="f" focussize="0,0"/>
                        <v:stroke color="#000000" joinstyle="round" endarrow="block"/>
                        <v:imagedata o:title=""/>
                        <o:lock v:ext="edit" aspectratio="f"/>
                      </v:shape>
                      <v:rect id="_x0000_s1026" o:spid="_x0000_s1026" o:spt="1" style="position:absolute;left:4283075;top:1247775;height:288925;width:1285240;" fillcolor="#FFFFFF" filled="t" stroked="t" coordsize="21600,21600" o:gfxdata="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rpRbLTAAAABQEAAA8AAAAAAAAAAQAgAAAA&#10;IgAAAGRycy9kb3ducmV2LnhtbFBLAQIUABQAAAAIAIdO4kD1kXRaEAIAADkEAAAOAAAAAAAAAAEA&#10;IAAAACIBAABkcnMvZTJvRG9jLnhtbFBLBQYAAAAABgAGAFkBAACkBQAAAAA=&#10;">
                        <v:fill on="t" focussize="0,0"/>
                        <v:stroke color="#000000" joinstyle="miter"/>
                        <v:imagedata o:title=""/>
                        <o:lock v:ext="edit" aspectratio="f"/>
                        <v:textbox>
                          <w:txbxContent>
                            <w:p>
                              <w:pPr>
                                <w:jc w:val="center"/>
                                <w:rPr>
                                  <w:rFonts w:hint="eastAsia"/>
                                </w:rPr>
                              </w:pPr>
                              <w:r>
                                <w:rPr>
                                  <w:rFonts w:hint="eastAsia"/>
                                </w:rPr>
                                <w:t>资溪县</w:t>
                              </w:r>
                              <w:r>
                                <w:t>污水处理厂</w:t>
                              </w:r>
                              <w:r>
                                <w:rPr>
                                  <w:rFonts w:hint="eastAsia"/>
                                </w:rPr>
                                <w:t xml:space="preserve"> </w:t>
                              </w:r>
                            </w:p>
                          </w:txbxContent>
                        </v:textbox>
                      </v:rect>
                      <v:rect id="_x0000_s1026" o:spid="_x0000_s1026" o:spt="1" style="position:absolute;left:2045335;top:882015;height:287020;width:582930;" filled="f" stroked="f" coordsize="21600,21600" o:gfxdata="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JX2fW&#10;AAAABQEAAA8AAAAAAAAAAQAgAAAAIgAAAGRycy9kb3ducmV2LnhtbFBLAQIUABQAAAAIAIdO4kCb&#10;DAfksAEAAE8DAAAOAAAAAAAAAAEAIAAAACUBAABkcnMvZTJvRG9jLnhtbFBLBQYAAAAABgAGAFkB&#10;AABHBQAAAAA=&#10;">
                        <v:fill on="f" focussize="0,0"/>
                        <v:stroke on="f"/>
                        <v:imagedata o:title=""/>
                        <o:lock v:ext="edit" aspectratio="f"/>
                        <v:textbox>
                          <w:txbxContent>
                            <w:p>
                              <w:pPr>
                                <w:jc w:val="center"/>
                                <w:rPr>
                                  <w:rFonts w:hint="eastAsia"/>
                                </w:rPr>
                              </w:pPr>
                              <w:r>
                                <w:t>0.22</w:t>
                              </w:r>
                            </w:p>
                          </w:txbxContent>
                        </v:textbox>
                      </v:rect>
                      <v:rect id="_x0000_s1026" o:spid="_x0000_s1026" o:spt="1" style="position:absolute;left:4420870;top:960755;height:287020;width:582930;" filled="f" stroked="f" coordsize="21600,21600" o:gfxdata="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v4lfZ9YA&#10;AAAFAQAADwAAAAAAAAABACAAAAAiAAAAZHJzL2Rvd25yZXYueG1sUEsBAhQAFAAAAAgAh07iQFJW&#10;FtuvAQAATwMAAA4AAAAAAAAAAQAgAAAAJQEAAGRycy9lMm9Eb2MueG1sUEsFBgAAAAAGAAYAWQEA&#10;AEYFAAAAAA==&#10;">
                        <v:fill on="f" focussize="0,0"/>
                        <v:stroke on="f"/>
                        <v:imagedata o:title=""/>
                        <o:lock v:ext="edit" aspectratio="f"/>
                        <v:textbox>
                          <w:txbxContent>
                            <w:p>
                              <w:pPr>
                                <w:jc w:val="center"/>
                                <w:rPr>
                                  <w:rFonts w:hint="default" w:eastAsia="宋体"/>
                                  <w:lang w:val="en-US" w:eastAsia="zh-CN"/>
                                </w:rPr>
                              </w:pPr>
                              <w:r>
                                <w:t>2.</w:t>
                              </w:r>
                              <w:r>
                                <w:rPr>
                                  <w:rFonts w:hint="eastAsia"/>
                                  <w:lang w:val="en-US" w:eastAsia="zh-CN"/>
                                </w:rPr>
                                <w:t>084</w:t>
                              </w:r>
                            </w:p>
                          </w:txbxContent>
                        </v:textbox>
                      </v:rect>
                      <v:shape id="_x0000_s1026" o:spid="_x0000_s1026" o:spt="32" type="#_x0000_t32" style="position:absolute;left:3406140;top:782955;flip:x;height:635;width:647700;rotation:-5898240f;" filled="f" stroked="t" coordsize="21600,21600" o:gfxdata="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B8N5AfWAAAABQEA&#10;AA8AAAAAAAAAAQAgAAAAIgAAAGRycy9kb3ducmV2LnhtbFBLAQIUABQAAAAIAIdO4kBki8CkHAIA&#10;ABQEAAAOAAAAAAAAAAEAIAAAACUBAABkcnMvZTJvRG9jLnhtbFBLBQYAAAAABgAGAFkBAACzBQAA&#10;AAA=&#10;">
                        <v:fill on="f" focussize="0,0"/>
                        <v:stroke color="#000000" joinstyle="round"/>
                        <v:imagedata o:title=""/>
                        <o:lock v:ext="edit" aspectratio="f"/>
                      </v:shape>
                      <v:rect id="_x0000_s1026" o:spid="_x0000_s1026" o:spt="1" style="position:absolute;left:1938020;top:0;height:279400;width:863600;" filled="f" stroked="f" coordsize="21600,21600" o:gfxdata="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v4lfZ9YAAAAFAQAADwAA&#10;AAAAAAABACAAAAAiAAAAZHJzL2Rvd25yZXYueG1sUEsBAhQAFAAAAAgAh07iQMo9NdOmAQAASgMA&#10;AA4AAAAAAAAAAQAgAAAAJQEAAGRycy9lMm9Eb2MueG1sUEsFBgAAAAAGAAYAWQEAAD0FAAAAAA==&#10;">
                        <v:fill on="f" focussize="0,0"/>
                        <v:stroke on="f"/>
                        <v:imagedata o:title=""/>
                        <o:lock v:ext="edit" aspectratio="f"/>
                        <v:textbox>
                          <w:txbxContent>
                            <w:p>
                              <w:pPr>
                                <w:jc w:val="center"/>
                                <w:rPr>
                                  <w:rFonts w:hint="default" w:eastAsia="宋体"/>
                                  <w:lang w:val="en-US" w:eastAsia="zh-CN"/>
                                </w:rPr>
                              </w:pPr>
                              <w:r>
                                <w:rPr>
                                  <w:rFonts w:hint="eastAsia"/>
                                </w:rPr>
                                <w:t>损耗</w:t>
                              </w:r>
                              <w:r>
                                <w:t>0.</w:t>
                              </w:r>
                              <w:r>
                                <w:rPr>
                                  <w:rFonts w:hint="eastAsia"/>
                                  <w:lang w:val="en-US" w:eastAsia="zh-CN"/>
                                </w:rPr>
                                <w:t>466</w:t>
                              </w:r>
                            </w:p>
                          </w:txbxContent>
                        </v:textbox>
                      </v:rect>
                      <w10:wrap type="none"/>
                      <w10:anchorlock/>
                    </v:group>
                  </w:pict>
                </mc:Fallback>
              </mc:AlternateContent>
            </w:r>
          </w:p>
          <w:p>
            <w:pPr>
              <w:pStyle w:val="2"/>
              <w:jc w:val="center"/>
              <w:rPr>
                <w:rFonts w:hint="default" w:eastAsia="宋体"/>
                <w:lang w:val="en-US" w:eastAsia="zh-CN"/>
              </w:rPr>
            </w:pPr>
            <w:r>
              <w:rPr>
                <w:rFonts w:hint="eastAsia"/>
                <w:b/>
                <w:bCs/>
                <w:kern w:val="0"/>
                <w:sz w:val="24"/>
                <w:lang w:eastAsia="zh-CN"/>
              </w:rPr>
              <w:t>图</w:t>
            </w:r>
            <w:r>
              <w:rPr>
                <w:rFonts w:hint="eastAsia"/>
                <w:b/>
                <w:bCs/>
                <w:kern w:val="0"/>
                <w:sz w:val="24"/>
                <w:lang w:val="en-US" w:eastAsia="zh-CN"/>
              </w:rPr>
              <w:t>2-1 水平衡图（</w:t>
            </w:r>
            <w:r>
              <w:rPr>
                <w:b/>
                <w:bCs/>
              </w:rPr>
              <w:t>m</w:t>
            </w:r>
            <w:r>
              <w:rPr>
                <w:b/>
                <w:bCs/>
                <w:vertAlign w:val="superscript"/>
              </w:rPr>
              <w:t>3</w:t>
            </w:r>
            <w:r>
              <w:rPr>
                <w:b/>
                <w:bCs/>
              </w:rPr>
              <w:t>/d</w:t>
            </w:r>
            <w:r>
              <w:rPr>
                <w:rFonts w:hint="eastAsia"/>
                <w:b/>
                <w:bCs/>
                <w:kern w:val="0"/>
                <w:sz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7" w:hRule="atLeast"/>
          <w:jc w:val="center"/>
        </w:trPr>
        <w:tc>
          <w:tcPr>
            <w:tcW w:w="9459" w:type="dxa"/>
          </w:tcPr>
          <w:p>
            <w:pPr>
              <w:tabs>
                <w:tab w:val="left" w:pos="5352"/>
              </w:tabs>
              <w:spacing w:line="360" w:lineRule="auto"/>
              <w:jc w:val="left"/>
              <w:rPr>
                <w:b/>
                <w:color w:val="000000"/>
                <w:sz w:val="18"/>
                <w:szCs w:val="18"/>
                <w:highlight w:val="none"/>
              </w:rPr>
            </w:pPr>
            <w:r>
              <w:rPr>
                <w:b/>
                <w:color w:val="000000"/>
                <w:sz w:val="24"/>
                <w:highlight w:val="none"/>
              </w:rPr>
              <w:t>主要</w:t>
            </w:r>
            <w:r>
              <w:rPr>
                <w:rFonts w:hint="eastAsia"/>
                <w:b/>
                <w:color w:val="000000"/>
                <w:sz w:val="24"/>
                <w:highlight w:val="none"/>
              </w:rPr>
              <w:t>工艺流程及产污环节（附处理工艺流程图，标出产污节点）</w:t>
            </w:r>
          </w:p>
          <w:p>
            <w:pPr>
              <w:spacing w:line="360" w:lineRule="auto"/>
              <w:jc w:val="center"/>
              <w:rPr>
                <w:color w:val="FF0000"/>
                <w:szCs w:val="20"/>
              </w:rPr>
            </w:pPr>
            <w:r>
              <w:drawing>
                <wp:inline distT="0" distB="0" distL="114300" distR="114300">
                  <wp:extent cx="5757545" cy="3536315"/>
                  <wp:effectExtent l="0" t="0" r="14605" b="6985"/>
                  <wp:docPr id="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
                          <pic:cNvPicPr>
                            <a:picLocks noChangeAspect="1"/>
                          </pic:cNvPicPr>
                        </pic:nvPicPr>
                        <pic:blipFill>
                          <a:blip r:embed="rId18"/>
                          <a:stretch>
                            <a:fillRect/>
                          </a:stretch>
                        </pic:blipFill>
                        <pic:spPr>
                          <a:xfrm>
                            <a:off x="0" y="0"/>
                            <a:ext cx="5757545" cy="3536315"/>
                          </a:xfrm>
                          <a:prstGeom prst="rect">
                            <a:avLst/>
                          </a:prstGeom>
                          <a:noFill/>
                          <a:ln>
                            <a:noFill/>
                          </a:ln>
                        </pic:spPr>
                      </pic:pic>
                    </a:graphicData>
                  </a:graphic>
                </wp:inline>
              </w:drawing>
            </w:r>
          </w:p>
          <w:p>
            <w:pPr>
              <w:spacing w:line="360" w:lineRule="auto"/>
              <w:jc w:val="center"/>
              <w:rPr>
                <w:b/>
                <w:bCs/>
                <w:szCs w:val="21"/>
              </w:rPr>
            </w:pPr>
            <w:r>
              <w:rPr>
                <w:rFonts w:hint="eastAsia"/>
                <w:b/>
                <w:bCs/>
                <w:szCs w:val="21"/>
              </w:rPr>
              <w:t>图2-2</w:t>
            </w:r>
            <w:r>
              <w:rPr>
                <w:b/>
                <w:bCs/>
                <w:szCs w:val="21"/>
              </w:rPr>
              <w:t xml:space="preserve"> </w:t>
            </w:r>
            <w:r>
              <w:rPr>
                <w:rFonts w:hint="eastAsia"/>
                <w:b/>
                <w:bCs/>
                <w:szCs w:val="21"/>
              </w:rPr>
              <w:t>项目加油部分工艺流程图</w:t>
            </w:r>
          </w:p>
          <w:p>
            <w:pPr>
              <w:pStyle w:val="6"/>
              <w:spacing w:line="360" w:lineRule="auto"/>
              <w:rPr>
                <w:rFonts w:hint="eastAsia"/>
                <w:sz w:val="24"/>
              </w:rPr>
            </w:pPr>
            <w:r>
              <w:rPr>
                <w:rFonts w:hint="eastAsia"/>
                <w:sz w:val="24"/>
              </w:rPr>
              <w:t>本项目采用的工艺流程是常规的自吸流程：燃油（汽油、柴油）运输油罐车先卸到储油罐中，再经加油机本身自带的泵将油由储油舱中吸到加油机中，经泵提升加压后给汽车加油（每个加油枪设单独管线吸油）。</w:t>
            </w:r>
          </w:p>
          <w:p>
            <w:pPr>
              <w:pStyle w:val="6"/>
              <w:spacing w:line="360" w:lineRule="auto"/>
              <w:rPr>
                <w:sz w:val="24"/>
              </w:rPr>
            </w:pPr>
            <w:r>
              <w:rPr>
                <w:rFonts w:hint="eastAsia"/>
                <w:sz w:val="24"/>
              </w:rPr>
              <w:t>（1）油罐车将油品运至加油站内，采用密闭方式卸油，卸油管与贮油罐进油管采用快速接头连接。通过进油管路系统将成品油分别卸至</w:t>
            </w:r>
            <w:r>
              <w:rPr>
                <w:sz w:val="24"/>
              </w:rPr>
              <w:t>4</w:t>
            </w:r>
            <w:r>
              <w:rPr>
                <w:rFonts w:hint="eastAsia"/>
                <w:sz w:val="24"/>
              </w:rPr>
              <w:t>个地下卧式油罐；</w:t>
            </w:r>
          </w:p>
          <w:p>
            <w:pPr>
              <w:pStyle w:val="6"/>
              <w:spacing w:line="360" w:lineRule="auto"/>
              <w:rPr>
                <w:rFonts w:hint="eastAsia"/>
                <w:sz w:val="24"/>
              </w:rPr>
            </w:pPr>
            <w:r>
              <w:rPr>
                <w:rFonts w:hint="eastAsia"/>
                <w:sz w:val="24"/>
              </w:rPr>
              <w:t>（2）地埋式卧式储油罐通气管管口安装有阻火器、防雨帽，并采用环氧煤沥青防腐；</w:t>
            </w:r>
          </w:p>
          <w:p>
            <w:pPr>
              <w:pStyle w:val="6"/>
              <w:spacing w:line="360" w:lineRule="auto"/>
              <w:rPr>
                <w:rFonts w:hint="eastAsia"/>
                <w:sz w:val="24"/>
              </w:rPr>
            </w:pPr>
            <w:r>
              <w:rPr>
                <w:rFonts w:hint="eastAsia"/>
                <w:sz w:val="24"/>
              </w:rPr>
              <w:t>（3）项目有</w:t>
            </w:r>
            <w:r>
              <w:rPr>
                <w:sz w:val="24"/>
              </w:rPr>
              <w:t>4</w:t>
            </w:r>
            <w:r>
              <w:rPr>
                <w:rFonts w:hint="eastAsia"/>
                <w:sz w:val="24"/>
              </w:rPr>
              <w:t>个储罐，储罐外壁做加强型环氧煤沥青防腐处理，储罐无需清洗；</w:t>
            </w:r>
          </w:p>
          <w:p>
            <w:pPr>
              <w:pStyle w:val="6"/>
              <w:spacing w:line="360" w:lineRule="auto"/>
              <w:rPr>
                <w:sz w:val="24"/>
              </w:rPr>
            </w:pPr>
            <w:r>
              <w:rPr>
                <w:rFonts w:hint="eastAsia"/>
                <w:sz w:val="24"/>
              </w:rPr>
              <w:t>（4）项目进发、储存油品时，储罐会有大、小呼吸损失，排放的废气因子为非甲烷总烃，为无组织排放。</w:t>
            </w:r>
          </w:p>
          <w:p>
            <w:pPr>
              <w:pStyle w:val="6"/>
              <w:spacing w:line="360" w:lineRule="auto"/>
              <w:rPr>
                <w:rFonts w:ascii="宋体" w:cs="宋体"/>
                <w:b/>
                <w:kern w:val="0"/>
                <w:sz w:val="24"/>
                <w:szCs w:val="24"/>
              </w:rPr>
            </w:pPr>
            <w:r>
              <w:rPr>
                <w:rFonts w:hint="eastAsia" w:ascii="宋体" w:cs="宋体"/>
                <w:b/>
                <w:kern w:val="0"/>
                <w:sz w:val="24"/>
                <w:szCs w:val="24"/>
              </w:rPr>
              <w:t>油气回收系统：</w:t>
            </w:r>
          </w:p>
          <w:p>
            <w:pPr>
              <w:pStyle w:val="6"/>
              <w:spacing w:line="360" w:lineRule="auto"/>
              <w:rPr>
                <w:sz w:val="24"/>
                <w:szCs w:val="24"/>
              </w:rPr>
            </w:pPr>
            <w:r>
              <w:rPr>
                <w:rFonts w:hint="eastAsia" w:ascii="宋体" w:cs="宋体"/>
                <w:kern w:val="0"/>
                <w:sz w:val="24"/>
                <w:szCs w:val="24"/>
              </w:rPr>
              <w:t>项目配套建设有油气回收系统，</w:t>
            </w:r>
            <w:r>
              <w:rPr>
                <w:sz w:val="24"/>
                <w:szCs w:val="24"/>
              </w:rPr>
              <w:t>油气回收系统是由卸油油气回收系统（即一次油气回收系统）、加油油气回收系统（即二次油气回收系统）、油气回收处理装置（即三次油气回收系统）组成。该系统的作用是通过相关油气回收工艺，将加油站在卸油、储油和加油过程中产生的油气进行密闭收集、储存和回收处理，抑制油气无控逸散挥发。</w:t>
            </w:r>
          </w:p>
          <w:p>
            <w:pPr>
              <w:adjustRightInd w:val="0"/>
              <w:snapToGrid w:val="0"/>
              <w:spacing w:line="360" w:lineRule="auto"/>
              <w:rPr>
                <w:sz w:val="24"/>
                <w:szCs w:val="24"/>
              </w:rPr>
            </w:pPr>
            <w:r>
              <w:rPr>
                <w:sz w:val="24"/>
                <w:szCs w:val="24"/>
              </w:rPr>
              <w:t>卸油油气回收系统是通过压力平衡原理，将在卸油过程中挥发的油气收集到油罐车内，运回储油库进行油气回收处理的过程。</w:t>
            </w:r>
          </w:p>
          <w:p>
            <w:pPr>
              <w:spacing w:line="360" w:lineRule="auto"/>
              <w:ind w:firstLine="480" w:firstLineChars="200"/>
              <w:rPr>
                <w:sz w:val="24"/>
              </w:rPr>
            </w:pPr>
          </w:p>
          <w:p>
            <w:pPr>
              <w:spacing w:line="360" w:lineRule="auto"/>
              <w:ind w:firstLine="480" w:firstLineChars="200"/>
              <w:jc w:val="center"/>
              <w:rPr>
                <w:sz w:val="24"/>
              </w:rPr>
            </w:pPr>
            <w:r>
              <w:rPr>
                <w:sz w:val="24"/>
                <w:szCs w:val="20"/>
              </w:rPr>
              <w:drawing>
                <wp:inline distT="0" distB="0" distL="0" distR="0">
                  <wp:extent cx="4210050" cy="1590675"/>
                  <wp:effectExtent l="19050" t="0" r="0" b="0"/>
                  <wp:docPr id="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pic:cNvPicPr>
                            <a:picLocks noChangeAspect="1" noChangeArrowheads="1"/>
                          </pic:cNvPicPr>
                        </pic:nvPicPr>
                        <pic:blipFill>
                          <a:blip r:embed="rId19" cstate="print"/>
                          <a:srcRect/>
                          <a:stretch>
                            <a:fillRect/>
                          </a:stretch>
                        </pic:blipFill>
                        <pic:spPr>
                          <a:xfrm>
                            <a:off x="0" y="0"/>
                            <a:ext cx="4210050" cy="1590675"/>
                          </a:xfrm>
                          <a:prstGeom prst="rect">
                            <a:avLst/>
                          </a:prstGeom>
                          <a:noFill/>
                          <a:ln w="9525">
                            <a:noFill/>
                            <a:miter lim="800000"/>
                            <a:headEnd/>
                            <a:tailEnd/>
                          </a:ln>
                        </pic:spPr>
                      </pic:pic>
                    </a:graphicData>
                  </a:graphic>
                </wp:inline>
              </w:drawing>
            </w:r>
          </w:p>
          <w:p>
            <w:pPr>
              <w:spacing w:line="360" w:lineRule="auto"/>
              <w:ind w:firstLine="422" w:firstLineChars="200"/>
              <w:jc w:val="center"/>
              <w:rPr>
                <w:szCs w:val="21"/>
              </w:rPr>
            </w:pPr>
            <w:r>
              <w:rPr>
                <w:rFonts w:hint="eastAsia"/>
                <w:b/>
                <w:bCs/>
                <w:szCs w:val="21"/>
              </w:rPr>
              <w:t>图2-3</w:t>
            </w:r>
            <w:r>
              <w:rPr>
                <w:b/>
                <w:bCs/>
                <w:szCs w:val="21"/>
              </w:rPr>
              <w:t xml:space="preserve">  </w:t>
            </w:r>
            <w:r>
              <w:rPr>
                <w:rFonts w:hint="eastAsia"/>
                <w:b/>
                <w:bCs/>
                <w:szCs w:val="21"/>
              </w:rPr>
              <w:t>卸油油气回收系统示意图</w:t>
            </w:r>
          </w:p>
          <w:p>
            <w:pPr>
              <w:pStyle w:val="67"/>
              <w:adjustRightInd w:val="0"/>
              <w:snapToGrid w:val="0"/>
              <w:spacing w:line="360" w:lineRule="auto"/>
              <w:ind w:firstLine="480" w:firstLineChars="200"/>
              <w:jc w:val="left"/>
              <w:rPr>
                <w:rFonts w:ascii="宋体" w:hAnsi="宋体" w:eastAsia="宋体"/>
                <w:sz w:val="24"/>
                <w:szCs w:val="24"/>
              </w:rPr>
            </w:pPr>
            <w:r>
              <w:rPr>
                <w:rFonts w:hint="eastAsia" w:ascii="宋体" w:hAnsi="宋体" w:eastAsia="宋体"/>
                <w:sz w:val="24"/>
                <w:szCs w:val="24"/>
              </w:rPr>
              <w:t>在油罐车卸油过程中，储油车内压力减小，地下储罐内压力增加，地下储罐与油罐车内的压力差，使卸油过程中挥发的油气通过管线回到油罐车内，达到油气收集的目的，卸油结束后，地下储罐和油罐车内压力达到平衡状态。</w:t>
            </w:r>
          </w:p>
          <w:p>
            <w:pPr>
              <w:tabs>
                <w:tab w:val="left" w:pos="360"/>
              </w:tabs>
              <w:snapToGrid w:val="0"/>
              <w:spacing w:line="360" w:lineRule="auto"/>
              <w:ind w:firstLine="460" w:firstLineChars="192"/>
              <w:rPr>
                <w:sz w:val="24"/>
              </w:rPr>
            </w:pPr>
            <w:r>
              <w:rPr>
                <w:rFonts w:hint="eastAsia" w:ascii="宋体" w:hAnsi="宋体"/>
                <w:sz w:val="24"/>
                <w:szCs w:val="24"/>
              </w:rPr>
              <w:t>加油油气回收系统是采用真空辅助式油气回收设备，将在加油过程中挥发的油气通过地下油气回收管线收集到地下储罐内的油气回收过程。</w:t>
            </w:r>
          </w:p>
          <w:p>
            <w:pPr>
              <w:spacing w:line="360" w:lineRule="auto"/>
              <w:ind w:firstLine="420" w:firstLineChars="200"/>
              <w:jc w:val="center"/>
              <w:rPr>
                <w:sz w:val="24"/>
              </w:rPr>
            </w:pPr>
            <w:r>
              <w:rPr>
                <w:color w:val="auto"/>
              </w:rPr>
              <w:drawing>
                <wp:inline distT="0" distB="0" distL="114300" distR="114300">
                  <wp:extent cx="5680075" cy="3235960"/>
                  <wp:effectExtent l="0" t="0" r="15875" b="2540"/>
                  <wp:docPr id="122" name="图片 2" descr="360截图2016031422322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 descr="360截图20160314223223525"/>
                          <pic:cNvPicPr>
                            <a:picLocks noChangeAspect="1"/>
                          </pic:cNvPicPr>
                        </pic:nvPicPr>
                        <pic:blipFill>
                          <a:blip r:embed="rId20"/>
                          <a:stretch>
                            <a:fillRect/>
                          </a:stretch>
                        </pic:blipFill>
                        <pic:spPr>
                          <a:xfrm>
                            <a:off x="0" y="0"/>
                            <a:ext cx="5680075" cy="3235960"/>
                          </a:xfrm>
                          <a:prstGeom prst="rect">
                            <a:avLst/>
                          </a:prstGeom>
                          <a:noFill/>
                          <a:ln>
                            <a:noFill/>
                          </a:ln>
                        </pic:spPr>
                      </pic:pic>
                    </a:graphicData>
                  </a:graphic>
                </wp:inline>
              </w:drawing>
            </w:r>
          </w:p>
          <w:p>
            <w:pPr>
              <w:spacing w:line="360" w:lineRule="auto"/>
              <w:ind w:firstLine="422" w:firstLineChars="200"/>
              <w:jc w:val="center"/>
              <w:rPr>
                <w:szCs w:val="21"/>
              </w:rPr>
            </w:pPr>
            <w:r>
              <w:rPr>
                <w:rFonts w:hint="eastAsia"/>
                <w:b/>
                <w:bCs/>
                <w:szCs w:val="21"/>
              </w:rPr>
              <w:t>图2-4</w:t>
            </w:r>
            <w:r>
              <w:rPr>
                <w:b/>
                <w:bCs/>
                <w:szCs w:val="21"/>
              </w:rPr>
              <w:t xml:space="preserve">  </w:t>
            </w:r>
            <w:r>
              <w:rPr>
                <w:rFonts w:hint="eastAsia"/>
                <w:b/>
                <w:bCs/>
                <w:szCs w:val="21"/>
              </w:rPr>
              <w:t>加油油气回收系统示意图</w:t>
            </w:r>
          </w:p>
          <w:p>
            <w:pPr>
              <w:tabs>
                <w:tab w:val="left" w:pos="360"/>
                <w:tab w:val="left" w:pos="2385"/>
              </w:tabs>
              <w:snapToGrid w:val="0"/>
              <w:spacing w:line="480" w:lineRule="exact"/>
              <w:ind w:firstLine="460" w:firstLineChars="192"/>
              <w:rPr>
                <w:sz w:val="24"/>
              </w:rPr>
            </w:pPr>
            <w:r>
              <w:rPr>
                <w:sz w:val="24"/>
              </w:rPr>
              <w:t>在加油站为汽车加油过程中，通过真空泵产生一定真空度，经过加油枪、油气回收管、真空泵等油气回收设备，按照气液比控制在1.0与1.2之间的要求，将加油过程中挥发的油气回收到油罐内。</w:t>
            </w:r>
          </w:p>
          <w:p>
            <w:pPr>
              <w:tabs>
                <w:tab w:val="left" w:pos="360"/>
                <w:tab w:val="left" w:pos="2385"/>
              </w:tabs>
              <w:snapToGrid w:val="0"/>
              <w:spacing w:line="480" w:lineRule="exact"/>
              <w:ind w:firstLine="460" w:firstLineChars="192"/>
              <w:rPr>
                <w:sz w:val="24"/>
              </w:rPr>
            </w:pPr>
            <w:r>
              <w:rPr>
                <w:sz w:val="24"/>
              </w:rPr>
              <w:t>油气排放处理装置主要是对油罐内超过规定压力限值时需要排放的部分油气进行回收处理，通过采用冷凝、吸附等方法对该部分油气进行回收处理。当油罐内压力升高到设定的感应压力+150Pa时，尾气处理装置自动开始运行，分离高浓度油气，排除清洁空气。当系统内压力降到-150Pa时，装置自动停止运行并进入待机状态，周而复始、循环完成装置的油气处理、排放过程。</w:t>
            </w:r>
          </w:p>
          <w:p>
            <w:pPr>
              <w:spacing w:line="360" w:lineRule="auto"/>
              <w:ind w:firstLine="480" w:firstLineChars="200"/>
              <w:rPr>
                <w:rFonts w:ascii="Calibri" w:hAnsi="Calibri"/>
                <w:bCs/>
                <w:sz w:val="24"/>
              </w:rPr>
            </w:pPr>
          </w:p>
        </w:tc>
      </w:tr>
    </w:tbl>
    <w:p>
      <w:pPr>
        <w:widowControl/>
        <w:jc w:val="left"/>
        <w:rPr>
          <w:rFonts w:asciiTheme="majorHAnsi" w:hAnsiTheme="majorHAnsi" w:cstheme="majorBidi"/>
          <w:b/>
          <w:bCs/>
          <w:sz w:val="32"/>
          <w:szCs w:val="32"/>
        </w:rPr>
      </w:pPr>
      <w:r>
        <w:br w:type="page"/>
      </w:r>
    </w:p>
    <w:p>
      <w:pPr>
        <w:pStyle w:val="21"/>
        <w:jc w:val="left"/>
        <w:rPr>
          <w:highlight w:val="none"/>
        </w:rPr>
      </w:pPr>
      <w:bookmarkStart w:id="11" w:name="_Toc19012"/>
      <w:bookmarkStart w:id="12" w:name="_Toc52180561"/>
      <w:bookmarkStart w:id="13" w:name="_Toc29848"/>
      <w:r>
        <w:rPr>
          <w:rFonts w:hint="eastAsia"/>
          <w:highlight w:val="none"/>
        </w:rPr>
        <w:t>表三 主要污染源、污染物处理和排放（附处理流程示意图、标出废水、废气、厂界噪声监测点位）</w:t>
      </w:r>
      <w:bookmarkEnd w:id="11"/>
      <w:bookmarkEnd w:id="12"/>
      <w:bookmarkEnd w:id="13"/>
    </w:p>
    <w:tbl>
      <w:tblPr>
        <w:tblStyle w:val="24"/>
        <w:tblW w:w="93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37" w:hRule="atLeast"/>
          <w:jc w:val="center"/>
        </w:trPr>
        <w:tc>
          <w:tcPr>
            <w:tcW w:w="9334" w:type="dxa"/>
          </w:tcPr>
          <w:p>
            <w:pPr>
              <w:spacing w:line="360" w:lineRule="auto"/>
              <w:ind w:firstLine="480" w:firstLineChars="200"/>
              <w:rPr>
                <w:sz w:val="24"/>
                <w:highlight w:val="none"/>
              </w:rPr>
            </w:pPr>
            <w:r>
              <w:rPr>
                <w:sz w:val="24"/>
                <w:highlight w:val="none"/>
              </w:rPr>
              <w:t>1、废水主要污染源、污染物处理和排放情况</w:t>
            </w:r>
          </w:p>
          <w:p>
            <w:pPr>
              <w:pStyle w:val="69"/>
              <w:ind w:firstLine="480"/>
              <w:rPr>
                <w:rFonts w:hint="eastAsia" w:eastAsia="宋体"/>
                <w:sz w:val="24"/>
                <w:highlight w:val="none"/>
                <w:lang w:eastAsia="zh-CN"/>
              </w:rPr>
            </w:pPr>
            <w:r>
              <w:rPr>
                <w:sz w:val="24"/>
                <w:highlight w:val="none"/>
              </w:rPr>
              <w:t>（1）废水主要来源：</w:t>
            </w:r>
            <w:r>
              <w:rPr>
                <w:rFonts w:hint="eastAsia"/>
                <w:color w:val="auto"/>
                <w:highlight w:val="none"/>
              </w:rPr>
              <w:t>本项目营运期污水主要为员工、来往车辆</w:t>
            </w:r>
            <w:r>
              <w:rPr>
                <w:rFonts w:hint="eastAsia"/>
                <w:color w:val="auto"/>
                <w:highlight w:val="none"/>
                <w:lang w:eastAsia="zh-CN"/>
              </w:rPr>
              <w:t>顾客</w:t>
            </w:r>
            <w:r>
              <w:rPr>
                <w:rFonts w:hint="eastAsia"/>
                <w:color w:val="auto"/>
                <w:highlight w:val="none"/>
              </w:rPr>
              <w:t>生活污水，地面冲洗废水</w:t>
            </w:r>
            <w:r>
              <w:rPr>
                <w:rFonts w:hint="eastAsia"/>
                <w:color w:val="auto"/>
                <w:highlight w:val="none"/>
                <w:lang w:eastAsia="zh-CN"/>
              </w:rPr>
              <w:t>。</w:t>
            </w:r>
          </w:p>
          <w:p>
            <w:pPr>
              <w:tabs>
                <w:tab w:val="center" w:pos="4592"/>
              </w:tabs>
              <w:spacing w:line="360" w:lineRule="auto"/>
              <w:ind w:firstLine="480" w:firstLineChars="200"/>
              <w:rPr>
                <w:sz w:val="24"/>
                <w:highlight w:val="none"/>
              </w:rPr>
            </w:pPr>
            <w:r>
              <w:rPr>
                <w:sz w:val="24"/>
                <w:highlight w:val="none"/>
              </w:rPr>
              <w:t>（2）处理措施：</w:t>
            </w:r>
            <w:r>
              <w:rPr>
                <w:rFonts w:hint="eastAsia"/>
                <w:sz w:val="24"/>
              </w:rPr>
              <w:t>地面</w:t>
            </w:r>
            <w:r>
              <w:rPr>
                <w:sz w:val="24"/>
              </w:rPr>
              <w:t>冲洗废水经隔油</w:t>
            </w:r>
            <w:r>
              <w:rPr>
                <w:rFonts w:hint="eastAsia"/>
                <w:sz w:val="24"/>
              </w:rPr>
              <w:t>沉淀</w:t>
            </w:r>
            <w:r>
              <w:rPr>
                <w:sz w:val="24"/>
              </w:rPr>
              <w:t>池处理后与生活污水经化粪池处理</w:t>
            </w:r>
            <w:r>
              <w:rPr>
                <w:rFonts w:hint="eastAsia"/>
                <w:sz w:val="24"/>
              </w:rPr>
              <w:t>后</w:t>
            </w:r>
            <w:r>
              <w:rPr>
                <w:rFonts w:hint="eastAsia"/>
                <w:sz w:val="24"/>
                <w:lang w:eastAsia="zh-CN"/>
              </w:rPr>
              <w:t>达到</w:t>
            </w:r>
            <w:r>
              <w:rPr>
                <w:rFonts w:hint="eastAsia"/>
                <w:sz w:val="24"/>
              </w:rPr>
              <w:t>资溪</w:t>
            </w:r>
            <w:r>
              <w:rPr>
                <w:sz w:val="24"/>
              </w:rPr>
              <w:t>县城市污水处理厂接管标准后排入</w:t>
            </w:r>
            <w:r>
              <w:rPr>
                <w:rFonts w:hint="eastAsia"/>
                <w:sz w:val="24"/>
              </w:rPr>
              <w:t>资溪县城市</w:t>
            </w:r>
            <w:r>
              <w:rPr>
                <w:sz w:val="24"/>
              </w:rPr>
              <w:t>污水处理厂深度处理，达到《城镇污水处理厂污染物排放标准》一级A标准</w:t>
            </w:r>
            <w:r>
              <w:rPr>
                <w:rFonts w:hint="eastAsia"/>
                <w:sz w:val="24"/>
                <w:lang w:eastAsia="zh-CN"/>
              </w:rPr>
              <w:t>后</w:t>
            </w:r>
            <w:r>
              <w:rPr>
                <w:sz w:val="24"/>
              </w:rPr>
              <w:t>，尾水</w:t>
            </w:r>
            <w:r>
              <w:rPr>
                <w:kern w:val="21"/>
                <w:sz w:val="24"/>
              </w:rPr>
              <w:t>最终排入</w:t>
            </w:r>
            <w:r>
              <w:rPr>
                <w:rFonts w:hint="eastAsia"/>
                <w:kern w:val="21"/>
                <w:sz w:val="24"/>
              </w:rPr>
              <w:t>泸溪河</w:t>
            </w:r>
            <w:r>
              <w:rPr>
                <w:kern w:val="21"/>
                <w:sz w:val="24"/>
              </w:rPr>
              <w:t>，对地表水环境影响很小</w:t>
            </w:r>
            <w:r>
              <w:rPr>
                <w:sz w:val="24"/>
              </w:rPr>
              <w:t>。</w:t>
            </w:r>
          </w:p>
          <w:p>
            <w:pPr>
              <w:spacing w:line="360" w:lineRule="auto"/>
              <w:ind w:firstLine="480" w:firstLineChars="200"/>
              <w:jc w:val="left"/>
              <w:rPr>
                <w:sz w:val="24"/>
                <w:highlight w:val="none"/>
              </w:rPr>
            </w:pPr>
            <w:r>
              <w:rPr>
                <w:sz w:val="24"/>
                <w:highlight w:val="none"/>
              </w:rPr>
              <w:t>废水排放及控制措施见表3-1。</w:t>
            </w:r>
          </w:p>
          <w:p>
            <w:pPr>
              <w:spacing w:line="360" w:lineRule="auto"/>
              <w:jc w:val="center"/>
              <w:rPr>
                <w:b/>
                <w:color w:val="000000"/>
                <w:sz w:val="24"/>
                <w:szCs w:val="24"/>
                <w:highlight w:val="none"/>
              </w:rPr>
            </w:pPr>
            <w:r>
              <w:rPr>
                <w:b/>
                <w:color w:val="000000"/>
                <w:sz w:val="24"/>
                <w:szCs w:val="24"/>
                <w:highlight w:val="none"/>
              </w:rPr>
              <w:t>表3-1  废水排放及控制措施一览表</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7"/>
              <w:gridCol w:w="2155"/>
              <w:gridCol w:w="995"/>
              <w:gridCol w:w="1571"/>
              <w:gridCol w:w="1158"/>
              <w:gridCol w:w="17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1237" w:type="dxa"/>
                  <w:vAlign w:val="center"/>
                </w:tcPr>
                <w:p>
                  <w:pPr>
                    <w:tabs>
                      <w:tab w:val="left" w:pos="6295"/>
                    </w:tabs>
                    <w:snapToGrid w:val="0"/>
                    <w:spacing w:before="36" w:beforeLines="15" w:after="36" w:afterLines="15"/>
                    <w:ind w:left="-105" w:leftChars="-50" w:right="-105" w:rightChars="-50"/>
                    <w:jc w:val="center"/>
                    <w:rPr>
                      <w:b/>
                      <w:szCs w:val="21"/>
                      <w:highlight w:val="none"/>
                    </w:rPr>
                  </w:pPr>
                  <w:r>
                    <w:rPr>
                      <w:b/>
                      <w:szCs w:val="21"/>
                      <w:highlight w:val="none"/>
                    </w:rPr>
                    <w:t>污染工序</w:t>
                  </w:r>
                </w:p>
              </w:tc>
              <w:tc>
                <w:tcPr>
                  <w:tcW w:w="2155" w:type="dxa"/>
                  <w:vAlign w:val="center"/>
                </w:tcPr>
                <w:p>
                  <w:pPr>
                    <w:tabs>
                      <w:tab w:val="left" w:pos="6295"/>
                    </w:tabs>
                    <w:snapToGrid w:val="0"/>
                    <w:spacing w:before="36" w:beforeLines="15" w:after="36" w:afterLines="15"/>
                    <w:ind w:left="-105" w:leftChars="-50" w:right="-105" w:rightChars="-50"/>
                    <w:jc w:val="center"/>
                    <w:rPr>
                      <w:b/>
                      <w:szCs w:val="21"/>
                      <w:highlight w:val="none"/>
                    </w:rPr>
                  </w:pPr>
                  <w:r>
                    <w:rPr>
                      <w:b/>
                      <w:szCs w:val="21"/>
                      <w:highlight w:val="none"/>
                    </w:rPr>
                    <w:t>污染因子</w:t>
                  </w:r>
                </w:p>
              </w:tc>
              <w:tc>
                <w:tcPr>
                  <w:tcW w:w="995" w:type="dxa"/>
                  <w:vAlign w:val="center"/>
                </w:tcPr>
                <w:p>
                  <w:pPr>
                    <w:tabs>
                      <w:tab w:val="left" w:pos="6295"/>
                    </w:tabs>
                    <w:snapToGrid w:val="0"/>
                    <w:spacing w:before="36" w:beforeLines="15" w:after="36" w:afterLines="15"/>
                    <w:ind w:left="-105" w:leftChars="-50" w:right="-105" w:rightChars="-50"/>
                    <w:jc w:val="center"/>
                    <w:rPr>
                      <w:b/>
                      <w:szCs w:val="21"/>
                      <w:highlight w:val="none"/>
                    </w:rPr>
                  </w:pPr>
                  <w:r>
                    <w:rPr>
                      <w:rFonts w:hint="eastAsia"/>
                      <w:b/>
                      <w:szCs w:val="21"/>
                      <w:highlight w:val="none"/>
                    </w:rPr>
                    <w:t>排放规律</w:t>
                  </w:r>
                </w:p>
              </w:tc>
              <w:tc>
                <w:tcPr>
                  <w:tcW w:w="1571" w:type="dxa"/>
                  <w:vAlign w:val="center"/>
                </w:tcPr>
                <w:p>
                  <w:pPr>
                    <w:tabs>
                      <w:tab w:val="left" w:pos="6295"/>
                    </w:tabs>
                    <w:snapToGrid w:val="0"/>
                    <w:spacing w:before="36" w:beforeLines="15" w:after="36" w:afterLines="15"/>
                    <w:ind w:left="-105" w:leftChars="-50" w:right="-105" w:rightChars="-50"/>
                    <w:jc w:val="center"/>
                    <w:rPr>
                      <w:b/>
                      <w:szCs w:val="21"/>
                      <w:highlight w:val="none"/>
                    </w:rPr>
                  </w:pPr>
                  <w:r>
                    <w:rPr>
                      <w:b/>
                      <w:szCs w:val="21"/>
                      <w:highlight w:val="none"/>
                    </w:rPr>
                    <w:t>治理措施</w:t>
                  </w:r>
                </w:p>
              </w:tc>
              <w:tc>
                <w:tcPr>
                  <w:tcW w:w="1158" w:type="dxa"/>
                  <w:vAlign w:val="center"/>
                </w:tcPr>
                <w:p>
                  <w:pPr>
                    <w:tabs>
                      <w:tab w:val="left" w:pos="6295"/>
                    </w:tabs>
                    <w:snapToGrid w:val="0"/>
                    <w:spacing w:before="36" w:beforeLines="15" w:after="36" w:afterLines="15"/>
                    <w:ind w:left="-105" w:leftChars="-50" w:right="-105" w:rightChars="-50"/>
                    <w:jc w:val="center"/>
                    <w:rPr>
                      <w:b/>
                      <w:szCs w:val="21"/>
                      <w:highlight w:val="none"/>
                    </w:rPr>
                  </w:pPr>
                  <w:r>
                    <w:rPr>
                      <w:rFonts w:hint="eastAsia"/>
                      <w:b/>
                      <w:szCs w:val="21"/>
                      <w:highlight w:val="none"/>
                    </w:rPr>
                    <w:t>排水量</w:t>
                  </w:r>
                </w:p>
              </w:tc>
              <w:tc>
                <w:tcPr>
                  <w:tcW w:w="1784" w:type="dxa"/>
                  <w:vAlign w:val="center"/>
                </w:tcPr>
                <w:p>
                  <w:pPr>
                    <w:tabs>
                      <w:tab w:val="left" w:pos="6295"/>
                    </w:tabs>
                    <w:snapToGrid w:val="0"/>
                    <w:spacing w:before="36" w:beforeLines="15" w:after="36" w:afterLines="15"/>
                    <w:ind w:left="-105" w:leftChars="-50" w:right="-105" w:rightChars="-50"/>
                    <w:jc w:val="center"/>
                    <w:rPr>
                      <w:b/>
                      <w:szCs w:val="21"/>
                      <w:highlight w:val="none"/>
                    </w:rPr>
                  </w:pPr>
                  <w:r>
                    <w:rPr>
                      <w:b/>
                      <w:szCs w:val="21"/>
                      <w:highlight w:val="none"/>
                    </w:rPr>
                    <w:t>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1237" w:type="dxa"/>
                  <w:vAlign w:val="center"/>
                </w:tcPr>
                <w:p>
                  <w:pPr>
                    <w:tabs>
                      <w:tab w:val="left" w:pos="6295"/>
                    </w:tabs>
                    <w:snapToGrid w:val="0"/>
                    <w:spacing w:before="36" w:beforeLines="15" w:after="36" w:afterLines="15"/>
                    <w:ind w:left="-105" w:leftChars="-50" w:right="-105" w:rightChars="-50"/>
                    <w:jc w:val="center"/>
                    <w:rPr>
                      <w:szCs w:val="21"/>
                      <w:highlight w:val="none"/>
                    </w:rPr>
                  </w:pPr>
                  <w:r>
                    <w:rPr>
                      <w:szCs w:val="21"/>
                      <w:highlight w:val="none"/>
                    </w:rPr>
                    <w:t>生活污水</w:t>
                  </w:r>
                </w:p>
              </w:tc>
              <w:tc>
                <w:tcPr>
                  <w:tcW w:w="2155" w:type="dxa"/>
                  <w:vAlign w:val="center"/>
                </w:tcPr>
                <w:p>
                  <w:pPr>
                    <w:jc w:val="left"/>
                    <w:rPr>
                      <w:rFonts w:hint="eastAsia" w:eastAsia="宋体"/>
                      <w:szCs w:val="21"/>
                      <w:highlight w:val="none"/>
                      <w:lang w:eastAsia="zh-CN"/>
                    </w:rPr>
                  </w:pPr>
                  <w:r>
                    <w:rPr>
                      <w:rFonts w:hint="eastAsia"/>
                      <w:szCs w:val="21"/>
                      <w:highlight w:val="none"/>
                      <w:lang w:val="en-US" w:eastAsia="zh-CN"/>
                    </w:rPr>
                    <w:t>pH、</w:t>
                  </w:r>
                  <w:r>
                    <w:rPr>
                      <w:szCs w:val="21"/>
                      <w:highlight w:val="none"/>
                    </w:rPr>
                    <w:t>化学需氧量、悬浮物、氨氮、生化需氧量</w:t>
                  </w:r>
                </w:p>
              </w:tc>
              <w:tc>
                <w:tcPr>
                  <w:tcW w:w="995" w:type="dxa"/>
                  <w:vMerge w:val="restart"/>
                  <w:vAlign w:val="center"/>
                </w:tcPr>
                <w:p>
                  <w:pPr>
                    <w:tabs>
                      <w:tab w:val="left" w:pos="6295"/>
                    </w:tabs>
                    <w:snapToGrid w:val="0"/>
                    <w:spacing w:before="36" w:beforeLines="15" w:after="36" w:afterLines="15"/>
                    <w:ind w:left="-105" w:leftChars="-50" w:right="-105" w:rightChars="-50"/>
                    <w:jc w:val="center"/>
                    <w:rPr>
                      <w:szCs w:val="21"/>
                      <w:highlight w:val="none"/>
                    </w:rPr>
                  </w:pPr>
                  <w:r>
                    <w:rPr>
                      <w:rFonts w:hint="eastAsia"/>
                      <w:szCs w:val="21"/>
                      <w:highlight w:val="none"/>
                    </w:rPr>
                    <w:t>间断</w:t>
                  </w:r>
                </w:p>
              </w:tc>
              <w:tc>
                <w:tcPr>
                  <w:tcW w:w="1571" w:type="dxa"/>
                  <w:vAlign w:val="center"/>
                </w:tcPr>
                <w:p>
                  <w:pPr>
                    <w:tabs>
                      <w:tab w:val="left" w:pos="6295"/>
                    </w:tabs>
                    <w:snapToGrid w:val="0"/>
                    <w:spacing w:before="36" w:beforeLines="15" w:after="36" w:afterLines="15"/>
                    <w:ind w:left="-105" w:leftChars="-50" w:right="-105" w:rightChars="-50"/>
                    <w:jc w:val="center"/>
                    <w:rPr>
                      <w:szCs w:val="21"/>
                      <w:highlight w:val="none"/>
                    </w:rPr>
                  </w:pPr>
                  <w:r>
                    <w:rPr>
                      <w:rFonts w:hint="eastAsia"/>
                      <w:szCs w:val="21"/>
                      <w:highlight w:val="none"/>
                    </w:rPr>
                    <w:t>化粪池</w:t>
                  </w:r>
                </w:p>
              </w:tc>
              <w:tc>
                <w:tcPr>
                  <w:tcW w:w="1158" w:type="dxa"/>
                  <w:vMerge w:val="restart"/>
                  <w:vAlign w:val="center"/>
                </w:tcPr>
                <w:p>
                  <w:pPr>
                    <w:tabs>
                      <w:tab w:val="left" w:pos="6295"/>
                    </w:tabs>
                    <w:snapToGrid w:val="0"/>
                    <w:spacing w:before="36" w:beforeLines="15" w:after="36" w:afterLines="15"/>
                    <w:ind w:left="-105" w:leftChars="-50" w:right="-105" w:rightChars="-50"/>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2.26m</w:t>
                  </w:r>
                  <w:r>
                    <w:rPr>
                      <w:rFonts w:hint="eastAsia"/>
                      <w:color w:val="000000" w:themeColor="text1"/>
                      <w:szCs w:val="21"/>
                      <w:highlight w:val="none"/>
                      <w:vertAlign w:val="superscript"/>
                      <w:lang w:val="en-US" w:eastAsia="zh-CN"/>
                      <w14:textFill>
                        <w14:solidFill>
                          <w14:schemeClr w14:val="tx1"/>
                        </w14:solidFill>
                      </w14:textFill>
                    </w:rPr>
                    <w:t>3</w:t>
                  </w:r>
                  <w:r>
                    <w:rPr>
                      <w:rFonts w:hint="eastAsia"/>
                      <w:color w:val="000000" w:themeColor="text1"/>
                      <w:szCs w:val="21"/>
                      <w:highlight w:val="none"/>
                      <w14:textFill>
                        <w14:solidFill>
                          <w14:schemeClr w14:val="tx1"/>
                        </w14:solidFill>
                      </w14:textFill>
                    </w:rPr>
                    <w:t>/d</w:t>
                  </w:r>
                </w:p>
              </w:tc>
              <w:tc>
                <w:tcPr>
                  <w:tcW w:w="1784" w:type="dxa"/>
                  <w:vMerge w:val="restart"/>
                  <w:vAlign w:val="center"/>
                </w:tcPr>
                <w:p>
                  <w:pPr>
                    <w:tabs>
                      <w:tab w:val="left" w:pos="6295"/>
                    </w:tabs>
                    <w:snapToGrid w:val="0"/>
                    <w:spacing w:before="36" w:beforeLines="15" w:after="36" w:afterLines="15"/>
                    <w:ind w:left="-105" w:leftChars="-50" w:right="-105" w:rightChars="-50"/>
                    <w:jc w:val="center"/>
                    <w:rPr>
                      <w:rFonts w:hint="eastAsia" w:eastAsia="宋体"/>
                      <w:color w:val="000000"/>
                      <w:szCs w:val="21"/>
                      <w:highlight w:val="none"/>
                      <w:lang w:eastAsia="zh-CN"/>
                    </w:rPr>
                  </w:pPr>
                  <w:r>
                    <w:rPr>
                      <w:rFonts w:hint="eastAsia"/>
                      <w:color w:val="000000"/>
                      <w:szCs w:val="21"/>
                      <w:highlight w:val="none"/>
                      <w:lang w:eastAsia="zh-CN"/>
                    </w:rPr>
                    <w:t>资溪县城市污水处理厂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237" w:type="dxa"/>
                  <w:vAlign w:val="center"/>
                </w:tcPr>
                <w:p>
                  <w:pPr>
                    <w:tabs>
                      <w:tab w:val="left" w:pos="6295"/>
                    </w:tabs>
                    <w:snapToGrid w:val="0"/>
                    <w:spacing w:before="36" w:beforeLines="15" w:after="36" w:afterLines="15"/>
                    <w:ind w:left="-105" w:leftChars="-50" w:right="-105" w:rightChars="-50"/>
                    <w:jc w:val="center"/>
                    <w:rPr>
                      <w:szCs w:val="21"/>
                      <w:highlight w:val="none"/>
                    </w:rPr>
                  </w:pPr>
                  <w:r>
                    <w:rPr>
                      <w:rFonts w:hint="eastAsia"/>
                      <w:szCs w:val="21"/>
                      <w:highlight w:val="none"/>
                    </w:rPr>
                    <w:t>地面冲洗废水</w:t>
                  </w:r>
                </w:p>
              </w:tc>
              <w:tc>
                <w:tcPr>
                  <w:tcW w:w="2155" w:type="dxa"/>
                  <w:vAlign w:val="center"/>
                </w:tcPr>
                <w:p>
                  <w:pPr>
                    <w:jc w:val="left"/>
                    <w:rPr>
                      <w:szCs w:val="21"/>
                      <w:highlight w:val="none"/>
                    </w:rPr>
                  </w:pPr>
                  <w:r>
                    <w:rPr>
                      <w:szCs w:val="21"/>
                      <w:highlight w:val="none"/>
                    </w:rPr>
                    <w:t>CODcr、SS和石油类</w:t>
                  </w:r>
                </w:p>
              </w:tc>
              <w:tc>
                <w:tcPr>
                  <w:tcW w:w="995" w:type="dxa"/>
                  <w:vMerge w:val="continue"/>
                  <w:vAlign w:val="center"/>
                </w:tcPr>
                <w:p>
                  <w:pPr>
                    <w:tabs>
                      <w:tab w:val="left" w:pos="6295"/>
                    </w:tabs>
                    <w:snapToGrid w:val="0"/>
                    <w:spacing w:before="36" w:beforeLines="15" w:after="36" w:afterLines="15"/>
                    <w:ind w:left="-105" w:leftChars="-50" w:right="-105" w:rightChars="-50"/>
                    <w:jc w:val="center"/>
                    <w:rPr>
                      <w:szCs w:val="21"/>
                      <w:highlight w:val="none"/>
                    </w:rPr>
                  </w:pPr>
                </w:p>
              </w:tc>
              <w:tc>
                <w:tcPr>
                  <w:tcW w:w="1571" w:type="dxa"/>
                  <w:vAlign w:val="center"/>
                </w:tcPr>
                <w:p>
                  <w:pPr>
                    <w:tabs>
                      <w:tab w:val="left" w:pos="6295"/>
                    </w:tabs>
                    <w:snapToGrid w:val="0"/>
                    <w:spacing w:before="36" w:beforeLines="15" w:after="36" w:afterLines="15"/>
                    <w:ind w:left="-105" w:leftChars="-50" w:right="-105" w:rightChars="-50"/>
                    <w:jc w:val="center"/>
                    <w:rPr>
                      <w:szCs w:val="21"/>
                      <w:highlight w:val="none"/>
                    </w:rPr>
                  </w:pPr>
                  <w:r>
                    <w:rPr>
                      <w:rFonts w:hint="eastAsia"/>
                      <w:szCs w:val="21"/>
                      <w:highlight w:val="none"/>
                    </w:rPr>
                    <w:t>隔油池</w:t>
                  </w:r>
                </w:p>
              </w:tc>
              <w:tc>
                <w:tcPr>
                  <w:tcW w:w="1158" w:type="dxa"/>
                  <w:vMerge w:val="continue"/>
                  <w:vAlign w:val="center"/>
                </w:tcPr>
                <w:p>
                  <w:pPr>
                    <w:tabs>
                      <w:tab w:val="left" w:pos="6295"/>
                    </w:tabs>
                    <w:snapToGrid w:val="0"/>
                    <w:spacing w:before="36" w:beforeLines="15" w:after="36" w:afterLines="15"/>
                    <w:ind w:left="-105" w:leftChars="-50" w:right="-105" w:rightChars="-50"/>
                    <w:jc w:val="center"/>
                    <w:rPr>
                      <w:szCs w:val="21"/>
                      <w:highlight w:val="yellow"/>
                    </w:rPr>
                  </w:pPr>
                </w:p>
              </w:tc>
              <w:tc>
                <w:tcPr>
                  <w:tcW w:w="1784" w:type="dxa"/>
                  <w:vMerge w:val="continue"/>
                  <w:vAlign w:val="center"/>
                </w:tcPr>
                <w:p>
                  <w:pPr>
                    <w:tabs>
                      <w:tab w:val="left" w:pos="6295"/>
                    </w:tabs>
                    <w:snapToGrid w:val="0"/>
                    <w:spacing w:before="36" w:beforeLines="15" w:after="36" w:afterLines="15"/>
                    <w:ind w:left="-105" w:leftChars="-50" w:right="-105" w:rightChars="-50"/>
                    <w:jc w:val="center"/>
                    <w:rPr>
                      <w:szCs w:val="21"/>
                      <w:highlight w:val="yellow"/>
                    </w:rPr>
                  </w:pPr>
                </w:p>
              </w:tc>
            </w:tr>
          </w:tbl>
          <w:p>
            <w:pPr>
              <w:autoSpaceDE w:val="0"/>
              <w:autoSpaceDN w:val="0"/>
              <w:adjustRightInd w:val="0"/>
              <w:jc w:val="left"/>
              <w:rPr>
                <w:rFonts w:cs="Arial"/>
                <w:color w:val="000000"/>
                <w:kern w:val="0"/>
                <w:sz w:val="24"/>
                <w:highlight w:val="yellow"/>
              </w:rPr>
            </w:pPr>
          </w:p>
          <w:p>
            <w:pPr>
              <w:spacing w:line="360" w:lineRule="auto"/>
              <w:ind w:firstLine="480" w:firstLineChars="200"/>
              <w:rPr>
                <w:sz w:val="24"/>
                <w:highlight w:val="none"/>
              </w:rPr>
            </w:pPr>
            <w:r>
              <w:rPr>
                <w:sz w:val="24"/>
                <w:highlight w:val="none"/>
              </w:rPr>
              <w:t>2、废气主要污染源、污染物处理和排放情况</w:t>
            </w:r>
          </w:p>
          <w:p>
            <w:pPr>
              <w:spacing w:line="360" w:lineRule="auto"/>
              <w:ind w:firstLine="480" w:firstLineChars="200"/>
              <w:rPr>
                <w:sz w:val="24"/>
                <w:highlight w:val="yellow"/>
              </w:rPr>
            </w:pPr>
            <w:r>
              <w:rPr>
                <w:rFonts w:hint="eastAsia"/>
                <w:sz w:val="24"/>
                <w:highlight w:val="none"/>
              </w:rPr>
              <w:t>（1）废气主要来源：</w:t>
            </w:r>
            <w:r>
              <w:rPr>
                <w:sz w:val="24"/>
              </w:rPr>
              <w:t>本项目</w:t>
            </w:r>
            <w:r>
              <w:rPr>
                <w:rFonts w:hint="eastAsia"/>
                <w:sz w:val="24"/>
              </w:rPr>
              <w:t>营运期废气主要包括油品的储存及罐车卸油、机动车加油过程挥发出的非甲烷总烃类气体</w:t>
            </w:r>
            <w:r>
              <w:rPr>
                <w:sz w:val="24"/>
              </w:rPr>
              <w:t>。</w:t>
            </w:r>
          </w:p>
          <w:p>
            <w:pPr>
              <w:tabs>
                <w:tab w:val="center" w:pos="4592"/>
              </w:tabs>
              <w:spacing w:line="360" w:lineRule="auto"/>
              <w:ind w:firstLine="480" w:firstLineChars="200"/>
              <w:rPr>
                <w:sz w:val="24"/>
                <w:highlight w:val="yellow"/>
              </w:rPr>
            </w:pPr>
            <w:r>
              <w:rPr>
                <w:sz w:val="24"/>
                <w:highlight w:val="none"/>
              </w:rPr>
              <w:t>（2）处理措施：根据</w:t>
            </w:r>
            <w:r>
              <w:rPr>
                <w:rFonts w:hint="eastAsia"/>
                <w:sz w:val="24"/>
                <w:highlight w:val="none"/>
              </w:rPr>
              <w:t>现场勘察</w:t>
            </w:r>
            <w:r>
              <w:rPr>
                <w:sz w:val="24"/>
                <w:highlight w:val="none"/>
              </w:rPr>
              <w:t>情况，</w:t>
            </w:r>
            <w:r>
              <w:rPr>
                <w:rFonts w:hint="eastAsia"/>
                <w:sz w:val="24"/>
              </w:rPr>
              <w:t>项目采用地埋式</w:t>
            </w:r>
            <w:r>
              <w:rPr>
                <w:rFonts w:hint="eastAsia"/>
                <w:sz w:val="24"/>
                <w:lang w:val="en-US" w:eastAsia="zh-CN"/>
              </w:rPr>
              <w:t>SF双层</w:t>
            </w:r>
            <w:r>
              <w:rPr>
                <w:rFonts w:hint="eastAsia"/>
                <w:sz w:val="24"/>
              </w:rPr>
              <w:t>储油罐，由于该罐密闭性较好，储罐埋于地下，储油罐罐室内气温比较稳定，受大气环境稳定影响较小，减少油罐小呼吸蒸发损耗，延缓油品变质，另增设呼吸阀挡板，以减少油罐大、小呼吸损耗。加油站采用自封式加油枪及密闭卸油等方式，可以一定程度上减少非甲烷总烃的排放。为了进一步减少项目卸油、储油、加油工序中油气逸散状况的发生，加油站采用油气回收系统对油罐车卸油、储油及汽车加油过程产生的油气进行回收，减少油气向外界逸散，排放浓度可满足《加油站大气污染物排放标准》（GB20952-2007）中限制要求，</w:t>
            </w:r>
            <w:r>
              <w:rPr>
                <w:kern w:val="21"/>
                <w:sz w:val="24"/>
              </w:rPr>
              <w:t>对</w:t>
            </w:r>
            <w:r>
              <w:rPr>
                <w:rFonts w:hint="eastAsia"/>
                <w:kern w:val="21"/>
                <w:sz w:val="24"/>
              </w:rPr>
              <w:t>大气</w:t>
            </w:r>
            <w:r>
              <w:rPr>
                <w:kern w:val="21"/>
                <w:sz w:val="24"/>
              </w:rPr>
              <w:t>环境影响较小。</w:t>
            </w:r>
          </w:p>
          <w:p>
            <w:pPr>
              <w:snapToGrid w:val="0"/>
              <w:spacing w:line="360" w:lineRule="auto"/>
              <w:ind w:firstLine="480" w:firstLineChars="200"/>
              <w:rPr>
                <w:sz w:val="24"/>
                <w:highlight w:val="none"/>
              </w:rPr>
            </w:pPr>
            <w:r>
              <w:rPr>
                <w:sz w:val="24"/>
                <w:highlight w:val="none"/>
              </w:rPr>
              <w:t>废气排放及控制措施见表3-</w:t>
            </w:r>
            <w:r>
              <w:rPr>
                <w:rFonts w:hint="eastAsia"/>
                <w:sz w:val="24"/>
                <w:highlight w:val="none"/>
              </w:rPr>
              <w:t>2</w:t>
            </w:r>
            <w:r>
              <w:rPr>
                <w:sz w:val="24"/>
                <w:highlight w:val="none"/>
              </w:rPr>
              <w:t>。</w:t>
            </w:r>
          </w:p>
          <w:p>
            <w:pPr>
              <w:tabs>
                <w:tab w:val="left" w:pos="2100"/>
              </w:tabs>
              <w:spacing w:line="360" w:lineRule="auto"/>
              <w:jc w:val="center"/>
              <w:rPr>
                <w:b/>
                <w:color w:val="000000"/>
                <w:szCs w:val="21"/>
                <w:highlight w:val="none"/>
              </w:rPr>
            </w:pPr>
          </w:p>
          <w:p>
            <w:pPr>
              <w:tabs>
                <w:tab w:val="left" w:pos="2100"/>
              </w:tabs>
              <w:spacing w:line="360" w:lineRule="auto"/>
              <w:jc w:val="center"/>
              <w:rPr>
                <w:b/>
                <w:color w:val="000000"/>
                <w:szCs w:val="21"/>
                <w:highlight w:val="none"/>
              </w:rPr>
            </w:pPr>
          </w:p>
          <w:p>
            <w:pPr>
              <w:tabs>
                <w:tab w:val="left" w:pos="2100"/>
              </w:tabs>
              <w:spacing w:line="360" w:lineRule="auto"/>
              <w:jc w:val="center"/>
              <w:rPr>
                <w:b/>
                <w:color w:val="000000"/>
                <w:szCs w:val="21"/>
                <w:highlight w:val="none"/>
              </w:rPr>
            </w:pPr>
          </w:p>
          <w:p>
            <w:pPr>
              <w:tabs>
                <w:tab w:val="left" w:pos="2100"/>
              </w:tabs>
              <w:spacing w:line="360" w:lineRule="auto"/>
              <w:jc w:val="center"/>
              <w:rPr>
                <w:b/>
                <w:color w:val="000000"/>
                <w:szCs w:val="21"/>
                <w:highlight w:val="none"/>
              </w:rPr>
            </w:pPr>
          </w:p>
          <w:p>
            <w:pPr>
              <w:tabs>
                <w:tab w:val="left" w:pos="2100"/>
              </w:tabs>
              <w:spacing w:line="360" w:lineRule="auto"/>
              <w:jc w:val="center"/>
              <w:rPr>
                <w:b/>
                <w:color w:val="000000"/>
                <w:szCs w:val="21"/>
                <w:highlight w:val="none"/>
              </w:rPr>
            </w:pPr>
            <w:r>
              <w:rPr>
                <w:b/>
                <w:color w:val="000000"/>
                <w:szCs w:val="21"/>
                <w:highlight w:val="none"/>
              </w:rPr>
              <w:t>表3-</w:t>
            </w:r>
            <w:r>
              <w:rPr>
                <w:rFonts w:hint="eastAsia"/>
                <w:b/>
                <w:color w:val="000000"/>
                <w:szCs w:val="21"/>
                <w:highlight w:val="none"/>
                <w:lang w:val="en-US" w:eastAsia="zh-CN"/>
              </w:rPr>
              <w:t>2</w:t>
            </w:r>
            <w:r>
              <w:rPr>
                <w:b/>
                <w:color w:val="000000"/>
                <w:szCs w:val="21"/>
                <w:highlight w:val="none"/>
              </w:rPr>
              <w:t xml:space="preserve">  废气排放及控制措施一览表</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73"/>
              <w:gridCol w:w="1701"/>
              <w:gridCol w:w="1418"/>
              <w:gridCol w:w="2835"/>
              <w:gridCol w:w="12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dxa"/>
                  <w:vAlign w:val="center"/>
                </w:tcPr>
                <w:p>
                  <w:pPr>
                    <w:jc w:val="center"/>
                    <w:rPr>
                      <w:b/>
                      <w:szCs w:val="21"/>
                      <w:highlight w:val="none"/>
                    </w:rPr>
                  </w:pPr>
                  <w:r>
                    <w:rPr>
                      <w:b/>
                      <w:szCs w:val="21"/>
                      <w:highlight w:val="none"/>
                    </w:rPr>
                    <w:t>污染源</w:t>
                  </w:r>
                </w:p>
              </w:tc>
              <w:tc>
                <w:tcPr>
                  <w:tcW w:w="1701" w:type="dxa"/>
                  <w:vAlign w:val="center"/>
                </w:tcPr>
                <w:p>
                  <w:pPr>
                    <w:jc w:val="center"/>
                    <w:rPr>
                      <w:b/>
                      <w:szCs w:val="21"/>
                      <w:highlight w:val="none"/>
                    </w:rPr>
                  </w:pPr>
                  <w:r>
                    <w:rPr>
                      <w:b/>
                      <w:szCs w:val="21"/>
                      <w:highlight w:val="none"/>
                    </w:rPr>
                    <w:t>污染物</w:t>
                  </w:r>
                </w:p>
              </w:tc>
              <w:tc>
                <w:tcPr>
                  <w:tcW w:w="1418" w:type="dxa"/>
                  <w:vAlign w:val="center"/>
                </w:tcPr>
                <w:p>
                  <w:pPr>
                    <w:jc w:val="center"/>
                    <w:rPr>
                      <w:b/>
                      <w:szCs w:val="21"/>
                      <w:highlight w:val="none"/>
                    </w:rPr>
                  </w:pPr>
                  <w:r>
                    <w:rPr>
                      <w:b/>
                      <w:szCs w:val="21"/>
                      <w:highlight w:val="none"/>
                    </w:rPr>
                    <w:t>排放规律</w:t>
                  </w:r>
                </w:p>
              </w:tc>
              <w:tc>
                <w:tcPr>
                  <w:tcW w:w="2835" w:type="dxa"/>
                  <w:vAlign w:val="center"/>
                </w:tcPr>
                <w:p>
                  <w:pPr>
                    <w:jc w:val="center"/>
                    <w:rPr>
                      <w:b/>
                      <w:szCs w:val="21"/>
                      <w:highlight w:val="none"/>
                    </w:rPr>
                  </w:pPr>
                  <w:r>
                    <w:rPr>
                      <w:b/>
                      <w:szCs w:val="21"/>
                      <w:highlight w:val="none"/>
                    </w:rPr>
                    <w:t>处理措施</w:t>
                  </w:r>
                </w:p>
              </w:tc>
              <w:tc>
                <w:tcPr>
                  <w:tcW w:w="1272" w:type="dxa"/>
                  <w:vAlign w:val="center"/>
                </w:tcPr>
                <w:p>
                  <w:pPr>
                    <w:jc w:val="center"/>
                    <w:rPr>
                      <w:b/>
                      <w:szCs w:val="21"/>
                      <w:highlight w:val="none"/>
                    </w:rPr>
                  </w:pPr>
                  <w:r>
                    <w:rPr>
                      <w:b/>
                      <w:szCs w:val="21"/>
                      <w:highlight w:val="none"/>
                    </w:rPr>
                    <w:t>排放去向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dxa"/>
                  <w:vAlign w:val="center"/>
                </w:tcPr>
                <w:p>
                  <w:pPr>
                    <w:ind w:left="-105" w:leftChars="-50" w:right="-105" w:rightChars="-50"/>
                    <w:jc w:val="center"/>
                    <w:rPr>
                      <w:szCs w:val="21"/>
                      <w:highlight w:val="none"/>
                    </w:rPr>
                  </w:pPr>
                  <w:r>
                    <w:rPr>
                      <w:szCs w:val="21"/>
                      <w:highlight w:val="none"/>
                    </w:rPr>
                    <w:t>加油站排</w:t>
                  </w:r>
                </w:p>
                <w:p>
                  <w:pPr>
                    <w:ind w:left="-105" w:leftChars="-50" w:right="-105" w:rightChars="-50"/>
                    <w:jc w:val="center"/>
                    <w:rPr>
                      <w:szCs w:val="21"/>
                      <w:highlight w:val="none"/>
                    </w:rPr>
                  </w:pPr>
                  <w:r>
                    <w:rPr>
                      <w:szCs w:val="21"/>
                      <w:highlight w:val="none"/>
                    </w:rPr>
                    <w:t>放废气</w:t>
                  </w:r>
                </w:p>
              </w:tc>
              <w:tc>
                <w:tcPr>
                  <w:tcW w:w="1701" w:type="dxa"/>
                  <w:vAlign w:val="center"/>
                </w:tcPr>
                <w:p>
                  <w:pPr>
                    <w:jc w:val="center"/>
                    <w:rPr>
                      <w:color w:val="000000"/>
                      <w:szCs w:val="21"/>
                      <w:highlight w:val="none"/>
                    </w:rPr>
                  </w:pPr>
                  <w:r>
                    <w:rPr>
                      <w:szCs w:val="21"/>
                      <w:highlight w:val="none"/>
                    </w:rPr>
                    <w:t>非甲烷总烃</w:t>
                  </w:r>
                </w:p>
              </w:tc>
              <w:tc>
                <w:tcPr>
                  <w:tcW w:w="1418" w:type="dxa"/>
                  <w:vAlign w:val="center"/>
                </w:tcPr>
                <w:p>
                  <w:pPr>
                    <w:jc w:val="center"/>
                    <w:rPr>
                      <w:szCs w:val="21"/>
                      <w:highlight w:val="none"/>
                    </w:rPr>
                  </w:pPr>
                  <w:r>
                    <w:rPr>
                      <w:szCs w:val="21"/>
                      <w:highlight w:val="none"/>
                    </w:rPr>
                    <w:t>间歇性</w:t>
                  </w:r>
                </w:p>
              </w:tc>
              <w:tc>
                <w:tcPr>
                  <w:tcW w:w="2835" w:type="dxa"/>
                  <w:vAlign w:val="center"/>
                </w:tcPr>
                <w:p>
                  <w:pPr>
                    <w:jc w:val="center"/>
                    <w:rPr>
                      <w:rFonts w:hint="eastAsia" w:eastAsia="宋体"/>
                      <w:szCs w:val="21"/>
                      <w:highlight w:val="none"/>
                      <w:lang w:eastAsia="zh-CN"/>
                    </w:rPr>
                  </w:pPr>
                  <w:r>
                    <w:rPr>
                      <w:rFonts w:hint="eastAsia"/>
                      <w:szCs w:val="21"/>
                      <w:highlight w:val="none"/>
                    </w:rPr>
                    <w:t>采用地埋式</w:t>
                  </w:r>
                  <w:r>
                    <w:rPr>
                      <w:rFonts w:hint="eastAsia"/>
                      <w:szCs w:val="21"/>
                      <w:highlight w:val="none"/>
                      <w:lang w:val="en-US" w:eastAsia="zh-CN"/>
                    </w:rPr>
                    <w:t>SF双层</w:t>
                  </w:r>
                  <w:r>
                    <w:rPr>
                      <w:rFonts w:hint="eastAsia"/>
                      <w:szCs w:val="21"/>
                      <w:highlight w:val="none"/>
                    </w:rPr>
                    <w:t>储油罐，增设呼吸阀挡板</w:t>
                  </w:r>
                  <w:r>
                    <w:rPr>
                      <w:rFonts w:hint="eastAsia"/>
                      <w:szCs w:val="21"/>
                      <w:highlight w:val="none"/>
                      <w:lang w:eastAsia="zh-CN"/>
                    </w:rPr>
                    <w:t>，</w:t>
                  </w:r>
                  <w:r>
                    <w:rPr>
                      <w:rFonts w:hint="eastAsia"/>
                      <w:szCs w:val="21"/>
                      <w:highlight w:val="none"/>
                    </w:rPr>
                    <w:t>采用自封式加油枪及密闭卸油等方式</w:t>
                  </w:r>
                  <w:r>
                    <w:rPr>
                      <w:rFonts w:hint="eastAsia"/>
                      <w:szCs w:val="21"/>
                      <w:highlight w:val="none"/>
                      <w:lang w:eastAsia="zh-CN"/>
                    </w:rPr>
                    <w:t>，</w:t>
                  </w:r>
                  <w:r>
                    <w:rPr>
                      <w:rFonts w:hint="eastAsia"/>
                      <w:szCs w:val="21"/>
                      <w:highlight w:val="none"/>
                    </w:rPr>
                    <w:t>采用油气回收系统</w:t>
                  </w:r>
                </w:p>
              </w:tc>
              <w:tc>
                <w:tcPr>
                  <w:tcW w:w="1272" w:type="dxa"/>
                  <w:vAlign w:val="center"/>
                </w:tcPr>
                <w:p>
                  <w:pPr>
                    <w:jc w:val="center"/>
                    <w:rPr>
                      <w:color w:val="000000"/>
                      <w:szCs w:val="21"/>
                      <w:highlight w:val="none"/>
                    </w:rPr>
                  </w:pPr>
                  <w:r>
                    <w:rPr>
                      <w:color w:val="000000"/>
                      <w:szCs w:val="21"/>
                      <w:highlight w:val="none"/>
                    </w:rPr>
                    <w:t>无组织排放</w:t>
                  </w:r>
                </w:p>
              </w:tc>
            </w:tr>
          </w:tbl>
          <w:p>
            <w:pPr>
              <w:autoSpaceDE w:val="0"/>
              <w:autoSpaceDN w:val="0"/>
              <w:adjustRightInd w:val="0"/>
              <w:jc w:val="left"/>
              <w:rPr>
                <w:rFonts w:cs="Arial"/>
                <w:color w:val="000000"/>
                <w:kern w:val="0"/>
                <w:sz w:val="24"/>
              </w:rPr>
            </w:pPr>
          </w:p>
          <w:p>
            <w:pPr>
              <w:tabs>
                <w:tab w:val="center" w:pos="4592"/>
              </w:tabs>
              <w:spacing w:line="360" w:lineRule="auto"/>
              <w:ind w:firstLine="480" w:firstLineChars="200"/>
              <w:rPr>
                <w:sz w:val="24"/>
              </w:rPr>
            </w:pPr>
            <w:r>
              <w:rPr>
                <w:sz w:val="24"/>
              </w:rPr>
              <w:t>3、噪声</w:t>
            </w:r>
          </w:p>
          <w:p>
            <w:pPr>
              <w:spacing w:line="360" w:lineRule="auto"/>
              <w:ind w:firstLine="480" w:firstLineChars="200"/>
              <w:rPr>
                <w:sz w:val="24"/>
              </w:rPr>
            </w:pPr>
            <w:r>
              <w:rPr>
                <w:sz w:val="24"/>
              </w:rPr>
              <w:t>（1）噪声主要来源：本项目无高音噪声源，主要噪声源为空调、加油机运行时</w:t>
            </w:r>
            <w:r>
              <w:rPr>
                <w:rFonts w:hint="eastAsia"/>
                <w:sz w:val="24"/>
              </w:rPr>
              <w:t>及来往车辆产生的噪声。</w:t>
            </w:r>
          </w:p>
          <w:p>
            <w:pPr>
              <w:spacing w:line="360" w:lineRule="auto"/>
              <w:ind w:firstLine="480" w:firstLineChars="200"/>
              <w:rPr>
                <w:sz w:val="24"/>
              </w:rPr>
            </w:pPr>
            <w:r>
              <w:rPr>
                <w:sz w:val="24"/>
              </w:rPr>
              <w:t>（2）处理措施：</w:t>
            </w:r>
            <w:r>
              <w:rPr>
                <w:rFonts w:hint="eastAsia"/>
                <w:sz w:val="24"/>
                <w:lang w:eastAsia="zh-CN"/>
              </w:rPr>
              <w:t>加油站</w:t>
            </w:r>
            <w:r>
              <w:rPr>
                <w:rFonts w:hint="eastAsia"/>
                <w:sz w:val="24"/>
              </w:rPr>
              <w:t>加强管理，控制进出车辆的车速，并禁止夜间鸣喇叭。加油机等设备噪声，经减振、自然衰减和房屋隔声等措施，使得厂界噪声能达到相应标准要求</w:t>
            </w:r>
            <w:r>
              <w:rPr>
                <w:sz w:val="24"/>
              </w:rPr>
              <w:t>，本项目噪声对外环境影响轻微。</w:t>
            </w:r>
          </w:p>
          <w:p>
            <w:pPr>
              <w:tabs>
                <w:tab w:val="left" w:pos="5565"/>
              </w:tabs>
              <w:spacing w:line="360" w:lineRule="auto"/>
              <w:ind w:firstLine="480" w:firstLineChars="200"/>
              <w:rPr>
                <w:sz w:val="24"/>
              </w:rPr>
            </w:pPr>
            <w:r>
              <w:rPr>
                <w:sz w:val="24"/>
              </w:rPr>
              <w:t>4、固体废物</w:t>
            </w:r>
          </w:p>
          <w:p>
            <w:pPr>
              <w:spacing w:line="360" w:lineRule="auto"/>
              <w:ind w:firstLine="480" w:firstLineChars="200"/>
              <w:rPr>
                <w:sz w:val="24"/>
              </w:rPr>
            </w:pPr>
            <w:r>
              <w:rPr>
                <w:sz w:val="24"/>
              </w:rPr>
              <w:t>（1）固体废物主要来源：该项目产生的固体废物主要为生活垃圾</w:t>
            </w:r>
            <w:r>
              <w:rPr>
                <w:rFonts w:hint="eastAsia"/>
                <w:sz w:val="24"/>
              </w:rPr>
              <w:t>、少量油罐油渣、隔油</w:t>
            </w:r>
            <w:r>
              <w:rPr>
                <w:rFonts w:hint="eastAsia"/>
                <w:sz w:val="24"/>
                <w:lang w:eastAsia="zh-CN"/>
              </w:rPr>
              <w:t>池污泥</w:t>
            </w:r>
            <w:r>
              <w:rPr>
                <w:rFonts w:hint="eastAsia"/>
                <w:sz w:val="24"/>
              </w:rPr>
              <w:t>。</w:t>
            </w:r>
          </w:p>
          <w:p>
            <w:pPr>
              <w:snapToGrid w:val="0"/>
              <w:spacing w:line="360" w:lineRule="auto"/>
              <w:ind w:firstLine="480" w:firstLineChars="200"/>
              <w:rPr>
                <w:rFonts w:hint="eastAsia" w:eastAsia="宋体"/>
                <w:kern w:val="21"/>
                <w:sz w:val="24"/>
                <w:highlight w:val="yellow"/>
                <w:lang w:eastAsia="zh-CN"/>
              </w:rPr>
            </w:pPr>
            <w:r>
              <w:rPr>
                <w:sz w:val="24"/>
              </w:rPr>
              <w:t>（2）处置措施</w:t>
            </w:r>
            <w:r>
              <w:rPr>
                <w:rFonts w:hint="eastAsia"/>
                <w:sz w:val="24"/>
                <w:lang w:eastAsia="zh-CN"/>
              </w:rPr>
              <w:t>：本项目的生活垃圾收集后交由环卫部门处理；隔油池污油、储罐渣定期由中国石化销售股份有限公司江西抚州石油分公司统一收集，然后交由江西东江环保技术有限公司处理，签订的危险废物处置协议见附件五。</w:t>
            </w:r>
            <w:r>
              <w:rPr>
                <w:rFonts w:hint="eastAsia"/>
                <w:kern w:val="21"/>
                <w:sz w:val="24"/>
                <w:highlight w:val="none"/>
                <w:lang w:eastAsia="zh-CN"/>
              </w:rPr>
              <w:t>危险废物贮存严格按照《危险废物贮存污染控制标准》（</w:t>
            </w:r>
            <w:r>
              <w:rPr>
                <w:rFonts w:hint="eastAsia"/>
                <w:kern w:val="21"/>
                <w:sz w:val="24"/>
                <w:highlight w:val="none"/>
                <w:lang w:val="en-US" w:eastAsia="zh-CN"/>
              </w:rPr>
              <w:t>GB18597-2001</w:t>
            </w:r>
            <w:r>
              <w:rPr>
                <w:rFonts w:hint="eastAsia"/>
                <w:kern w:val="21"/>
                <w:sz w:val="24"/>
                <w:highlight w:val="none"/>
                <w:lang w:eastAsia="zh-CN"/>
              </w:rPr>
              <w:t>）及其修改单实行。</w:t>
            </w:r>
          </w:p>
          <w:p>
            <w:pPr>
              <w:pStyle w:val="2"/>
              <w:ind w:left="0" w:leftChars="0"/>
            </w:pPr>
          </w:p>
        </w:tc>
      </w:tr>
    </w:tbl>
    <w:p>
      <w:pPr>
        <w:widowControl/>
        <w:jc w:val="left"/>
        <w:rPr>
          <w:rFonts w:hAnsi="宋体"/>
          <w:b/>
          <w:sz w:val="24"/>
        </w:rPr>
      </w:pPr>
      <w:r>
        <w:rPr>
          <w:rFonts w:hAnsi="宋体"/>
          <w:b/>
          <w:sz w:val="24"/>
        </w:rPr>
        <w:br w:type="page"/>
      </w:r>
    </w:p>
    <w:p>
      <w:pPr>
        <w:pStyle w:val="21"/>
        <w:jc w:val="left"/>
      </w:pPr>
      <w:bookmarkStart w:id="14" w:name="_Toc3084"/>
      <w:bookmarkStart w:id="15" w:name="_Toc52180562"/>
      <w:bookmarkStart w:id="16" w:name="_Toc14160"/>
      <w:r>
        <w:rPr>
          <w:rFonts w:hint="eastAsia"/>
        </w:rPr>
        <w:t>表四 建设项目环境影响报告表主要结论及审批部门审批决定</w:t>
      </w:r>
      <w:bookmarkEnd w:id="14"/>
      <w:bookmarkEnd w:id="15"/>
      <w:bookmarkEnd w:id="16"/>
    </w:p>
    <w:tbl>
      <w:tblPr>
        <w:tblStyle w:val="24"/>
        <w:tblW w:w="938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5" w:hRule="atLeast"/>
          <w:jc w:val="center"/>
        </w:trPr>
        <w:tc>
          <w:tcPr>
            <w:tcW w:w="9381" w:type="dxa"/>
          </w:tcPr>
          <w:p>
            <w:pPr>
              <w:spacing w:line="360" w:lineRule="auto"/>
              <w:ind w:left="482"/>
              <w:rPr>
                <w:b/>
                <w:bCs/>
                <w:sz w:val="24"/>
              </w:rPr>
            </w:pPr>
            <w:r>
              <w:rPr>
                <w:rFonts w:hint="eastAsia"/>
                <w:b/>
                <w:bCs/>
                <w:sz w:val="24"/>
              </w:rPr>
              <w:t>1、建设项目环境影响报告表主要结论（摘录于本项目环评报告）</w:t>
            </w:r>
          </w:p>
          <w:p>
            <w:pPr>
              <w:spacing w:line="360" w:lineRule="auto"/>
              <w:ind w:firstLine="480" w:firstLineChars="200"/>
              <w:rPr>
                <w:sz w:val="24"/>
              </w:rPr>
            </w:pPr>
            <w:r>
              <w:rPr>
                <w:sz w:val="24"/>
              </w:rPr>
              <w:t>（1）废水</w:t>
            </w:r>
          </w:p>
          <w:p>
            <w:pPr>
              <w:spacing w:line="360" w:lineRule="auto"/>
              <w:ind w:firstLine="480" w:firstLineChars="200"/>
              <w:rPr>
                <w:sz w:val="24"/>
              </w:rPr>
            </w:pPr>
            <w:r>
              <w:rPr>
                <w:sz w:val="24"/>
              </w:rPr>
              <w:t>本项目</w:t>
            </w:r>
            <w:r>
              <w:rPr>
                <w:rFonts w:hint="eastAsia"/>
                <w:kern w:val="0"/>
                <w:sz w:val="24"/>
              </w:rPr>
              <w:t>废水为</w:t>
            </w:r>
            <w:r>
              <w:rPr>
                <w:sz w:val="24"/>
              </w:rPr>
              <w:t>生活污水、</w:t>
            </w:r>
            <w:r>
              <w:rPr>
                <w:rFonts w:hint="eastAsia"/>
                <w:sz w:val="24"/>
              </w:rPr>
              <w:t>地面</w:t>
            </w:r>
            <w:r>
              <w:rPr>
                <w:sz w:val="24"/>
              </w:rPr>
              <w:t>冲洗废水及洗车</w:t>
            </w:r>
            <w:r>
              <w:rPr>
                <w:rFonts w:hint="eastAsia"/>
                <w:sz w:val="24"/>
              </w:rPr>
              <w:t>废水</w:t>
            </w:r>
            <w:r>
              <w:rPr>
                <w:sz w:val="24"/>
              </w:rPr>
              <w:t>，排水量为824.7t/a，</w:t>
            </w:r>
            <w:r>
              <w:rPr>
                <w:rFonts w:hint="eastAsia"/>
                <w:kern w:val="0"/>
                <w:sz w:val="24"/>
              </w:rPr>
              <w:t>主要</w:t>
            </w:r>
            <w:r>
              <w:rPr>
                <w:kern w:val="0"/>
                <w:sz w:val="24"/>
              </w:rPr>
              <w:t>污染物为</w:t>
            </w:r>
            <w:r>
              <w:rPr>
                <w:rFonts w:hint="eastAsia"/>
                <w:kern w:val="0"/>
                <w:sz w:val="24"/>
              </w:rPr>
              <w:t>pH、</w:t>
            </w:r>
            <w:r>
              <w:rPr>
                <w:rFonts w:hint="eastAsia"/>
                <w:sz w:val="24"/>
              </w:rPr>
              <w:t>CODcr、BOD</w:t>
            </w:r>
            <w:r>
              <w:rPr>
                <w:rFonts w:hint="eastAsia"/>
                <w:sz w:val="24"/>
                <w:vertAlign w:val="subscript"/>
              </w:rPr>
              <w:t>5</w:t>
            </w:r>
            <w:r>
              <w:rPr>
                <w:rFonts w:hint="eastAsia"/>
                <w:sz w:val="24"/>
              </w:rPr>
              <w:t>、SS、氨氮、</w:t>
            </w:r>
            <w:r>
              <w:rPr>
                <w:sz w:val="24"/>
              </w:rPr>
              <w:t>石油类</w:t>
            </w:r>
            <w:r>
              <w:rPr>
                <w:rFonts w:hint="eastAsia"/>
                <w:sz w:val="24"/>
              </w:rPr>
              <w:t>。项目废水</w:t>
            </w:r>
            <w:r>
              <w:rPr>
                <w:sz w:val="24"/>
              </w:rPr>
              <w:t>水质较简单，</w:t>
            </w:r>
            <w:r>
              <w:rPr>
                <w:rFonts w:hint="eastAsia"/>
                <w:sz w:val="24"/>
              </w:rPr>
              <w:t>洗车</w:t>
            </w:r>
            <w:r>
              <w:rPr>
                <w:sz w:val="24"/>
              </w:rPr>
              <w:t>废水循环使用不外排，</w:t>
            </w:r>
            <w:r>
              <w:rPr>
                <w:rFonts w:hint="eastAsia"/>
                <w:sz w:val="24"/>
              </w:rPr>
              <w:t>地面</w:t>
            </w:r>
            <w:r>
              <w:rPr>
                <w:sz w:val="24"/>
              </w:rPr>
              <w:t>冲洗废水经隔油</w:t>
            </w:r>
            <w:r>
              <w:rPr>
                <w:rFonts w:hint="eastAsia"/>
                <w:sz w:val="24"/>
              </w:rPr>
              <w:t>沉淀</w:t>
            </w:r>
            <w:r>
              <w:rPr>
                <w:sz w:val="24"/>
              </w:rPr>
              <w:t>池处理后与生活污水经化粪池处理</w:t>
            </w:r>
            <w:r>
              <w:rPr>
                <w:rFonts w:hint="eastAsia"/>
                <w:sz w:val="24"/>
              </w:rPr>
              <w:t>后达到资溪</w:t>
            </w:r>
            <w:r>
              <w:rPr>
                <w:sz w:val="24"/>
              </w:rPr>
              <w:t>县城市污水处理厂接管标准后排入</w:t>
            </w:r>
            <w:r>
              <w:rPr>
                <w:rFonts w:hint="eastAsia"/>
                <w:sz w:val="24"/>
              </w:rPr>
              <w:t>资溪县城市</w:t>
            </w:r>
            <w:r>
              <w:rPr>
                <w:sz w:val="24"/>
              </w:rPr>
              <w:t>污水处理厂深度处理，达到《城镇污水处理厂污染物排放标准》一级A标准，尾水</w:t>
            </w:r>
            <w:r>
              <w:rPr>
                <w:kern w:val="21"/>
                <w:sz w:val="24"/>
              </w:rPr>
              <w:t>最终排入</w:t>
            </w:r>
            <w:r>
              <w:rPr>
                <w:rFonts w:hint="eastAsia"/>
                <w:kern w:val="21"/>
                <w:sz w:val="24"/>
              </w:rPr>
              <w:t>泸溪河</w:t>
            </w:r>
            <w:r>
              <w:rPr>
                <w:kern w:val="21"/>
                <w:sz w:val="24"/>
              </w:rPr>
              <w:t>，对地表水环境影响很小</w:t>
            </w:r>
            <w:r>
              <w:rPr>
                <w:sz w:val="24"/>
              </w:rPr>
              <w:t>。</w:t>
            </w:r>
          </w:p>
          <w:p>
            <w:pPr>
              <w:spacing w:line="360" w:lineRule="auto"/>
              <w:ind w:firstLine="480" w:firstLineChars="200"/>
              <w:rPr>
                <w:sz w:val="24"/>
              </w:rPr>
            </w:pPr>
            <w:r>
              <w:rPr>
                <w:sz w:val="24"/>
              </w:rPr>
              <w:t>（2）废气</w:t>
            </w:r>
          </w:p>
          <w:p>
            <w:pPr>
              <w:spacing w:line="360" w:lineRule="auto"/>
              <w:ind w:firstLine="480" w:firstLineChars="200"/>
              <w:rPr>
                <w:rFonts w:hint="eastAsia"/>
                <w:sz w:val="24"/>
              </w:rPr>
            </w:pPr>
            <w:r>
              <w:rPr>
                <w:sz w:val="24"/>
              </w:rPr>
              <w:t>本项目</w:t>
            </w:r>
            <w:r>
              <w:rPr>
                <w:rFonts w:hint="eastAsia"/>
                <w:sz w:val="24"/>
              </w:rPr>
              <w:t>营运期废气主要包括油品的储存及罐车卸油、机动车加油过程挥发出的非甲烷总烃类气体</w:t>
            </w:r>
            <w:r>
              <w:rPr>
                <w:sz w:val="24"/>
              </w:rPr>
              <w:t>。</w:t>
            </w:r>
            <w:r>
              <w:rPr>
                <w:rFonts w:hint="eastAsia"/>
                <w:sz w:val="24"/>
              </w:rPr>
              <w:t>项目采用地埋式储油罐，由于该罐密闭性较好，储罐埋于地下，储油罐罐室内气温比较稳定，受大气环境稳定影响较小，减少油罐小呼吸蒸发损耗，延缓油品变质，另增设呼吸阀挡板，以减少油罐大、小呼吸损耗。加油站采用自封式加油枪及密闭卸油等方式，可以一定程度上减少非甲烷总烃的排放。为了进一步减少项目卸油、储油、加油工序中油气逸散状况的发生，加油站采用油气回收系统对油罐车卸油、储油及汽车加油过程产生的油气进行回收，减少油气向外界逸散，排放浓度可满足《加油站大气污染物排放标准》（GB20952-2007）中限制要求，</w:t>
            </w:r>
            <w:r>
              <w:rPr>
                <w:kern w:val="21"/>
                <w:sz w:val="24"/>
              </w:rPr>
              <w:t>对</w:t>
            </w:r>
            <w:r>
              <w:rPr>
                <w:rFonts w:hint="eastAsia"/>
                <w:kern w:val="21"/>
                <w:sz w:val="24"/>
              </w:rPr>
              <w:t>大气</w:t>
            </w:r>
            <w:r>
              <w:rPr>
                <w:kern w:val="21"/>
                <w:sz w:val="24"/>
              </w:rPr>
              <w:t>环境影响较小。</w:t>
            </w:r>
          </w:p>
          <w:p>
            <w:pPr>
              <w:spacing w:line="360" w:lineRule="auto"/>
              <w:ind w:firstLine="480" w:firstLineChars="200"/>
              <w:rPr>
                <w:sz w:val="24"/>
              </w:rPr>
            </w:pPr>
            <w:r>
              <w:rPr>
                <w:sz w:val="24"/>
              </w:rPr>
              <w:t>（3）噪声</w:t>
            </w:r>
          </w:p>
          <w:p>
            <w:pPr>
              <w:spacing w:line="360" w:lineRule="auto"/>
              <w:ind w:firstLine="480" w:firstLineChars="200"/>
              <w:rPr>
                <w:sz w:val="24"/>
              </w:rPr>
            </w:pPr>
            <w:r>
              <w:rPr>
                <w:rFonts w:hint="eastAsia"/>
                <w:sz w:val="24"/>
              </w:rPr>
              <w:t>加油站的噪声源主要为进出站的各类机动车（汽车为主）。应加强管理，控制进出车辆的车速，并禁止夜间鸣喇叭。加油机等设备噪声，经减振、自然衰减和房屋隔声等措施，使得厂界噪声能达到相应标准要求</w:t>
            </w:r>
            <w:r>
              <w:rPr>
                <w:sz w:val="24"/>
              </w:rPr>
              <w:t>，本项目噪声对外环境影响轻微。</w:t>
            </w:r>
          </w:p>
          <w:p>
            <w:pPr>
              <w:spacing w:line="360" w:lineRule="auto"/>
              <w:ind w:firstLine="480" w:firstLineChars="200"/>
              <w:rPr>
                <w:sz w:val="24"/>
              </w:rPr>
            </w:pPr>
            <w:r>
              <w:rPr>
                <w:sz w:val="24"/>
              </w:rPr>
              <w:t>（4）固体废物</w:t>
            </w:r>
          </w:p>
          <w:p>
            <w:pPr>
              <w:spacing w:line="360" w:lineRule="auto"/>
              <w:ind w:firstLine="480"/>
              <w:rPr>
                <w:sz w:val="24"/>
              </w:rPr>
            </w:pPr>
            <w:r>
              <w:rPr>
                <w:rFonts w:hint="eastAsia"/>
                <w:kern w:val="21"/>
                <w:sz w:val="24"/>
              </w:rPr>
              <w:t>本项目产生的生活垃圾，收集后交由环卫部门处理；储罐渣、隔油池污泥属于危险固废，收集后委托有资质单位处理。因此，固体废弃物经妥善处理后，本项目产生的固体废物对周围环境影响不大。</w:t>
            </w:r>
          </w:p>
          <w:p>
            <w:pPr>
              <w:spacing w:line="360" w:lineRule="auto"/>
              <w:ind w:firstLine="480" w:firstLineChars="200"/>
              <w:rPr>
                <w:sz w:val="24"/>
              </w:rPr>
            </w:pPr>
            <w:r>
              <w:rPr>
                <w:sz w:val="24"/>
              </w:rPr>
              <w:t>（5）地下水</w:t>
            </w:r>
          </w:p>
          <w:p>
            <w:pPr>
              <w:spacing w:line="360" w:lineRule="auto"/>
              <w:ind w:firstLine="480" w:firstLineChars="200"/>
              <w:rPr>
                <w:bCs/>
                <w:sz w:val="24"/>
              </w:rPr>
            </w:pPr>
            <w:r>
              <w:rPr>
                <w:rFonts w:hint="eastAsia"/>
                <w:bCs/>
                <w:sz w:val="24"/>
              </w:rPr>
              <w:t>本项目在设计建设中应合理选择污水管线管材，对水工建(构)筑物进行防渗处理，并加强施工监理，确保施工质量达到防渗要求。同时加强后期检查和监控，避免生产过程中“跑冒滴漏”现象的发生，发现污染及时采取防控措施，可有效控制项目生产对地下水造成的污染。从地下水环境保护的角度来说，建设项目可行。</w:t>
            </w:r>
          </w:p>
          <w:p>
            <w:pPr>
              <w:spacing w:line="360" w:lineRule="auto"/>
              <w:ind w:firstLine="480" w:firstLineChars="200"/>
              <w:rPr>
                <w:bCs/>
                <w:sz w:val="24"/>
              </w:rPr>
            </w:pPr>
            <w:r>
              <w:rPr>
                <w:rFonts w:hint="eastAsia"/>
                <w:bCs/>
                <w:sz w:val="24"/>
              </w:rPr>
              <w:t>（6</w:t>
            </w:r>
            <w:r>
              <w:rPr>
                <w:bCs/>
                <w:sz w:val="24"/>
              </w:rPr>
              <w:t>）</w:t>
            </w:r>
            <w:r>
              <w:rPr>
                <w:rFonts w:hint="eastAsia"/>
                <w:bCs/>
                <w:sz w:val="24"/>
              </w:rPr>
              <w:t>环境</w:t>
            </w:r>
            <w:r>
              <w:rPr>
                <w:bCs/>
                <w:sz w:val="24"/>
              </w:rPr>
              <w:t>风险</w:t>
            </w:r>
          </w:p>
          <w:p>
            <w:pPr>
              <w:spacing w:line="360" w:lineRule="auto"/>
              <w:ind w:firstLine="480" w:firstLineChars="200"/>
              <w:rPr>
                <w:rFonts w:hint="eastAsia"/>
                <w:bCs/>
                <w:sz w:val="24"/>
              </w:rPr>
            </w:pPr>
            <w:r>
              <w:rPr>
                <w:rFonts w:hint="eastAsia"/>
                <w:bCs/>
                <w:sz w:val="24"/>
              </w:rPr>
              <w:t>根据《建设项目环境风险评价技术导则》（HJ169-2018），项目环境风险潜势为Ⅰ级，风险评价等级为简单分析。主要风险影响为汽油、柴油火灾爆炸导致的伴生污染物CO 排放等造成环境空气的污染，及泄漏导致的地表水及地下水环境污染等。在采取相应风险管理防范措施的情况下，项目环境风险影响可控，从环境风险角度分析，本项目实施可行。</w:t>
            </w:r>
          </w:p>
          <w:p>
            <w:pPr>
              <w:pStyle w:val="2"/>
              <w:numPr>
                <w:ilvl w:val="0"/>
                <w:numId w:val="1"/>
              </w:numPr>
              <w:spacing w:line="240" w:lineRule="auto"/>
              <w:rPr>
                <w:rFonts w:hint="eastAsia"/>
                <w:bCs/>
                <w:sz w:val="24"/>
                <w:lang w:eastAsia="zh-CN"/>
              </w:rPr>
            </w:pPr>
            <w:r>
              <w:rPr>
                <w:rFonts w:hint="eastAsia"/>
                <w:bCs/>
                <w:sz w:val="24"/>
                <w:lang w:eastAsia="zh-CN"/>
              </w:rPr>
              <w:t>总结论</w:t>
            </w:r>
          </w:p>
          <w:p>
            <w:pPr>
              <w:spacing w:line="360" w:lineRule="auto"/>
              <w:ind w:firstLine="480" w:firstLineChars="200"/>
              <w:rPr>
                <w:rFonts w:hint="eastAsia"/>
                <w:bCs/>
                <w:sz w:val="24"/>
                <w:lang w:eastAsia="zh-CN"/>
              </w:rPr>
            </w:pPr>
            <w:r>
              <w:rPr>
                <w:rFonts w:hint="eastAsia" w:hAnsi="宋体"/>
                <w:sz w:val="24"/>
                <w:szCs w:val="24"/>
              </w:rPr>
              <w:t>综上所述，项目符合国家和地方产业政策，选址符合用地规划，项目对产生的废水、废气、噪声、固体废物等污染进行有效的控制及治理后，能达标排放，对周边环境影响较小。本评价认为，在切实落实本报告表提出的污染防治措施并保证其正常运行的条件下，该项目的建设对环境的影响是可以接受的，从环境保护的角度分析是可行的</w:t>
            </w:r>
            <w:r>
              <w:rPr>
                <w:rFonts w:hAnsi="宋体"/>
                <w:sz w:val="24"/>
                <w:szCs w:val="24"/>
              </w:rPr>
              <w:t>。</w:t>
            </w:r>
          </w:p>
          <w:p>
            <w:pPr>
              <w:spacing w:line="360" w:lineRule="auto"/>
              <w:ind w:firstLine="480" w:firstLineChars="200"/>
              <w:rPr>
                <w:bCs/>
                <w:sz w:val="24"/>
              </w:rPr>
            </w:pPr>
            <w:r>
              <w:rPr>
                <w:rFonts w:hint="eastAsia"/>
                <w:bCs/>
                <w:sz w:val="24"/>
              </w:rPr>
              <w:t>（8）建议及要求</w:t>
            </w:r>
          </w:p>
          <w:p>
            <w:pPr>
              <w:adjustRightInd w:val="0"/>
              <w:snapToGrid w:val="0"/>
              <w:spacing w:line="360" w:lineRule="auto"/>
              <w:ind w:firstLine="472" w:firstLineChars="200"/>
              <w:rPr>
                <w:sz w:val="24"/>
              </w:rPr>
            </w:pPr>
            <w:r>
              <w:rPr>
                <w:rFonts w:hint="eastAsia"/>
                <w:spacing w:val="-2"/>
                <w:sz w:val="24"/>
              </w:rPr>
              <w:fldChar w:fldCharType="begin"/>
            </w:r>
            <w:r>
              <w:rPr>
                <w:rFonts w:hint="eastAsia"/>
                <w:spacing w:val="-2"/>
                <w:sz w:val="24"/>
              </w:rPr>
              <w:instrText xml:space="preserve"> = 1 \* GB3 \* MERGEFORMAT </w:instrText>
            </w:r>
            <w:r>
              <w:rPr>
                <w:rFonts w:hint="eastAsia"/>
                <w:spacing w:val="-2"/>
                <w:sz w:val="24"/>
              </w:rPr>
              <w:fldChar w:fldCharType="separate"/>
            </w:r>
            <w:r>
              <w:t>①</w:t>
            </w:r>
            <w:r>
              <w:rPr>
                <w:rFonts w:hint="eastAsia"/>
                <w:spacing w:val="-2"/>
                <w:sz w:val="24"/>
              </w:rPr>
              <w:fldChar w:fldCharType="end"/>
            </w:r>
            <w:r>
              <w:rPr>
                <w:sz w:val="24"/>
              </w:rPr>
              <w:t>在项目建设同时，应确保环保设施的建设，落实污染治理方案和建设资金，做到“专款专用”，切实做到环保设施和主体工程“同时设计、同时施工、同时投产”。</w:t>
            </w:r>
          </w:p>
          <w:p>
            <w:pPr>
              <w:spacing w:line="360" w:lineRule="auto"/>
              <w:ind w:firstLine="480" w:firstLineChars="200"/>
              <w:rPr>
                <w:sz w:val="24"/>
              </w:rPr>
            </w:pPr>
            <w:r>
              <w:rPr>
                <w:rFonts w:hint="eastAsia"/>
                <w:kern w:val="0"/>
                <w:sz w:val="24"/>
                <w:lang w:val="en-GB"/>
              </w:rPr>
              <w:fldChar w:fldCharType="begin"/>
            </w:r>
            <w:r>
              <w:rPr>
                <w:rFonts w:hint="eastAsia"/>
                <w:kern w:val="0"/>
                <w:sz w:val="24"/>
                <w:lang w:val="en-GB"/>
              </w:rPr>
              <w:instrText xml:space="preserve"> = 2 \* GB3 \* MERGEFORMAT </w:instrText>
            </w:r>
            <w:r>
              <w:rPr>
                <w:rFonts w:hint="eastAsia"/>
                <w:kern w:val="0"/>
                <w:sz w:val="24"/>
                <w:lang w:val="en-GB"/>
              </w:rPr>
              <w:fldChar w:fldCharType="separate"/>
            </w:r>
            <w:r>
              <w:t>②</w:t>
            </w:r>
            <w:r>
              <w:rPr>
                <w:rFonts w:hint="eastAsia"/>
                <w:kern w:val="0"/>
                <w:sz w:val="24"/>
                <w:lang w:val="en-GB"/>
              </w:rPr>
              <w:fldChar w:fldCharType="end"/>
            </w:r>
            <w:r>
              <w:rPr>
                <w:sz w:val="24"/>
              </w:rPr>
              <w:t>严格按照环保要求落实报告</w:t>
            </w:r>
            <w:r>
              <w:rPr>
                <w:rFonts w:hint="eastAsia"/>
                <w:sz w:val="24"/>
              </w:rPr>
              <w:t>表</w:t>
            </w:r>
            <w:r>
              <w:rPr>
                <w:sz w:val="24"/>
              </w:rPr>
              <w:t>中的其它各项环保措施，减少本项目的影响和外界环境的影响，确保各项污染物均得到达标排放和妥善处置。</w:t>
            </w:r>
          </w:p>
          <w:p>
            <w:pPr>
              <w:spacing w:line="360" w:lineRule="auto"/>
              <w:ind w:firstLine="480" w:firstLineChars="200"/>
              <w:rPr>
                <w:rFonts w:hint="eastAsia"/>
                <w:sz w:val="24"/>
              </w:rPr>
            </w:pPr>
            <w:r>
              <w:rPr>
                <w:rFonts w:hint="eastAsia"/>
                <w:sz w:val="24"/>
              </w:rPr>
              <w:fldChar w:fldCharType="begin"/>
            </w:r>
            <w:r>
              <w:rPr>
                <w:rFonts w:hint="eastAsia"/>
                <w:sz w:val="24"/>
              </w:rPr>
              <w:instrText xml:space="preserve"> = 3 \* GB3 \* MERGEFORMAT </w:instrText>
            </w:r>
            <w:r>
              <w:rPr>
                <w:rFonts w:hint="eastAsia"/>
                <w:sz w:val="24"/>
              </w:rPr>
              <w:fldChar w:fldCharType="separate"/>
            </w:r>
            <w:r>
              <w:t>③</w:t>
            </w:r>
            <w:r>
              <w:rPr>
                <w:rFonts w:hint="eastAsia"/>
                <w:sz w:val="24"/>
              </w:rPr>
              <w:fldChar w:fldCharType="end"/>
            </w:r>
            <w:r>
              <w:rPr>
                <w:rFonts w:hint="eastAsia"/>
                <w:sz w:val="24"/>
              </w:rPr>
              <w:t>工程施工中为防止油罐渗漏对地下水的污染，在加油站规划中应考虑在储油罐周围设计检查孔或检查通道，为及时发现油罐渗漏提供条件。采用玻璃钢防腐技术对储油罐内外表面，储油罐外周检查通道、贮罐区地面基础输油管线外表面做防腐防渗处理。</w:t>
            </w:r>
          </w:p>
          <w:p>
            <w:pPr>
              <w:spacing w:line="360" w:lineRule="auto"/>
              <w:ind w:firstLine="480" w:firstLineChars="200"/>
              <w:rPr>
                <w:rFonts w:hint="eastAsia"/>
                <w:sz w:val="24"/>
              </w:rPr>
            </w:pPr>
            <w:r>
              <w:rPr>
                <w:rFonts w:hint="eastAsia"/>
                <w:sz w:val="24"/>
              </w:rPr>
              <w:fldChar w:fldCharType="begin"/>
            </w:r>
            <w:r>
              <w:rPr>
                <w:rFonts w:hint="eastAsia"/>
                <w:sz w:val="24"/>
              </w:rPr>
              <w:instrText xml:space="preserve"> = 4 \* GB3 \* MERGEFORMAT </w:instrText>
            </w:r>
            <w:r>
              <w:rPr>
                <w:rFonts w:hint="eastAsia"/>
                <w:sz w:val="24"/>
              </w:rPr>
              <w:fldChar w:fldCharType="separate"/>
            </w:r>
            <w:r>
              <w:t>④</w:t>
            </w:r>
            <w:r>
              <w:rPr>
                <w:rFonts w:hint="eastAsia"/>
                <w:sz w:val="24"/>
              </w:rPr>
              <w:fldChar w:fldCharType="end"/>
            </w:r>
            <w:r>
              <w:rPr>
                <w:rFonts w:hint="eastAsia"/>
                <w:sz w:val="24"/>
              </w:rPr>
              <w:t>对储油系统及管道定期进行检查和保护，定期检查加油机内各油管、油泵及流量计是否有渗油情形发生，并在火灾危险场所设置报警装置。</w:t>
            </w:r>
          </w:p>
          <w:p>
            <w:pPr>
              <w:spacing w:line="360" w:lineRule="auto"/>
              <w:ind w:firstLine="480" w:firstLineChars="200"/>
              <w:rPr>
                <w:rFonts w:hint="eastAsia"/>
                <w:sz w:val="24"/>
              </w:rPr>
            </w:pPr>
            <w:r>
              <w:rPr>
                <w:rFonts w:hint="eastAsia"/>
                <w:sz w:val="24"/>
              </w:rPr>
              <w:fldChar w:fldCharType="begin"/>
            </w:r>
            <w:r>
              <w:rPr>
                <w:rFonts w:hint="eastAsia"/>
                <w:sz w:val="24"/>
              </w:rPr>
              <w:instrText xml:space="preserve"> = 5 \* GB3 \* MERGEFORMAT </w:instrText>
            </w:r>
            <w:r>
              <w:rPr>
                <w:rFonts w:hint="eastAsia"/>
                <w:sz w:val="24"/>
              </w:rPr>
              <w:fldChar w:fldCharType="separate"/>
            </w:r>
            <w:r>
              <w:t>⑤</w:t>
            </w:r>
            <w:r>
              <w:rPr>
                <w:rFonts w:hint="eastAsia"/>
                <w:sz w:val="24"/>
              </w:rPr>
              <w:fldChar w:fldCharType="end"/>
            </w:r>
            <w:r>
              <w:rPr>
                <w:rFonts w:hint="eastAsia"/>
                <w:sz w:val="24"/>
              </w:rPr>
              <w:t>制定严格的防火、防爆制度，定期对生产人员进行消防等安全教育，同时建立安全监督机制进行安全考核等。并设计紧急事故处理预案，明确消防责任人。</w:t>
            </w:r>
          </w:p>
          <w:p>
            <w:pPr>
              <w:spacing w:line="360" w:lineRule="auto"/>
              <w:ind w:firstLine="480" w:firstLineChars="200"/>
              <w:rPr>
                <w:rFonts w:hint="eastAsia"/>
                <w:sz w:val="24"/>
              </w:rPr>
            </w:pPr>
            <w:r>
              <w:rPr>
                <w:rFonts w:hint="eastAsia"/>
                <w:sz w:val="24"/>
              </w:rPr>
              <w:fldChar w:fldCharType="begin"/>
            </w:r>
            <w:r>
              <w:rPr>
                <w:rFonts w:hint="eastAsia"/>
                <w:sz w:val="24"/>
              </w:rPr>
              <w:instrText xml:space="preserve"> = 6 \* GB3 \* MERGEFORMAT </w:instrText>
            </w:r>
            <w:r>
              <w:rPr>
                <w:rFonts w:hint="eastAsia"/>
                <w:sz w:val="24"/>
              </w:rPr>
              <w:fldChar w:fldCharType="separate"/>
            </w:r>
            <w:r>
              <w:t>⑥</w:t>
            </w:r>
            <w:r>
              <w:rPr>
                <w:rFonts w:hint="eastAsia"/>
                <w:sz w:val="24"/>
              </w:rPr>
              <w:fldChar w:fldCharType="end"/>
            </w:r>
            <w:r>
              <w:rPr>
                <w:rFonts w:hint="eastAsia"/>
                <w:sz w:val="24"/>
              </w:rPr>
              <w:t>建设项目按要求落实消防措施，保证消防道路及消防水源的贮备，并按照《建筑灭火器配置设计规范》（GBJ140-90）规定，应配置相应的灭火器类型与数量。</w:t>
            </w:r>
          </w:p>
          <w:p>
            <w:pPr>
              <w:spacing w:line="360" w:lineRule="auto"/>
              <w:ind w:firstLine="480" w:firstLineChars="200"/>
              <w:rPr>
                <w:bCs/>
                <w:sz w:val="24"/>
              </w:rPr>
            </w:pPr>
            <w:r>
              <w:rPr>
                <w:rFonts w:hint="eastAsia"/>
                <w:sz w:val="24"/>
              </w:rPr>
              <w:fldChar w:fldCharType="begin"/>
            </w:r>
            <w:r>
              <w:rPr>
                <w:rFonts w:hint="eastAsia"/>
                <w:sz w:val="24"/>
              </w:rPr>
              <w:instrText xml:space="preserve"> = 7 \* GB3 \* MERGEFORMAT </w:instrText>
            </w:r>
            <w:r>
              <w:rPr>
                <w:rFonts w:hint="eastAsia"/>
                <w:sz w:val="24"/>
              </w:rPr>
              <w:fldChar w:fldCharType="separate"/>
            </w:r>
            <w:r>
              <w:t>⑦</w:t>
            </w:r>
            <w:r>
              <w:rPr>
                <w:rFonts w:hint="eastAsia"/>
                <w:sz w:val="24"/>
              </w:rPr>
              <w:fldChar w:fldCharType="end"/>
            </w:r>
            <w:r>
              <w:rPr>
                <w:rFonts w:hint="eastAsia"/>
                <w:sz w:val="24"/>
              </w:rPr>
              <w:t>在建设全过程应该严格按照《汽车加油加气设计与施工规范》（GB50156-2012）（2014 年修订版）的要求保证施工油罐、加油机和通气管管口与周围环境敏感点的距离符合规范要求；生产管理中应严格遵守《建筑设计防火规范》、《汽车加油加气设计与施工规范》（GB50156-2012）及其他相关的安全生产的法律法规和建设规范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3" w:hRule="atLeast"/>
          <w:jc w:val="center"/>
        </w:trPr>
        <w:tc>
          <w:tcPr>
            <w:tcW w:w="9381" w:type="dxa"/>
          </w:tcPr>
          <w:p>
            <w:pPr>
              <w:spacing w:line="360" w:lineRule="auto"/>
              <w:ind w:left="482"/>
              <w:rPr>
                <w:rFonts w:asciiTheme="majorBidi" w:hAnsiTheme="majorBidi" w:cstheme="majorBidi"/>
                <w:b/>
                <w:bCs/>
                <w:sz w:val="24"/>
              </w:rPr>
            </w:pPr>
            <w:r>
              <w:rPr>
                <w:rFonts w:hint="eastAsia" w:asciiTheme="majorBidi" w:hAnsiTheme="majorBidi" w:cstheme="majorBidi"/>
                <w:b/>
                <w:bCs/>
                <w:sz w:val="24"/>
              </w:rPr>
              <w:t>2、</w:t>
            </w:r>
            <w:r>
              <w:rPr>
                <w:rFonts w:asciiTheme="majorBidi" w:hAnsiTheme="majorBidi" w:cstheme="majorBidi"/>
                <w:b/>
                <w:bCs/>
                <w:sz w:val="24"/>
              </w:rPr>
              <w:t>审批部门审批要求（摘录于本项目环评批复）</w:t>
            </w:r>
          </w:p>
          <w:p>
            <w:pPr>
              <w:pStyle w:val="2"/>
              <w:spacing w:after="0" w:line="360" w:lineRule="auto"/>
              <w:ind w:left="0" w:leftChars="0" w:firstLine="480" w:firstLineChars="200"/>
              <w:rPr>
                <w:sz w:val="24"/>
                <w:highlight w:val="none"/>
              </w:rPr>
            </w:pPr>
            <w:r>
              <w:rPr>
                <w:rFonts w:hint="eastAsia"/>
                <w:sz w:val="24"/>
                <w:highlight w:val="none"/>
              </w:rPr>
              <w:t>一、项目基本情况和批复意见</w:t>
            </w:r>
          </w:p>
          <w:p>
            <w:pPr>
              <w:pStyle w:val="2"/>
              <w:spacing w:after="0" w:line="360" w:lineRule="auto"/>
              <w:ind w:left="0" w:leftChars="0" w:firstLine="480" w:firstLineChars="200"/>
              <w:rPr>
                <w:rFonts w:hint="eastAsia"/>
                <w:sz w:val="24"/>
                <w:highlight w:val="none"/>
              </w:rPr>
            </w:pPr>
            <w:r>
              <w:rPr>
                <w:rFonts w:hint="eastAsia"/>
                <w:sz w:val="24"/>
                <w:highlight w:val="none"/>
              </w:rPr>
              <w:t>（一）项目</w:t>
            </w:r>
            <w:r>
              <w:rPr>
                <w:rFonts w:hint="eastAsia"/>
                <w:sz w:val="24"/>
                <w:highlight w:val="none"/>
                <w:lang w:eastAsia="zh-CN"/>
              </w:rPr>
              <w:t>批复意见</w:t>
            </w:r>
            <w:r>
              <w:rPr>
                <w:rFonts w:hint="eastAsia"/>
                <w:sz w:val="24"/>
                <w:highlight w:val="none"/>
              </w:rPr>
              <w:t>。</w:t>
            </w:r>
          </w:p>
          <w:p>
            <w:pPr>
              <w:pStyle w:val="2"/>
              <w:spacing w:after="0" w:line="360" w:lineRule="auto"/>
              <w:ind w:left="0" w:leftChars="0" w:firstLine="480" w:firstLineChars="200"/>
              <w:rPr>
                <w:rFonts w:hint="eastAsia" w:eastAsia="宋体"/>
                <w:sz w:val="24"/>
                <w:highlight w:val="none"/>
                <w:lang w:eastAsia="zh-CN"/>
              </w:rPr>
            </w:pPr>
            <w:r>
              <w:rPr>
                <w:rFonts w:hint="eastAsia"/>
                <w:sz w:val="24"/>
                <w:highlight w:val="none"/>
                <w:lang w:eastAsia="zh-CN"/>
              </w:rPr>
              <w:t>在认真落实《报告表》提出的各项环保措施和要求前提下，同意该项目按《报告表》提出的建议地点、建设内容、环保措施等内容进行建议。</w:t>
            </w:r>
          </w:p>
          <w:p>
            <w:pPr>
              <w:pStyle w:val="2"/>
              <w:numPr>
                <w:ilvl w:val="0"/>
                <w:numId w:val="2"/>
              </w:numPr>
              <w:spacing w:after="0" w:line="360" w:lineRule="auto"/>
              <w:ind w:left="0" w:leftChars="0" w:firstLine="480" w:firstLineChars="200"/>
              <w:rPr>
                <w:rFonts w:hint="eastAsia"/>
                <w:sz w:val="24"/>
                <w:highlight w:val="none"/>
              </w:rPr>
            </w:pPr>
            <w:r>
              <w:rPr>
                <w:rFonts w:hint="eastAsia"/>
                <w:sz w:val="24"/>
                <w:highlight w:val="none"/>
              </w:rPr>
              <w:t>项目</w:t>
            </w:r>
            <w:r>
              <w:rPr>
                <w:rFonts w:hint="eastAsia"/>
                <w:sz w:val="24"/>
                <w:highlight w:val="none"/>
                <w:lang w:eastAsia="zh-CN"/>
              </w:rPr>
              <w:t>基本情况</w:t>
            </w:r>
            <w:r>
              <w:rPr>
                <w:rFonts w:hint="eastAsia"/>
                <w:sz w:val="24"/>
                <w:highlight w:val="none"/>
              </w:rPr>
              <w:t>。</w:t>
            </w:r>
          </w:p>
          <w:p>
            <w:pPr>
              <w:pStyle w:val="2"/>
              <w:numPr>
                <w:ilvl w:val="0"/>
                <w:numId w:val="0"/>
              </w:numPr>
              <w:spacing w:after="0" w:line="360" w:lineRule="auto"/>
              <w:ind w:firstLine="480"/>
              <w:rPr>
                <w:rFonts w:hint="eastAsia"/>
                <w:sz w:val="24"/>
                <w:highlight w:val="none"/>
                <w:lang w:val="en-US" w:eastAsia="zh-CN"/>
              </w:rPr>
            </w:pPr>
            <w:r>
              <w:rPr>
                <w:rFonts w:hint="eastAsia"/>
                <w:sz w:val="24"/>
                <w:highlight w:val="none"/>
                <w:lang w:val="en-US" w:eastAsia="zh-CN"/>
              </w:rPr>
              <w:t>本项目建设地点位于资溪县鹤城镇沙苑村新316国道东侧（茶博城对面），项目总投资534万元，其中环保投资41万元，占总投资7.68%。</w:t>
            </w:r>
          </w:p>
          <w:p>
            <w:pPr>
              <w:pStyle w:val="2"/>
              <w:numPr>
                <w:ilvl w:val="0"/>
                <w:numId w:val="0"/>
              </w:numPr>
              <w:spacing w:after="0" w:line="360" w:lineRule="auto"/>
              <w:ind w:firstLine="480"/>
              <w:rPr>
                <w:rFonts w:hint="default" w:eastAsia="宋体"/>
                <w:sz w:val="24"/>
                <w:highlight w:val="yellow"/>
                <w:lang w:val="en-US" w:eastAsia="zh-CN"/>
              </w:rPr>
            </w:pPr>
            <w:r>
              <w:rPr>
                <w:rFonts w:hint="eastAsia"/>
                <w:sz w:val="24"/>
                <w:highlight w:val="none"/>
                <w:lang w:val="en-US" w:eastAsia="zh-CN"/>
              </w:rPr>
              <w:t>项目主要建设内容：</w:t>
            </w:r>
            <w:r>
              <w:rPr>
                <w:rFonts w:hint="eastAsia"/>
                <w:sz w:val="24"/>
                <w:szCs w:val="24"/>
              </w:rPr>
              <w:t>主体工程包括加油区和油罐区，加油区建筑面积为</w:t>
            </w:r>
            <w:r>
              <w:rPr>
                <w:sz w:val="24"/>
                <w:szCs w:val="24"/>
              </w:rPr>
              <w:t>246.57</w:t>
            </w:r>
            <w:r>
              <w:rPr>
                <w:rFonts w:hint="eastAsia"/>
                <w:sz w:val="24"/>
                <w:szCs w:val="24"/>
              </w:rPr>
              <w:t>m</w:t>
            </w:r>
            <w:r>
              <w:rPr>
                <w:rFonts w:hint="eastAsia"/>
                <w:sz w:val="24"/>
                <w:szCs w:val="24"/>
                <w:vertAlign w:val="superscript"/>
              </w:rPr>
              <w:t>2</w:t>
            </w:r>
            <w:r>
              <w:rPr>
                <w:rFonts w:hint="eastAsia"/>
                <w:sz w:val="24"/>
                <w:szCs w:val="24"/>
              </w:rPr>
              <w:t>，油罐区占地面积</w:t>
            </w:r>
            <w:r>
              <w:rPr>
                <w:sz w:val="24"/>
                <w:szCs w:val="24"/>
              </w:rPr>
              <w:t>为</w:t>
            </w:r>
            <w:r>
              <w:rPr>
                <w:rFonts w:hint="eastAsia"/>
                <w:sz w:val="24"/>
                <w:szCs w:val="24"/>
              </w:rPr>
              <w:t>100m</w:t>
            </w:r>
            <w:r>
              <w:rPr>
                <w:sz w:val="24"/>
                <w:szCs w:val="24"/>
                <w:vertAlign w:val="superscript"/>
              </w:rPr>
              <w:t>2</w:t>
            </w:r>
            <w:r>
              <w:rPr>
                <w:rFonts w:hint="eastAsia"/>
                <w:sz w:val="24"/>
                <w:szCs w:val="24"/>
              </w:rPr>
              <w:t>；辅助工程包括站房（一层框架结构、便利店、办公区</w:t>
            </w:r>
            <w:r>
              <w:rPr>
                <w:sz w:val="24"/>
                <w:szCs w:val="24"/>
              </w:rPr>
              <w:t>等</w:t>
            </w:r>
            <w:r>
              <w:rPr>
                <w:rFonts w:hint="eastAsia"/>
                <w:sz w:val="24"/>
                <w:szCs w:val="24"/>
              </w:rPr>
              <w:t>），总建筑面积为</w:t>
            </w:r>
            <w:r>
              <w:rPr>
                <w:sz w:val="24"/>
                <w:szCs w:val="24"/>
              </w:rPr>
              <w:t>161.28</w:t>
            </w:r>
            <w:r>
              <w:rPr>
                <w:rFonts w:hint="eastAsia"/>
                <w:sz w:val="24"/>
                <w:szCs w:val="24"/>
              </w:rPr>
              <w:t>m</w:t>
            </w:r>
            <w:r>
              <w:rPr>
                <w:rFonts w:hint="eastAsia"/>
                <w:sz w:val="24"/>
                <w:szCs w:val="24"/>
                <w:vertAlign w:val="superscript"/>
              </w:rPr>
              <w:t>2</w:t>
            </w:r>
            <w:r>
              <w:rPr>
                <w:rFonts w:hint="eastAsia"/>
                <w:sz w:val="24"/>
                <w:szCs w:val="24"/>
              </w:rPr>
              <w:t>；环保工程包括化粪池（</w:t>
            </w:r>
            <w:r>
              <w:rPr>
                <w:sz w:val="24"/>
                <w:szCs w:val="24"/>
              </w:rPr>
              <w:t>7.5</w:t>
            </w:r>
            <w:r>
              <w:rPr>
                <w:rFonts w:hint="eastAsia"/>
                <w:sz w:val="24"/>
                <w:szCs w:val="24"/>
              </w:rPr>
              <w:t>m</w:t>
            </w:r>
            <w:r>
              <w:rPr>
                <w:rFonts w:hint="eastAsia"/>
                <w:sz w:val="24"/>
                <w:szCs w:val="24"/>
                <w:vertAlign w:val="superscript"/>
              </w:rPr>
              <w:t>3</w:t>
            </w:r>
            <w:r>
              <w:rPr>
                <w:rFonts w:hint="eastAsia"/>
                <w:sz w:val="24"/>
                <w:szCs w:val="24"/>
              </w:rPr>
              <w:t>）、隔油沉淀池（</w:t>
            </w:r>
            <w:r>
              <w:rPr>
                <w:sz w:val="24"/>
                <w:szCs w:val="24"/>
              </w:rPr>
              <w:t>12</w:t>
            </w:r>
            <w:r>
              <w:rPr>
                <w:rFonts w:hint="eastAsia"/>
                <w:sz w:val="24"/>
                <w:szCs w:val="24"/>
              </w:rPr>
              <w:t>m</w:t>
            </w:r>
            <w:r>
              <w:rPr>
                <w:rFonts w:hint="eastAsia"/>
                <w:sz w:val="24"/>
                <w:szCs w:val="24"/>
                <w:vertAlign w:val="superscript"/>
              </w:rPr>
              <w:t>3</w:t>
            </w:r>
            <w:r>
              <w:rPr>
                <w:rFonts w:hint="eastAsia"/>
                <w:sz w:val="24"/>
                <w:szCs w:val="24"/>
              </w:rPr>
              <w:t>）、油气回收装置</w:t>
            </w:r>
            <w:r>
              <w:rPr>
                <w:rFonts w:hint="eastAsia"/>
                <w:sz w:val="24"/>
                <w:szCs w:val="24"/>
                <w:lang w:eastAsia="zh-CN"/>
              </w:rPr>
              <w:t>；公用</w:t>
            </w:r>
            <w:r>
              <w:rPr>
                <w:rFonts w:hint="eastAsia"/>
                <w:sz w:val="24"/>
                <w:szCs w:val="24"/>
                <w:lang w:val="en-US" w:eastAsia="zh-CN"/>
              </w:rPr>
              <w:t xml:space="preserve"> 工程有供电工程、供排水工程等。项目年工作365天，劳动定员5人。</w:t>
            </w:r>
          </w:p>
          <w:p>
            <w:pPr>
              <w:pStyle w:val="2"/>
              <w:numPr>
                <w:ilvl w:val="0"/>
                <w:numId w:val="0"/>
              </w:numPr>
              <w:spacing w:after="0" w:line="360" w:lineRule="auto"/>
              <w:ind w:firstLine="480" w:firstLineChars="200"/>
              <w:rPr>
                <w:rFonts w:hint="eastAsia" w:eastAsia="宋体"/>
                <w:sz w:val="24"/>
                <w:highlight w:val="none"/>
                <w:lang w:eastAsia="zh-CN"/>
              </w:rPr>
            </w:pPr>
            <w:r>
              <w:rPr>
                <w:rFonts w:hint="eastAsia"/>
                <w:sz w:val="24"/>
                <w:highlight w:val="none"/>
              </w:rPr>
              <w:t>二、项目建设</w:t>
            </w:r>
            <w:r>
              <w:rPr>
                <w:rFonts w:hint="eastAsia"/>
                <w:sz w:val="24"/>
                <w:highlight w:val="none"/>
                <w:lang w:eastAsia="zh-CN"/>
              </w:rPr>
              <w:t>的污染防治措施及要求</w:t>
            </w:r>
          </w:p>
          <w:p>
            <w:pPr>
              <w:pStyle w:val="2"/>
              <w:spacing w:after="0" w:line="360" w:lineRule="auto"/>
              <w:ind w:left="0" w:leftChars="0" w:firstLine="480" w:firstLineChars="200"/>
              <w:rPr>
                <w:sz w:val="24"/>
                <w:highlight w:val="none"/>
              </w:rPr>
            </w:pPr>
            <w:r>
              <w:rPr>
                <w:rFonts w:hint="eastAsia"/>
                <w:sz w:val="24"/>
                <w:highlight w:val="none"/>
              </w:rPr>
              <w:t>项目在工程设计、建设和运营过程中必须认真落实《报告表》 提出的各项环保要求，并重点做好以下几项工作：</w:t>
            </w:r>
          </w:p>
          <w:p>
            <w:pPr>
              <w:pStyle w:val="2"/>
              <w:numPr>
                <w:ilvl w:val="0"/>
                <w:numId w:val="3"/>
              </w:numPr>
              <w:spacing w:after="0" w:line="360" w:lineRule="auto"/>
              <w:ind w:left="0" w:leftChars="0" w:firstLine="480" w:firstLineChars="200"/>
              <w:rPr>
                <w:rFonts w:hint="eastAsia"/>
                <w:sz w:val="24"/>
                <w:highlight w:val="none"/>
                <w:vertAlign w:val="baseline"/>
                <w:lang w:val="en-US" w:eastAsia="zh-CN"/>
              </w:rPr>
            </w:pPr>
            <w:r>
              <w:rPr>
                <w:rFonts w:hint="eastAsia"/>
                <w:sz w:val="24"/>
                <w:highlight w:val="none"/>
                <w:lang w:eastAsia="zh-CN"/>
              </w:rPr>
              <w:t>废水处理措施</w:t>
            </w:r>
            <w:r>
              <w:rPr>
                <w:rFonts w:hint="eastAsia"/>
                <w:sz w:val="24"/>
                <w:highlight w:val="none"/>
              </w:rPr>
              <w:t>。</w:t>
            </w:r>
            <w:r>
              <w:rPr>
                <w:rFonts w:hint="eastAsia"/>
                <w:sz w:val="24"/>
                <w:highlight w:val="none"/>
                <w:lang w:eastAsia="zh-CN"/>
              </w:rPr>
              <w:t>项目废水为生活污水、地面冲洗废水及洗车废水，主要污染物为</w:t>
            </w:r>
            <w:r>
              <w:rPr>
                <w:rFonts w:hint="eastAsia"/>
                <w:sz w:val="24"/>
                <w:highlight w:val="none"/>
                <w:lang w:val="en-US" w:eastAsia="zh-CN"/>
              </w:rPr>
              <w:t>pH、CODcr、BOD</w:t>
            </w:r>
            <w:r>
              <w:rPr>
                <w:rFonts w:hint="eastAsia"/>
                <w:sz w:val="24"/>
                <w:highlight w:val="none"/>
                <w:vertAlign w:val="subscript"/>
                <w:lang w:val="en-US" w:eastAsia="zh-CN"/>
              </w:rPr>
              <w:t>5</w:t>
            </w:r>
            <w:r>
              <w:rPr>
                <w:rFonts w:hint="eastAsia"/>
                <w:sz w:val="24"/>
                <w:highlight w:val="none"/>
                <w:vertAlign w:val="baseline"/>
                <w:lang w:val="en-US" w:eastAsia="zh-CN"/>
              </w:rPr>
              <w:t>、SS、氨氮、石油类。项目洗车废水循环使用不外排，地面冲洗废水经隔油沉淀池处理后与生化污水经化粪池处理后达到资溪县城市污水处理厂接管标准后排入资溪县城市污水处理厂深度处理，达到《城镇污水处理厂污染物排放标准》一级A标准，尾水最终排入泸溪河。</w:t>
            </w:r>
          </w:p>
          <w:p>
            <w:pPr>
              <w:pStyle w:val="2"/>
              <w:numPr>
                <w:ilvl w:val="0"/>
                <w:numId w:val="3"/>
              </w:numPr>
              <w:spacing w:after="0" w:line="360" w:lineRule="auto"/>
              <w:ind w:left="0" w:leftChars="0" w:firstLine="480" w:firstLineChars="200"/>
              <w:rPr>
                <w:sz w:val="24"/>
                <w:highlight w:val="none"/>
              </w:rPr>
            </w:pPr>
            <w:r>
              <w:rPr>
                <w:rFonts w:hint="eastAsia"/>
                <w:sz w:val="24"/>
                <w:highlight w:val="none"/>
                <w:lang w:eastAsia="zh-CN"/>
              </w:rPr>
              <w:t>废气处理措施采用埋地式油罐，增设呼吸阀挡板，以减少油罐大、小呼吸损耗。采用自封式加油枪、密闭加卸油油气回收系统对油罐车卸油、储油及汽车加油过程产生的油气进行回收，减少油气向外界逸散，排放浓度可满足《加油站大气污染物排放标准》（</w:t>
            </w:r>
            <w:r>
              <w:rPr>
                <w:rFonts w:hint="eastAsia"/>
                <w:sz w:val="24"/>
                <w:highlight w:val="none"/>
                <w:lang w:val="en-US" w:eastAsia="zh-CN"/>
              </w:rPr>
              <w:t>GB20952-2007</w:t>
            </w:r>
            <w:r>
              <w:rPr>
                <w:rFonts w:hint="eastAsia"/>
                <w:sz w:val="24"/>
                <w:highlight w:val="none"/>
                <w:lang w:eastAsia="zh-CN"/>
              </w:rPr>
              <w:t>）中限制要求。</w:t>
            </w:r>
          </w:p>
          <w:p>
            <w:pPr>
              <w:pStyle w:val="2"/>
              <w:numPr>
                <w:ilvl w:val="0"/>
                <w:numId w:val="3"/>
              </w:numPr>
              <w:spacing w:after="0" w:line="360" w:lineRule="auto"/>
              <w:ind w:left="0" w:leftChars="0" w:firstLine="480" w:firstLineChars="200"/>
              <w:rPr>
                <w:sz w:val="24"/>
                <w:highlight w:val="none"/>
              </w:rPr>
            </w:pPr>
            <w:r>
              <w:rPr>
                <w:rFonts w:hint="eastAsia"/>
                <w:sz w:val="24"/>
                <w:highlight w:val="none"/>
                <w:lang w:eastAsia="zh-CN"/>
              </w:rPr>
              <w:t>严格落实环境噪声污染防治措施。</w:t>
            </w:r>
          </w:p>
          <w:p>
            <w:pPr>
              <w:pStyle w:val="2"/>
              <w:numPr>
                <w:ilvl w:val="0"/>
                <w:numId w:val="0"/>
              </w:numPr>
              <w:spacing w:after="0" w:line="360" w:lineRule="auto"/>
              <w:ind w:firstLine="480" w:firstLineChars="200"/>
              <w:rPr>
                <w:rFonts w:hint="eastAsia"/>
                <w:sz w:val="24"/>
                <w:highlight w:val="none"/>
                <w:lang w:val="en-US" w:eastAsia="zh-CN"/>
              </w:rPr>
            </w:pPr>
            <w:r>
              <w:rPr>
                <w:rFonts w:hint="eastAsia"/>
                <w:sz w:val="24"/>
                <w:highlight w:val="none"/>
                <w:lang w:eastAsia="zh-CN"/>
              </w:rPr>
              <w:t>项目主要噪声有汽车运输、生产设备等噪声。施工期噪声主要有打桩机、挖掘机等机械设备噪声。主要采用基础减振、隔声屏障等措施，夜间不生产。运营期噪声主要有加油机等机械设备及进出车辆交通噪声。噪声强度约为</w:t>
            </w:r>
            <w:r>
              <w:rPr>
                <w:rFonts w:hint="eastAsia"/>
                <w:sz w:val="24"/>
                <w:highlight w:val="none"/>
                <w:lang w:val="en-US" w:eastAsia="zh-CN"/>
              </w:rPr>
              <w:t>65-75dB(A)。加强管理，控制进出车辆的车速，加油机等设备采取隔声、减振等措施，厂界噪声必须满足《工业企业厂界环境噪声排放标准》（GB12348-2008）中2类及4类标准要求。</w:t>
            </w:r>
          </w:p>
          <w:p>
            <w:pPr>
              <w:pStyle w:val="2"/>
              <w:numPr>
                <w:ilvl w:val="0"/>
                <w:numId w:val="3"/>
              </w:numPr>
              <w:spacing w:after="0" w:line="360" w:lineRule="auto"/>
              <w:ind w:left="0" w:leftChars="0" w:firstLine="480" w:firstLineChars="200"/>
              <w:rPr>
                <w:rFonts w:hint="eastAsia"/>
                <w:sz w:val="24"/>
                <w:highlight w:val="none"/>
                <w:lang w:val="en-US" w:eastAsia="zh-CN"/>
              </w:rPr>
            </w:pPr>
            <w:r>
              <w:rPr>
                <w:rFonts w:hint="eastAsia"/>
                <w:sz w:val="24"/>
                <w:highlight w:val="none"/>
                <w:lang w:val="en-US" w:eastAsia="zh-CN"/>
              </w:rPr>
              <w:t>严格落实固体废物分类处置和综合利用措施。</w:t>
            </w:r>
          </w:p>
          <w:p>
            <w:pPr>
              <w:pStyle w:val="2"/>
              <w:numPr>
                <w:ilvl w:val="0"/>
                <w:numId w:val="0"/>
              </w:numPr>
              <w:spacing w:after="0" w:line="360" w:lineRule="auto"/>
              <w:ind w:firstLine="480"/>
              <w:rPr>
                <w:rFonts w:hint="eastAsia"/>
                <w:sz w:val="24"/>
                <w:highlight w:val="none"/>
                <w:lang w:val="en-US" w:eastAsia="zh-CN"/>
              </w:rPr>
            </w:pPr>
            <w:r>
              <w:rPr>
                <w:rFonts w:hint="eastAsia"/>
                <w:sz w:val="24"/>
                <w:highlight w:val="none"/>
                <w:lang w:val="en-US" w:eastAsia="zh-CN"/>
              </w:rPr>
              <w:t>固体废物按“资源化、减量化、无害化”原则处置和综合利用。施工期主要固废有生化垃圾及建筑群废料。生活垃圾统一由环卫部门处置，建筑废弃及时清运至建筑垃圾堆放场进行处置。运营期固废主要有储罐渣、隔油池污泥以及生活垃圾。储罐渣、隔油池污泥属于危险固废，收集后委托有资质单位处置。危险废物贮存严格按照《危险废物贮存污染控制标准》（GB18597-2001）及其修改单实行。</w:t>
            </w:r>
          </w:p>
          <w:p>
            <w:pPr>
              <w:pStyle w:val="2"/>
              <w:numPr>
                <w:ilvl w:val="0"/>
                <w:numId w:val="3"/>
              </w:numPr>
              <w:spacing w:after="0" w:line="360" w:lineRule="auto"/>
              <w:ind w:left="0" w:leftChars="0" w:firstLine="480" w:firstLineChars="200"/>
              <w:rPr>
                <w:rFonts w:hint="eastAsia"/>
                <w:sz w:val="24"/>
                <w:highlight w:val="none"/>
                <w:lang w:val="en-US" w:eastAsia="zh-CN"/>
              </w:rPr>
            </w:pPr>
            <w:r>
              <w:rPr>
                <w:rFonts w:hint="eastAsia"/>
                <w:sz w:val="24"/>
                <w:highlight w:val="none"/>
                <w:lang w:val="en-US" w:eastAsia="zh-CN"/>
              </w:rPr>
              <w:t>严格落实环境风险防范措施。</w:t>
            </w:r>
          </w:p>
          <w:p>
            <w:pPr>
              <w:pStyle w:val="2"/>
              <w:numPr>
                <w:ilvl w:val="0"/>
                <w:numId w:val="0"/>
              </w:numPr>
              <w:spacing w:after="0" w:line="360" w:lineRule="auto"/>
              <w:ind w:firstLine="480" w:firstLineChars="200"/>
              <w:rPr>
                <w:rFonts w:hint="eastAsia"/>
                <w:sz w:val="24"/>
                <w:highlight w:val="none"/>
                <w:lang w:val="en-US" w:eastAsia="zh-CN"/>
              </w:rPr>
            </w:pPr>
            <w:r>
              <w:rPr>
                <w:rFonts w:hint="eastAsia"/>
                <w:sz w:val="24"/>
                <w:highlight w:val="none"/>
                <w:lang w:val="en-US" w:eastAsia="zh-CN"/>
              </w:rPr>
              <w:t>认真制定环境风险应急预案，一旦发生环境风险事故，必须立即启动环境风险应急预案，控制并消减对外环境的污染影响。</w:t>
            </w:r>
          </w:p>
          <w:p>
            <w:pPr>
              <w:pStyle w:val="2"/>
              <w:numPr>
                <w:ilvl w:val="0"/>
                <w:numId w:val="3"/>
              </w:numPr>
              <w:spacing w:after="0" w:line="360" w:lineRule="auto"/>
              <w:ind w:left="0" w:leftChars="0" w:firstLine="480" w:firstLineChars="200"/>
              <w:rPr>
                <w:rFonts w:hint="eastAsia"/>
                <w:sz w:val="24"/>
                <w:highlight w:val="none"/>
                <w:lang w:val="en-US" w:eastAsia="zh-CN"/>
              </w:rPr>
            </w:pPr>
            <w:r>
              <w:rPr>
                <w:rFonts w:hint="eastAsia"/>
                <w:sz w:val="24"/>
                <w:highlight w:val="none"/>
                <w:lang w:val="en-US" w:eastAsia="zh-CN"/>
              </w:rPr>
              <w:t>信息公开要求。</w:t>
            </w:r>
          </w:p>
          <w:p>
            <w:pPr>
              <w:pStyle w:val="2"/>
              <w:numPr>
                <w:ilvl w:val="0"/>
                <w:numId w:val="0"/>
              </w:numPr>
              <w:spacing w:after="0" w:line="360" w:lineRule="auto"/>
              <w:ind w:firstLine="480"/>
              <w:rPr>
                <w:rFonts w:hint="eastAsia"/>
                <w:sz w:val="24"/>
                <w:highlight w:val="none"/>
                <w:lang w:val="en-US" w:eastAsia="zh-CN"/>
              </w:rPr>
            </w:pPr>
            <w:r>
              <w:rPr>
                <w:rFonts w:hint="eastAsia"/>
                <w:sz w:val="24"/>
                <w:highlight w:val="none"/>
                <w:lang w:val="en-US" w:eastAsia="zh-CN"/>
              </w:rPr>
              <w:t>你公司必须建立畅通的公众参与平台，公示有关环境影响评价及环保竣工验收信息。及时解决公共提出的环境问题，满足公众合理的环境诉求。</w:t>
            </w:r>
          </w:p>
          <w:p>
            <w:pPr>
              <w:pStyle w:val="2"/>
              <w:numPr>
                <w:ilvl w:val="0"/>
                <w:numId w:val="0"/>
              </w:numPr>
              <w:spacing w:after="0" w:line="360" w:lineRule="auto"/>
              <w:ind w:firstLine="482" w:firstLineChars="200"/>
              <w:rPr>
                <w:rFonts w:hint="eastAsia"/>
                <w:b/>
                <w:bCs/>
                <w:sz w:val="24"/>
                <w:highlight w:val="none"/>
                <w:lang w:val="en-US" w:eastAsia="zh-CN"/>
              </w:rPr>
            </w:pPr>
            <w:r>
              <w:rPr>
                <w:rFonts w:hint="eastAsia"/>
                <w:b/>
                <w:bCs/>
                <w:sz w:val="24"/>
                <w:highlight w:val="none"/>
                <w:lang w:val="en-US" w:eastAsia="zh-CN"/>
              </w:rPr>
              <w:t>三、项目竣工验收环保要求</w:t>
            </w:r>
          </w:p>
          <w:p>
            <w:pPr>
              <w:pStyle w:val="2"/>
              <w:numPr>
                <w:ilvl w:val="0"/>
                <w:numId w:val="0"/>
              </w:numPr>
              <w:spacing w:after="0" w:line="360" w:lineRule="auto"/>
              <w:ind w:firstLine="480"/>
              <w:rPr>
                <w:rFonts w:hint="eastAsia"/>
                <w:sz w:val="24"/>
                <w:highlight w:val="none"/>
                <w:lang w:val="en-US" w:eastAsia="zh-CN"/>
              </w:rPr>
            </w:pPr>
            <w:r>
              <w:rPr>
                <w:rFonts w:hint="eastAsia"/>
                <w:sz w:val="24"/>
                <w:highlight w:val="none"/>
                <w:lang w:val="en-US" w:eastAsia="zh-CN"/>
              </w:rPr>
              <w:t>（一）项目建设必须严格执行“配套的环境保护设施与主体工程同时设计、同时施工、同时投入使用”的环境保护“三同时”制度，环保投资必须专款专用。</w:t>
            </w:r>
          </w:p>
          <w:p>
            <w:pPr>
              <w:pStyle w:val="2"/>
              <w:numPr>
                <w:ilvl w:val="0"/>
                <w:numId w:val="0"/>
              </w:numPr>
              <w:spacing w:after="0" w:line="360" w:lineRule="auto"/>
              <w:ind w:firstLine="480"/>
              <w:rPr>
                <w:rFonts w:hint="eastAsia"/>
                <w:sz w:val="24"/>
                <w:highlight w:val="none"/>
                <w:lang w:val="en-US" w:eastAsia="zh-CN"/>
              </w:rPr>
            </w:pPr>
            <w:r>
              <w:rPr>
                <w:rFonts w:hint="eastAsia"/>
                <w:sz w:val="24"/>
                <w:highlight w:val="none"/>
                <w:lang w:val="en-US" w:eastAsia="zh-CN"/>
              </w:rPr>
              <w:t>（二）必须设置专门环保管理机构，建立健全环境管理制度（包括经培训合格的操作人员、健全的岗位操作规程及相应的规章制度等）。严禁擅自闲置、停用污染治理设施。按照有关规定要求，对配对建设的环境保护设施进行验收，编制验收报告，并依法向社会公开。</w:t>
            </w:r>
          </w:p>
          <w:p>
            <w:pPr>
              <w:pStyle w:val="2"/>
              <w:numPr>
                <w:ilvl w:val="0"/>
                <w:numId w:val="0"/>
              </w:numPr>
              <w:spacing w:after="0" w:line="360" w:lineRule="auto"/>
              <w:ind w:firstLine="480"/>
              <w:rPr>
                <w:rFonts w:hint="eastAsia"/>
                <w:b/>
                <w:bCs/>
                <w:sz w:val="24"/>
                <w:highlight w:val="none"/>
                <w:lang w:val="en-US" w:eastAsia="zh-CN"/>
              </w:rPr>
            </w:pPr>
            <w:r>
              <w:rPr>
                <w:rFonts w:hint="eastAsia"/>
                <w:b/>
                <w:bCs/>
                <w:sz w:val="24"/>
                <w:highlight w:val="none"/>
                <w:lang w:val="en-US" w:eastAsia="zh-CN"/>
              </w:rPr>
              <w:t>四、其他环保要求</w:t>
            </w:r>
          </w:p>
          <w:p>
            <w:pPr>
              <w:pStyle w:val="2"/>
              <w:numPr>
                <w:ilvl w:val="0"/>
                <w:numId w:val="0"/>
              </w:numPr>
              <w:spacing w:after="0" w:line="360" w:lineRule="auto"/>
              <w:ind w:firstLine="480"/>
              <w:rPr>
                <w:rFonts w:hint="eastAsia"/>
                <w:sz w:val="24"/>
                <w:highlight w:val="none"/>
                <w:lang w:val="en-US" w:eastAsia="zh-CN"/>
              </w:rPr>
            </w:pPr>
            <w:r>
              <w:rPr>
                <w:rFonts w:hint="eastAsia"/>
                <w:sz w:val="24"/>
                <w:highlight w:val="none"/>
                <w:lang w:val="en-US" w:eastAsia="zh-CN"/>
              </w:rPr>
              <w:t>（一）项目变更要求。《报告表》经批准后，如项目的性质、地点、内容拟采用的污染防治设施发生重大变动，必须报我局重新审批。若自本项目批准之日起超过5年方开工建设，必须报我局重新审批。</w:t>
            </w:r>
          </w:p>
          <w:p>
            <w:pPr>
              <w:pStyle w:val="2"/>
              <w:numPr>
                <w:ilvl w:val="0"/>
                <w:numId w:val="0"/>
              </w:numPr>
              <w:spacing w:after="0" w:line="360" w:lineRule="auto"/>
              <w:ind w:firstLine="480"/>
              <w:rPr>
                <w:rFonts w:hint="eastAsia"/>
                <w:sz w:val="24"/>
                <w:highlight w:val="none"/>
                <w:lang w:val="en-US" w:eastAsia="zh-CN"/>
              </w:rPr>
            </w:pPr>
            <w:r>
              <w:rPr>
                <w:rFonts w:hint="eastAsia"/>
                <w:sz w:val="24"/>
                <w:highlight w:val="none"/>
                <w:lang w:val="en-US" w:eastAsia="zh-CN"/>
              </w:rPr>
              <w:t>（二）违法追究。对已批复的各项环境保护事项必须认真执行，如有违反，将依法追究环保法律责任。</w:t>
            </w:r>
          </w:p>
          <w:p>
            <w:pPr>
              <w:pStyle w:val="2"/>
              <w:numPr>
                <w:ilvl w:val="0"/>
                <w:numId w:val="0"/>
              </w:numPr>
              <w:spacing w:after="0" w:line="360" w:lineRule="auto"/>
              <w:ind w:firstLine="480"/>
              <w:rPr>
                <w:rFonts w:hint="default"/>
                <w:sz w:val="24"/>
                <w:highlight w:val="none"/>
                <w:lang w:val="en-US" w:eastAsia="zh-CN"/>
              </w:rPr>
            </w:pPr>
            <w:r>
              <w:rPr>
                <w:rFonts w:hint="eastAsia"/>
                <w:sz w:val="24"/>
                <w:highlight w:val="none"/>
                <w:lang w:val="en-US" w:eastAsia="zh-CN"/>
              </w:rPr>
              <w:t>（三）日常环保监管。抚州市资溪生态环境局应加强环境监管，发现环保问题必须及时依法处理，防止环境污染，并将情况函告我局。请抚州市资溪生态环境局加强对该项目实施环境保护“三同时”过程中的环境监察与管理。</w:t>
            </w:r>
          </w:p>
          <w:p>
            <w:pPr>
              <w:pStyle w:val="2"/>
              <w:spacing w:after="0" w:line="360" w:lineRule="auto"/>
              <w:ind w:left="0" w:leftChars="0" w:firstLine="480" w:firstLineChars="200"/>
              <w:rPr>
                <w:sz w:val="24"/>
              </w:rPr>
            </w:pPr>
          </w:p>
        </w:tc>
      </w:tr>
    </w:tbl>
    <w:p>
      <w:pPr>
        <w:pStyle w:val="21"/>
        <w:jc w:val="left"/>
        <w:rPr>
          <w:highlight w:val="yellow"/>
        </w:rPr>
      </w:pPr>
      <w:r>
        <w:br w:type="page"/>
      </w:r>
      <w:bookmarkStart w:id="17" w:name="_Toc4650"/>
      <w:bookmarkStart w:id="18" w:name="_Toc2509"/>
      <w:bookmarkStart w:id="19" w:name="_Toc52180563"/>
      <w:r>
        <w:rPr>
          <w:rFonts w:hint="eastAsia"/>
          <w:highlight w:val="none"/>
        </w:rPr>
        <w:t>表五 验收监测质量保证及质量控制</w:t>
      </w:r>
      <w:bookmarkEnd w:id="17"/>
      <w:bookmarkEnd w:id="18"/>
      <w:bookmarkEnd w:id="19"/>
    </w:p>
    <w:tbl>
      <w:tblPr>
        <w:tblStyle w:val="24"/>
        <w:tblW w:w="95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3" w:hRule="atLeast"/>
          <w:jc w:val="center"/>
        </w:trPr>
        <w:tc>
          <w:tcPr>
            <w:tcW w:w="9580" w:type="dxa"/>
          </w:tcPr>
          <w:p>
            <w:pPr>
              <w:spacing w:line="360" w:lineRule="auto"/>
              <w:ind w:firstLine="482" w:firstLineChars="200"/>
              <w:rPr>
                <w:b/>
                <w:bCs/>
                <w:sz w:val="24"/>
                <w:highlight w:val="none"/>
              </w:rPr>
            </w:pPr>
            <w:r>
              <w:rPr>
                <w:rFonts w:hint="eastAsia"/>
                <w:b/>
                <w:bCs/>
                <w:sz w:val="24"/>
                <w:highlight w:val="none"/>
              </w:rPr>
              <w:t>1、废水</w:t>
            </w:r>
          </w:p>
          <w:p>
            <w:pPr>
              <w:spacing w:line="360" w:lineRule="auto"/>
              <w:ind w:firstLine="560"/>
              <w:rPr>
                <w:sz w:val="24"/>
                <w:highlight w:val="none"/>
              </w:rPr>
            </w:pPr>
            <w:r>
              <w:rPr>
                <w:sz w:val="24"/>
                <w:highlight w:val="none"/>
              </w:rPr>
              <w:t>本次验收监测</w:t>
            </w:r>
            <w:r>
              <w:rPr>
                <w:rFonts w:hint="eastAsia"/>
                <w:sz w:val="24"/>
                <w:highlight w:val="none"/>
              </w:rPr>
              <w:t>废水</w:t>
            </w:r>
            <w:r>
              <w:rPr>
                <w:sz w:val="24"/>
                <w:highlight w:val="none"/>
              </w:rPr>
              <w:t>监测分析方法</w:t>
            </w:r>
            <w:r>
              <w:rPr>
                <w:rFonts w:hint="eastAsia"/>
                <w:sz w:val="24"/>
                <w:highlight w:val="none"/>
              </w:rPr>
              <w:t>及监测仪器</w:t>
            </w:r>
            <w:r>
              <w:rPr>
                <w:sz w:val="24"/>
                <w:highlight w:val="none"/>
              </w:rPr>
              <w:t>详见表</w:t>
            </w:r>
            <w:r>
              <w:rPr>
                <w:rFonts w:hint="eastAsia"/>
                <w:sz w:val="24"/>
                <w:highlight w:val="none"/>
              </w:rPr>
              <w:t>5-1</w:t>
            </w:r>
            <w:r>
              <w:rPr>
                <w:sz w:val="24"/>
                <w:highlight w:val="none"/>
              </w:rPr>
              <w:t>。</w:t>
            </w:r>
          </w:p>
          <w:p>
            <w:pPr>
              <w:spacing w:line="360" w:lineRule="auto"/>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表</w:t>
            </w:r>
            <w:r>
              <w:rPr>
                <w:rFonts w:hint="eastAsia"/>
                <w:b/>
                <w:bCs/>
                <w:color w:val="000000" w:themeColor="text1"/>
                <w:szCs w:val="21"/>
                <w:highlight w:val="none"/>
                <w14:textFill>
                  <w14:solidFill>
                    <w14:schemeClr w14:val="tx1"/>
                  </w14:solidFill>
                </w14:textFill>
              </w:rPr>
              <w:t>5-1</w:t>
            </w:r>
            <w:r>
              <w:rPr>
                <w:b/>
                <w:bCs/>
                <w:color w:val="000000" w:themeColor="text1"/>
                <w:szCs w:val="21"/>
                <w:highlight w:val="none"/>
                <w14:textFill>
                  <w14:solidFill>
                    <w14:schemeClr w14:val="tx1"/>
                  </w14:solidFill>
                </w14:textFill>
              </w:rPr>
              <w:t xml:space="preserve">  废水监测分析方法</w:t>
            </w:r>
            <w:r>
              <w:rPr>
                <w:rFonts w:hint="eastAsia"/>
                <w:b/>
                <w:bCs/>
                <w:color w:val="000000" w:themeColor="text1"/>
                <w:szCs w:val="21"/>
                <w:highlight w:val="none"/>
                <w14:textFill>
                  <w14:solidFill>
                    <w14:schemeClr w14:val="tx1"/>
                  </w14:solidFill>
                </w14:textFill>
              </w:rPr>
              <w:t>及监测仪器</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6"/>
              <w:gridCol w:w="1501"/>
              <w:gridCol w:w="2880"/>
              <w:gridCol w:w="2410"/>
              <w:gridCol w:w="13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996" w:type="dxa"/>
                  <w:vAlign w:val="center"/>
                </w:tcPr>
                <w:p>
                  <w:pPr>
                    <w:jc w:val="center"/>
                    <w:rPr>
                      <w:b/>
                      <w:bCs/>
                      <w:highlight w:val="none"/>
                    </w:rPr>
                  </w:pPr>
                  <w:r>
                    <w:rPr>
                      <w:b/>
                      <w:bCs/>
                      <w:highlight w:val="none"/>
                    </w:rPr>
                    <w:t>监测</w:t>
                  </w:r>
                </w:p>
                <w:p>
                  <w:pPr>
                    <w:jc w:val="center"/>
                    <w:rPr>
                      <w:b/>
                      <w:bCs/>
                      <w:highlight w:val="none"/>
                    </w:rPr>
                  </w:pPr>
                  <w:r>
                    <w:rPr>
                      <w:b/>
                      <w:bCs/>
                      <w:highlight w:val="none"/>
                    </w:rPr>
                    <w:t>类别</w:t>
                  </w:r>
                </w:p>
              </w:tc>
              <w:tc>
                <w:tcPr>
                  <w:tcW w:w="1501" w:type="dxa"/>
                  <w:vAlign w:val="center"/>
                </w:tcPr>
                <w:p>
                  <w:pPr>
                    <w:jc w:val="center"/>
                    <w:rPr>
                      <w:b/>
                      <w:bCs/>
                      <w:highlight w:val="none"/>
                    </w:rPr>
                  </w:pPr>
                  <w:r>
                    <w:rPr>
                      <w:b/>
                      <w:bCs/>
                      <w:highlight w:val="none"/>
                    </w:rPr>
                    <w:t>监测项目</w:t>
                  </w:r>
                </w:p>
              </w:tc>
              <w:tc>
                <w:tcPr>
                  <w:tcW w:w="2880" w:type="dxa"/>
                  <w:vAlign w:val="center"/>
                </w:tcPr>
                <w:p>
                  <w:pPr>
                    <w:jc w:val="center"/>
                    <w:rPr>
                      <w:b/>
                      <w:bCs/>
                      <w:highlight w:val="none"/>
                    </w:rPr>
                  </w:pPr>
                  <w:r>
                    <w:rPr>
                      <w:b/>
                      <w:bCs/>
                      <w:highlight w:val="none"/>
                    </w:rPr>
                    <w:t>监测分析方法</w:t>
                  </w:r>
                </w:p>
              </w:tc>
              <w:tc>
                <w:tcPr>
                  <w:tcW w:w="2410" w:type="dxa"/>
                  <w:vAlign w:val="center"/>
                </w:tcPr>
                <w:p>
                  <w:pPr>
                    <w:jc w:val="center"/>
                    <w:rPr>
                      <w:b/>
                      <w:bCs/>
                      <w:highlight w:val="none"/>
                    </w:rPr>
                  </w:pPr>
                  <w:r>
                    <w:rPr>
                      <w:b/>
                      <w:bCs/>
                      <w:highlight w:val="none"/>
                    </w:rPr>
                    <w:t>主要监测仪器设备</w:t>
                  </w:r>
                </w:p>
              </w:tc>
              <w:tc>
                <w:tcPr>
                  <w:tcW w:w="1387" w:type="dxa"/>
                  <w:vAlign w:val="center"/>
                </w:tcPr>
                <w:p>
                  <w:pPr>
                    <w:ind w:firstLine="211" w:firstLineChars="100"/>
                    <w:jc w:val="center"/>
                    <w:rPr>
                      <w:b/>
                      <w:bCs/>
                      <w:highlight w:val="none"/>
                    </w:rPr>
                  </w:pPr>
                  <w:r>
                    <w:rPr>
                      <w:b/>
                      <w:bCs/>
                      <w:highlight w:val="none"/>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96" w:type="dxa"/>
                  <w:vMerge w:val="restart"/>
                  <w:vAlign w:val="center"/>
                </w:tcPr>
                <w:p>
                  <w:pPr>
                    <w:ind w:firstLine="210" w:firstLineChars="100"/>
                    <w:rPr>
                      <w:highlight w:val="none"/>
                    </w:rPr>
                  </w:pPr>
                  <w:r>
                    <w:rPr>
                      <w:highlight w:val="none"/>
                    </w:rPr>
                    <w:t>废水</w:t>
                  </w:r>
                </w:p>
              </w:tc>
              <w:tc>
                <w:tcPr>
                  <w:tcW w:w="1501" w:type="dxa"/>
                  <w:vAlign w:val="center"/>
                </w:tcPr>
                <w:p>
                  <w:pPr>
                    <w:jc w:val="center"/>
                    <w:rPr>
                      <w:rFonts w:asciiTheme="majorBidi" w:hAnsiTheme="majorBidi" w:cstheme="majorBidi"/>
                      <w:szCs w:val="21"/>
                      <w:highlight w:val="none"/>
                    </w:rPr>
                  </w:pPr>
                  <w:r>
                    <w:rPr>
                      <w:rFonts w:asciiTheme="majorBidi" w:hAnsiTheme="majorBidi" w:cstheme="majorBidi"/>
                      <w:szCs w:val="21"/>
                      <w:highlight w:val="none"/>
                    </w:rPr>
                    <w:t>pH</w:t>
                  </w:r>
                </w:p>
              </w:tc>
              <w:tc>
                <w:tcPr>
                  <w:tcW w:w="2880" w:type="dxa"/>
                  <w:vAlign w:val="center"/>
                </w:tcPr>
                <w:p>
                  <w:pPr>
                    <w:tabs>
                      <w:tab w:val="left" w:pos="1980"/>
                      <w:tab w:val="left" w:pos="2160"/>
                    </w:tabs>
                    <w:jc w:val="center"/>
                    <w:rPr>
                      <w:szCs w:val="21"/>
                      <w:highlight w:val="none"/>
                    </w:rPr>
                  </w:pPr>
                  <w:r>
                    <w:rPr>
                      <w:szCs w:val="21"/>
                      <w:highlight w:val="none"/>
                    </w:rPr>
                    <w:t>pH值 便携式pH计法《水和废水监测分析方法》（第四版）国家环境保护总局 （2002年）</w:t>
                  </w:r>
                </w:p>
              </w:tc>
              <w:tc>
                <w:tcPr>
                  <w:tcW w:w="2410" w:type="dxa"/>
                  <w:vAlign w:val="center"/>
                </w:tcPr>
                <w:p>
                  <w:pPr>
                    <w:pStyle w:val="11"/>
                    <w:snapToGrid w:val="0"/>
                    <w:jc w:val="center"/>
                    <w:rPr>
                      <w:rFonts w:ascii="Times New Roman" w:hAnsi="Times New Roman"/>
                      <w:highlight w:val="none"/>
                    </w:rPr>
                  </w:pPr>
                  <w:r>
                    <w:rPr>
                      <w:rFonts w:hint="eastAsia" w:ascii="Times New Roman" w:hAnsi="Times New Roman"/>
                      <w:highlight w:val="none"/>
                    </w:rPr>
                    <w:t>p</w:t>
                  </w:r>
                  <w:r>
                    <w:rPr>
                      <w:rFonts w:ascii="Times New Roman" w:hAnsi="Times New Roman"/>
                      <w:highlight w:val="none"/>
                    </w:rPr>
                    <w:t>H计</w:t>
                  </w:r>
                  <w:r>
                    <w:rPr>
                      <w:rFonts w:hint="eastAsia" w:ascii="Times New Roman" w:hAnsi="Times New Roman"/>
                      <w:highlight w:val="none"/>
                    </w:rPr>
                    <w:t>8682</w:t>
                  </w:r>
                  <w:r>
                    <w:rPr>
                      <w:rFonts w:ascii="Times New Roman" w:hAnsi="Times New Roman"/>
                      <w:highlight w:val="none"/>
                    </w:rPr>
                    <w:t>（YHK-</w:t>
                  </w:r>
                  <w:r>
                    <w:rPr>
                      <w:rFonts w:hint="eastAsia" w:ascii="Times New Roman" w:hAnsi="Times New Roman"/>
                      <w:highlight w:val="none"/>
                    </w:rPr>
                    <w:t>12</w:t>
                  </w:r>
                  <w:r>
                    <w:rPr>
                      <w:rFonts w:hint="eastAsia" w:ascii="Times New Roman" w:hAnsi="Times New Roman"/>
                      <w:highlight w:val="none"/>
                      <w:lang w:val="en-US" w:eastAsia="zh-CN"/>
                    </w:rPr>
                    <w:t>5</w:t>
                  </w:r>
                  <w:r>
                    <w:rPr>
                      <w:rFonts w:ascii="Times New Roman" w:hAnsi="Times New Roman"/>
                      <w:highlight w:val="none"/>
                    </w:rPr>
                    <w:t>）</w:t>
                  </w:r>
                </w:p>
              </w:tc>
              <w:tc>
                <w:tcPr>
                  <w:tcW w:w="1387" w:type="dxa"/>
                  <w:vAlign w:val="center"/>
                </w:tcPr>
                <w:p>
                  <w:pPr>
                    <w:tabs>
                      <w:tab w:val="right" w:pos="8906"/>
                    </w:tabs>
                    <w:jc w:val="center"/>
                    <w:rPr>
                      <w:rFonts w:hint="eastAsia" w:eastAsia="宋体"/>
                      <w:bCs/>
                      <w:spacing w:val="-5"/>
                      <w:szCs w:val="21"/>
                      <w:highlight w:val="none"/>
                      <w:lang w:eastAsia="zh-CN" w:bidi="he-IL"/>
                    </w:rPr>
                  </w:pPr>
                  <w:r>
                    <w:rPr>
                      <w:rFonts w:hint="eastAsia"/>
                      <w:bCs/>
                      <w:spacing w:val="-5"/>
                      <w:szCs w:val="21"/>
                      <w:highlight w:val="none"/>
                      <w:lang w:val="en-US" w:eastAsia="zh-CN" w:bidi="he-I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96" w:type="dxa"/>
                  <w:vMerge w:val="continue"/>
                  <w:vAlign w:val="center"/>
                </w:tcPr>
                <w:p>
                  <w:pPr>
                    <w:ind w:firstLine="480"/>
                    <w:jc w:val="center"/>
                    <w:rPr>
                      <w:highlight w:val="none"/>
                    </w:rPr>
                  </w:pPr>
                </w:p>
              </w:tc>
              <w:tc>
                <w:tcPr>
                  <w:tcW w:w="1501" w:type="dxa"/>
                  <w:vAlign w:val="center"/>
                </w:tcPr>
                <w:p>
                  <w:pPr>
                    <w:jc w:val="center"/>
                    <w:rPr>
                      <w:rFonts w:asciiTheme="majorBidi" w:hAnsiTheme="majorBidi" w:cstheme="majorBidi"/>
                      <w:szCs w:val="21"/>
                      <w:highlight w:val="none"/>
                    </w:rPr>
                  </w:pPr>
                  <w:r>
                    <w:rPr>
                      <w:rFonts w:asciiTheme="majorBidi" w:hAnsiTheme="majorBidi" w:cstheme="majorBidi"/>
                      <w:szCs w:val="21"/>
                      <w:highlight w:val="none"/>
                    </w:rPr>
                    <w:t>化学需氧量</w:t>
                  </w:r>
                </w:p>
              </w:tc>
              <w:tc>
                <w:tcPr>
                  <w:tcW w:w="2880" w:type="dxa"/>
                  <w:vAlign w:val="center"/>
                </w:tcPr>
                <w:p>
                  <w:pPr>
                    <w:tabs>
                      <w:tab w:val="left" w:pos="1980"/>
                      <w:tab w:val="left" w:pos="2160"/>
                    </w:tabs>
                    <w:jc w:val="center"/>
                    <w:rPr>
                      <w:szCs w:val="21"/>
                      <w:highlight w:val="none"/>
                    </w:rPr>
                  </w:pPr>
                  <w:r>
                    <w:rPr>
                      <w:szCs w:val="21"/>
                      <w:highlight w:val="none"/>
                    </w:rPr>
                    <w:t>水质 化学需氧量的测定 重铬酸盐法  HJ 828-2017</w:t>
                  </w:r>
                </w:p>
              </w:tc>
              <w:tc>
                <w:tcPr>
                  <w:tcW w:w="2410" w:type="dxa"/>
                  <w:vAlign w:val="center"/>
                </w:tcPr>
                <w:p>
                  <w:pPr>
                    <w:pStyle w:val="11"/>
                    <w:snapToGrid w:val="0"/>
                    <w:jc w:val="center"/>
                    <w:rPr>
                      <w:rFonts w:ascii="Times New Roman" w:hAnsi="Times New Roman"/>
                      <w:highlight w:val="none"/>
                    </w:rPr>
                  </w:pPr>
                  <w:r>
                    <w:rPr>
                      <w:rFonts w:ascii="Times New Roman" w:hAnsi="Times New Roman"/>
                      <w:highlight w:val="none"/>
                    </w:rPr>
                    <w:t>滴定管</w:t>
                  </w:r>
                </w:p>
              </w:tc>
              <w:tc>
                <w:tcPr>
                  <w:tcW w:w="1387" w:type="dxa"/>
                  <w:vAlign w:val="center"/>
                </w:tcPr>
                <w:p>
                  <w:pPr>
                    <w:tabs>
                      <w:tab w:val="right" w:pos="8906"/>
                    </w:tabs>
                    <w:jc w:val="center"/>
                    <w:rPr>
                      <w:bCs/>
                      <w:spacing w:val="-5"/>
                      <w:szCs w:val="21"/>
                      <w:highlight w:val="none"/>
                      <w:lang w:bidi="he-IL"/>
                    </w:rPr>
                  </w:pPr>
                  <w:r>
                    <w:rPr>
                      <w:bCs/>
                      <w:spacing w:val="-5"/>
                      <w:szCs w:val="21"/>
                      <w:highlight w:val="none"/>
                      <w:lang w:bidi="he-IL"/>
                    </w:rPr>
                    <w:t>4mg/L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96" w:type="dxa"/>
                  <w:vMerge w:val="continue"/>
                  <w:vAlign w:val="center"/>
                </w:tcPr>
                <w:p>
                  <w:pPr>
                    <w:ind w:firstLine="480"/>
                    <w:jc w:val="center"/>
                    <w:rPr>
                      <w:highlight w:val="none"/>
                    </w:rPr>
                  </w:pPr>
                </w:p>
              </w:tc>
              <w:tc>
                <w:tcPr>
                  <w:tcW w:w="1501" w:type="dxa"/>
                  <w:vAlign w:val="center"/>
                </w:tcPr>
                <w:p>
                  <w:pPr>
                    <w:jc w:val="center"/>
                    <w:rPr>
                      <w:rFonts w:asciiTheme="majorBidi" w:hAnsiTheme="majorBidi" w:cstheme="majorBidi"/>
                      <w:szCs w:val="21"/>
                      <w:highlight w:val="none"/>
                    </w:rPr>
                  </w:pPr>
                  <w:r>
                    <w:rPr>
                      <w:rFonts w:asciiTheme="majorBidi" w:hAnsiTheme="majorBidi" w:cstheme="majorBidi"/>
                      <w:szCs w:val="21"/>
                      <w:highlight w:val="none"/>
                    </w:rPr>
                    <w:t>五日生化需氧量</w:t>
                  </w:r>
                </w:p>
              </w:tc>
              <w:tc>
                <w:tcPr>
                  <w:tcW w:w="2880" w:type="dxa"/>
                  <w:vAlign w:val="center"/>
                </w:tcPr>
                <w:p>
                  <w:pPr>
                    <w:tabs>
                      <w:tab w:val="left" w:pos="1980"/>
                      <w:tab w:val="left" w:pos="2160"/>
                    </w:tabs>
                    <w:jc w:val="center"/>
                    <w:rPr>
                      <w:color w:val="000000"/>
                      <w:szCs w:val="21"/>
                      <w:highlight w:val="none"/>
                    </w:rPr>
                  </w:pPr>
                  <w:r>
                    <w:rPr>
                      <w:color w:val="000000"/>
                      <w:szCs w:val="21"/>
                      <w:highlight w:val="none"/>
                    </w:rPr>
                    <w:t>水质 五日生化需氧量（BOD</w:t>
                  </w:r>
                  <w:r>
                    <w:rPr>
                      <w:color w:val="000000"/>
                      <w:szCs w:val="21"/>
                      <w:highlight w:val="none"/>
                      <w:vertAlign w:val="subscript"/>
                    </w:rPr>
                    <w:t>5</w:t>
                  </w:r>
                  <w:r>
                    <w:rPr>
                      <w:color w:val="000000"/>
                      <w:szCs w:val="21"/>
                      <w:highlight w:val="none"/>
                    </w:rPr>
                    <w:t>）的测定 稀释与接种法 HJ 505-2009</w:t>
                  </w:r>
                </w:p>
              </w:tc>
              <w:tc>
                <w:tcPr>
                  <w:tcW w:w="2410" w:type="dxa"/>
                  <w:vAlign w:val="center"/>
                </w:tcPr>
                <w:p>
                  <w:pPr>
                    <w:pStyle w:val="11"/>
                    <w:snapToGrid w:val="0"/>
                    <w:jc w:val="center"/>
                    <w:rPr>
                      <w:rFonts w:ascii="Times New Roman" w:hAnsi="Times New Roman"/>
                      <w:color w:val="000000"/>
                      <w:highlight w:val="none"/>
                    </w:rPr>
                  </w:pPr>
                  <w:r>
                    <w:rPr>
                      <w:rFonts w:ascii="Times New Roman" w:hAnsi="Times New Roman"/>
                      <w:color w:val="000000"/>
                      <w:highlight w:val="none"/>
                    </w:rPr>
                    <w:t>生化培养箱SHP-160（YHK-021）</w:t>
                  </w:r>
                </w:p>
              </w:tc>
              <w:tc>
                <w:tcPr>
                  <w:tcW w:w="1387" w:type="dxa"/>
                  <w:vAlign w:val="center"/>
                </w:tcPr>
                <w:p>
                  <w:pPr>
                    <w:tabs>
                      <w:tab w:val="right" w:pos="8906"/>
                    </w:tabs>
                    <w:jc w:val="center"/>
                    <w:rPr>
                      <w:bCs/>
                      <w:color w:val="000000"/>
                      <w:spacing w:val="-5"/>
                      <w:szCs w:val="21"/>
                      <w:highlight w:val="none"/>
                      <w:lang w:bidi="he-IL"/>
                    </w:rPr>
                  </w:pPr>
                  <w:r>
                    <w:rPr>
                      <w:bCs/>
                      <w:color w:val="000000"/>
                      <w:spacing w:val="-5"/>
                      <w:szCs w:val="21"/>
                      <w:highlight w:val="none"/>
                      <w:lang w:bidi="he-IL"/>
                    </w:rPr>
                    <w:t>0.5mg/L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96" w:type="dxa"/>
                  <w:vMerge w:val="continue"/>
                  <w:vAlign w:val="center"/>
                </w:tcPr>
                <w:p>
                  <w:pPr>
                    <w:ind w:firstLine="480"/>
                    <w:jc w:val="center"/>
                    <w:rPr>
                      <w:highlight w:val="none"/>
                    </w:rPr>
                  </w:pPr>
                </w:p>
              </w:tc>
              <w:tc>
                <w:tcPr>
                  <w:tcW w:w="1501" w:type="dxa"/>
                  <w:vAlign w:val="center"/>
                </w:tcPr>
                <w:p>
                  <w:pPr>
                    <w:jc w:val="center"/>
                    <w:rPr>
                      <w:rFonts w:asciiTheme="majorBidi" w:hAnsiTheme="majorBidi" w:cstheme="majorBidi"/>
                      <w:szCs w:val="21"/>
                      <w:highlight w:val="none"/>
                    </w:rPr>
                  </w:pPr>
                  <w:r>
                    <w:rPr>
                      <w:rFonts w:asciiTheme="majorBidi" w:hAnsiTheme="majorBidi" w:cstheme="majorBidi"/>
                      <w:szCs w:val="21"/>
                      <w:highlight w:val="none"/>
                    </w:rPr>
                    <w:t>悬浮物</w:t>
                  </w:r>
                </w:p>
              </w:tc>
              <w:tc>
                <w:tcPr>
                  <w:tcW w:w="2880" w:type="dxa"/>
                  <w:vAlign w:val="center"/>
                </w:tcPr>
                <w:p>
                  <w:pPr>
                    <w:jc w:val="center"/>
                    <w:rPr>
                      <w:color w:val="000000"/>
                      <w:szCs w:val="21"/>
                      <w:highlight w:val="none"/>
                    </w:rPr>
                  </w:pPr>
                  <w:r>
                    <w:rPr>
                      <w:color w:val="000000"/>
                      <w:szCs w:val="21"/>
                      <w:highlight w:val="none"/>
                    </w:rPr>
                    <w:t xml:space="preserve">水质 悬浮物的测定 重量法 GB 11901-89 </w:t>
                  </w:r>
                </w:p>
              </w:tc>
              <w:tc>
                <w:tcPr>
                  <w:tcW w:w="2410" w:type="dxa"/>
                  <w:vAlign w:val="center"/>
                </w:tcPr>
                <w:p>
                  <w:pPr>
                    <w:pStyle w:val="11"/>
                    <w:snapToGrid w:val="0"/>
                    <w:jc w:val="center"/>
                    <w:rPr>
                      <w:rFonts w:ascii="Times New Roman" w:hAnsi="Times New Roman"/>
                      <w:color w:val="000000"/>
                      <w:highlight w:val="none"/>
                    </w:rPr>
                  </w:pPr>
                  <w:r>
                    <w:rPr>
                      <w:rFonts w:ascii="Times New Roman" w:hAnsi="Times New Roman"/>
                      <w:color w:val="000000"/>
                      <w:highlight w:val="none"/>
                    </w:rPr>
                    <w:t>电子天平FA2004B（YHK-014）</w:t>
                  </w:r>
                </w:p>
              </w:tc>
              <w:tc>
                <w:tcPr>
                  <w:tcW w:w="1387" w:type="dxa"/>
                  <w:vAlign w:val="center"/>
                </w:tcPr>
                <w:p>
                  <w:pPr>
                    <w:tabs>
                      <w:tab w:val="right" w:pos="8906"/>
                    </w:tabs>
                    <w:jc w:val="center"/>
                    <w:rPr>
                      <w:bCs/>
                      <w:color w:val="000000"/>
                      <w:spacing w:val="-5"/>
                      <w:szCs w:val="21"/>
                      <w:highlight w:val="none"/>
                      <w:lang w:bidi="he-IL"/>
                    </w:rPr>
                  </w:pPr>
                  <w:r>
                    <w:rPr>
                      <w:rFonts w:hint="eastAsia"/>
                      <w:color w:val="000000"/>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96" w:type="dxa"/>
                  <w:vMerge w:val="continue"/>
                  <w:vAlign w:val="center"/>
                </w:tcPr>
                <w:p>
                  <w:pPr>
                    <w:ind w:firstLine="480"/>
                    <w:jc w:val="center"/>
                    <w:rPr>
                      <w:highlight w:val="none"/>
                    </w:rPr>
                  </w:pPr>
                </w:p>
              </w:tc>
              <w:tc>
                <w:tcPr>
                  <w:tcW w:w="1501" w:type="dxa"/>
                  <w:vAlign w:val="center"/>
                </w:tcPr>
                <w:p>
                  <w:pPr>
                    <w:jc w:val="center"/>
                    <w:rPr>
                      <w:rFonts w:asciiTheme="majorBidi" w:hAnsiTheme="majorBidi" w:cstheme="majorBidi"/>
                      <w:color w:val="000000" w:themeColor="text1"/>
                      <w:szCs w:val="21"/>
                      <w:highlight w:val="none"/>
                      <w14:textFill>
                        <w14:solidFill>
                          <w14:schemeClr w14:val="tx1"/>
                        </w14:solidFill>
                      </w14:textFill>
                    </w:rPr>
                  </w:pPr>
                  <w:r>
                    <w:rPr>
                      <w:rFonts w:asciiTheme="majorBidi" w:hAnsiTheme="majorBidi" w:cstheme="majorBidi"/>
                      <w:color w:val="000000" w:themeColor="text1"/>
                      <w:szCs w:val="21"/>
                      <w:highlight w:val="none"/>
                      <w14:textFill>
                        <w14:solidFill>
                          <w14:schemeClr w14:val="tx1"/>
                        </w14:solidFill>
                      </w14:textFill>
                    </w:rPr>
                    <w:t>氨氮</w:t>
                  </w:r>
                </w:p>
              </w:tc>
              <w:tc>
                <w:tcPr>
                  <w:tcW w:w="2880" w:type="dxa"/>
                  <w:vAlign w:val="center"/>
                </w:tcPr>
                <w:p>
                  <w:pPr>
                    <w:tabs>
                      <w:tab w:val="left" w:pos="1980"/>
                      <w:tab w:val="left" w:pos="2160"/>
                    </w:tabs>
                    <w:jc w:val="center"/>
                    <w:rPr>
                      <w:color w:val="000000"/>
                      <w:szCs w:val="21"/>
                      <w:highlight w:val="none"/>
                    </w:rPr>
                  </w:pPr>
                  <w:r>
                    <w:rPr>
                      <w:color w:val="000000"/>
                      <w:szCs w:val="21"/>
                      <w:highlight w:val="none"/>
                    </w:rPr>
                    <w:t>水质 氨氮的测定 纳氏试剂分光光度法  HJ535-2009</w:t>
                  </w:r>
                </w:p>
              </w:tc>
              <w:tc>
                <w:tcPr>
                  <w:tcW w:w="2410" w:type="dxa"/>
                  <w:vAlign w:val="center"/>
                </w:tcPr>
                <w:p>
                  <w:pPr>
                    <w:pStyle w:val="11"/>
                    <w:snapToGrid w:val="0"/>
                    <w:jc w:val="center"/>
                    <w:rPr>
                      <w:rFonts w:ascii="Times New Roman" w:hAnsi="Times New Roman"/>
                      <w:color w:val="000000"/>
                      <w:highlight w:val="none"/>
                    </w:rPr>
                  </w:pPr>
                  <w:r>
                    <w:rPr>
                      <w:rFonts w:ascii="Times New Roman" w:hAnsi="Times New Roman"/>
                      <w:color w:val="000000"/>
                      <w:highlight w:val="none"/>
                    </w:rPr>
                    <w:t>紫外可见分光光度计UV</w:t>
                  </w:r>
                  <w:r>
                    <w:rPr>
                      <w:rFonts w:hint="eastAsia" w:ascii="Times New Roman" w:hAnsi="Times New Roman"/>
                      <w:color w:val="000000"/>
                      <w:highlight w:val="none"/>
                    </w:rPr>
                    <w:t>-5100</w:t>
                  </w:r>
                  <w:r>
                    <w:rPr>
                      <w:rFonts w:ascii="Times New Roman" w:hAnsi="Times New Roman"/>
                      <w:color w:val="000000"/>
                      <w:highlight w:val="none"/>
                    </w:rPr>
                    <w:t>（YHK-</w:t>
                  </w:r>
                  <w:r>
                    <w:rPr>
                      <w:rFonts w:hint="eastAsia" w:ascii="Times New Roman" w:hAnsi="Times New Roman"/>
                      <w:color w:val="000000"/>
                      <w:highlight w:val="none"/>
                    </w:rPr>
                    <w:t>165</w:t>
                  </w:r>
                  <w:r>
                    <w:rPr>
                      <w:rFonts w:ascii="Times New Roman" w:hAnsi="Times New Roman"/>
                      <w:color w:val="000000"/>
                      <w:highlight w:val="none"/>
                    </w:rPr>
                    <w:t>）</w:t>
                  </w:r>
                </w:p>
              </w:tc>
              <w:tc>
                <w:tcPr>
                  <w:tcW w:w="1387" w:type="dxa"/>
                  <w:vAlign w:val="center"/>
                </w:tcPr>
                <w:p>
                  <w:pPr>
                    <w:tabs>
                      <w:tab w:val="right" w:pos="8906"/>
                    </w:tabs>
                    <w:jc w:val="center"/>
                    <w:rPr>
                      <w:bCs/>
                      <w:color w:val="000000"/>
                      <w:spacing w:val="-5"/>
                      <w:szCs w:val="21"/>
                      <w:highlight w:val="none"/>
                      <w:lang w:bidi="he-IL"/>
                    </w:rPr>
                  </w:pPr>
                  <w:r>
                    <w:rPr>
                      <w:bCs/>
                      <w:color w:val="000000"/>
                      <w:spacing w:val="-5"/>
                      <w:szCs w:val="21"/>
                      <w:highlight w:val="none"/>
                      <w:lang w:bidi="he-IL"/>
                    </w:rPr>
                    <w:t>0.025mg/L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96" w:type="dxa"/>
                  <w:vMerge w:val="continue"/>
                  <w:vAlign w:val="center"/>
                </w:tcPr>
                <w:p>
                  <w:pPr>
                    <w:ind w:firstLine="480"/>
                    <w:jc w:val="center"/>
                    <w:rPr>
                      <w:highlight w:val="none"/>
                    </w:rPr>
                  </w:pPr>
                </w:p>
              </w:tc>
              <w:tc>
                <w:tcPr>
                  <w:tcW w:w="1501" w:type="dxa"/>
                  <w:vAlign w:val="center"/>
                </w:tcPr>
                <w:p>
                  <w:pPr>
                    <w:pStyle w:val="11"/>
                    <w:snapToGrid w:val="0"/>
                    <w:jc w:val="center"/>
                    <w:rPr>
                      <w:rFonts w:ascii="Times New Roman" w:hAnsi="Times New Roman"/>
                      <w:highlight w:val="none"/>
                    </w:rPr>
                  </w:pPr>
                  <w:r>
                    <w:rPr>
                      <w:rFonts w:hint="eastAsia" w:ascii="Times New Roman" w:hAnsi="Times New Roman"/>
                      <w:highlight w:val="none"/>
                    </w:rPr>
                    <w:t>石油类</w:t>
                  </w:r>
                </w:p>
              </w:tc>
              <w:tc>
                <w:tcPr>
                  <w:tcW w:w="2880" w:type="dxa"/>
                  <w:vAlign w:val="center"/>
                </w:tcPr>
                <w:p>
                  <w:pPr>
                    <w:tabs>
                      <w:tab w:val="left" w:pos="1980"/>
                      <w:tab w:val="left" w:pos="2160"/>
                    </w:tabs>
                    <w:jc w:val="center"/>
                    <w:rPr>
                      <w:szCs w:val="21"/>
                      <w:highlight w:val="none"/>
                    </w:rPr>
                  </w:pPr>
                  <w:r>
                    <w:rPr>
                      <w:szCs w:val="21"/>
                      <w:highlight w:val="none"/>
                    </w:rPr>
                    <w:t xml:space="preserve">水质　石油类和动植物油类的测定　红外分光光度法 </w:t>
                  </w:r>
                </w:p>
                <w:p>
                  <w:pPr>
                    <w:tabs>
                      <w:tab w:val="left" w:pos="1980"/>
                      <w:tab w:val="left" w:pos="2160"/>
                    </w:tabs>
                    <w:jc w:val="center"/>
                    <w:rPr>
                      <w:szCs w:val="21"/>
                      <w:highlight w:val="none"/>
                    </w:rPr>
                  </w:pPr>
                  <w:r>
                    <w:rPr>
                      <w:szCs w:val="21"/>
                      <w:highlight w:val="none"/>
                    </w:rPr>
                    <w:t>HJ</w:t>
                  </w:r>
                  <w:r>
                    <w:rPr>
                      <w:rFonts w:hint="eastAsia"/>
                      <w:szCs w:val="21"/>
                      <w:highlight w:val="none"/>
                      <w:lang w:val="en-US" w:eastAsia="zh-CN"/>
                    </w:rPr>
                    <w:t xml:space="preserve"> </w:t>
                  </w:r>
                  <w:r>
                    <w:rPr>
                      <w:szCs w:val="21"/>
                      <w:highlight w:val="none"/>
                    </w:rPr>
                    <w:t>637-201</w:t>
                  </w:r>
                  <w:r>
                    <w:rPr>
                      <w:rFonts w:hint="eastAsia"/>
                      <w:szCs w:val="21"/>
                      <w:highlight w:val="none"/>
                    </w:rPr>
                    <w:t>8</w:t>
                  </w:r>
                </w:p>
              </w:tc>
              <w:tc>
                <w:tcPr>
                  <w:tcW w:w="2410" w:type="dxa"/>
                  <w:vAlign w:val="center"/>
                </w:tcPr>
                <w:p>
                  <w:pPr>
                    <w:pStyle w:val="11"/>
                    <w:snapToGrid w:val="0"/>
                    <w:jc w:val="center"/>
                    <w:rPr>
                      <w:rFonts w:ascii="Times New Roman" w:hAnsi="Times New Roman"/>
                      <w:highlight w:val="none"/>
                    </w:rPr>
                  </w:pPr>
                  <w:r>
                    <w:rPr>
                      <w:rFonts w:ascii="Times New Roman" w:hAnsi="Times New Roman"/>
                      <w:highlight w:val="none"/>
                    </w:rPr>
                    <w:t>红外分光测油仪OIL-6（YHK-029）</w:t>
                  </w:r>
                </w:p>
              </w:tc>
              <w:tc>
                <w:tcPr>
                  <w:tcW w:w="1387" w:type="dxa"/>
                  <w:vAlign w:val="center"/>
                </w:tcPr>
                <w:p>
                  <w:pPr>
                    <w:pStyle w:val="11"/>
                    <w:snapToGrid w:val="0"/>
                    <w:jc w:val="center"/>
                    <w:rPr>
                      <w:rFonts w:ascii="Times New Roman" w:hAnsi="Times New Roman"/>
                      <w:bCs/>
                      <w:highlight w:val="none"/>
                      <w:lang w:bidi="he-IL"/>
                    </w:rPr>
                  </w:pPr>
                  <w:r>
                    <w:rPr>
                      <w:rFonts w:ascii="Times New Roman" w:hAnsi="Times New Roman"/>
                      <w:bCs/>
                      <w:highlight w:val="none"/>
                      <w:lang w:bidi="he-IL"/>
                    </w:rPr>
                    <w:t>0.0</w:t>
                  </w:r>
                  <w:r>
                    <w:rPr>
                      <w:rFonts w:hint="eastAsia" w:ascii="Times New Roman" w:hAnsi="Times New Roman"/>
                      <w:bCs/>
                      <w:highlight w:val="none"/>
                      <w:lang w:bidi="he-IL"/>
                    </w:rPr>
                    <w:t>6</w:t>
                  </w:r>
                  <w:r>
                    <w:rPr>
                      <w:rFonts w:ascii="Times New Roman" w:hAnsi="Times New Roman"/>
                      <w:bCs/>
                      <w:highlight w:val="none"/>
                      <w:lang w:bidi="he-IL"/>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96" w:type="dxa"/>
                  <w:vMerge w:val="continue"/>
                  <w:vAlign w:val="center"/>
                </w:tcPr>
                <w:p>
                  <w:pPr>
                    <w:ind w:firstLine="480"/>
                    <w:jc w:val="center"/>
                    <w:rPr>
                      <w:highlight w:val="none"/>
                    </w:rPr>
                  </w:pPr>
                </w:p>
              </w:tc>
              <w:tc>
                <w:tcPr>
                  <w:tcW w:w="1501" w:type="dxa"/>
                  <w:vAlign w:val="center"/>
                </w:tcPr>
                <w:p>
                  <w:pPr>
                    <w:jc w:val="center"/>
                    <w:rPr>
                      <w:highlight w:val="none"/>
                    </w:rPr>
                  </w:pPr>
                  <w:r>
                    <w:rPr>
                      <w:highlight w:val="none"/>
                    </w:rPr>
                    <w:t>水质采样</w:t>
                  </w:r>
                </w:p>
              </w:tc>
              <w:tc>
                <w:tcPr>
                  <w:tcW w:w="2880" w:type="dxa"/>
                  <w:vAlign w:val="center"/>
                </w:tcPr>
                <w:p>
                  <w:pPr>
                    <w:jc w:val="center"/>
                    <w:rPr>
                      <w:rFonts w:hint="eastAsia"/>
                      <w:highlight w:val="none"/>
                    </w:rPr>
                  </w:pPr>
                  <w:r>
                    <w:rPr>
                      <w:rFonts w:hint="eastAsia"/>
                      <w:highlight w:val="none"/>
                    </w:rPr>
                    <w:t>污水监测技术规范</w:t>
                  </w:r>
                </w:p>
                <w:p>
                  <w:pPr>
                    <w:jc w:val="center"/>
                    <w:rPr>
                      <w:highlight w:val="none"/>
                    </w:rPr>
                  </w:pPr>
                  <w:r>
                    <w:rPr>
                      <w:rFonts w:hint="eastAsia"/>
                      <w:highlight w:val="none"/>
                    </w:rPr>
                    <w:t>HJ 91.1-2019</w:t>
                  </w:r>
                </w:p>
              </w:tc>
              <w:tc>
                <w:tcPr>
                  <w:tcW w:w="2410" w:type="dxa"/>
                  <w:vAlign w:val="center"/>
                </w:tcPr>
                <w:p>
                  <w:pPr>
                    <w:jc w:val="center"/>
                    <w:rPr>
                      <w:highlight w:val="none"/>
                    </w:rPr>
                  </w:pPr>
                  <w:r>
                    <w:rPr>
                      <w:highlight w:val="none"/>
                    </w:rPr>
                    <w:t>/</w:t>
                  </w:r>
                </w:p>
              </w:tc>
              <w:tc>
                <w:tcPr>
                  <w:tcW w:w="1387" w:type="dxa"/>
                  <w:vAlign w:val="center"/>
                </w:tcPr>
                <w:p>
                  <w:pPr>
                    <w:jc w:val="center"/>
                    <w:rPr>
                      <w:highlight w:val="none"/>
                    </w:rPr>
                  </w:pPr>
                  <w:r>
                    <w:rPr>
                      <w:highlight w:val="none"/>
                    </w:rPr>
                    <w:t>/</w:t>
                  </w:r>
                </w:p>
              </w:tc>
            </w:tr>
          </w:tbl>
          <w:p>
            <w:pPr>
              <w:spacing w:line="360" w:lineRule="auto"/>
              <w:ind w:firstLine="481"/>
              <w:rPr>
                <w:b/>
                <w:bCs/>
                <w:sz w:val="24"/>
                <w:highlight w:val="none"/>
              </w:rPr>
            </w:pPr>
            <w:r>
              <w:rPr>
                <w:rFonts w:hint="eastAsia"/>
                <w:b/>
                <w:bCs/>
                <w:sz w:val="24"/>
                <w:highlight w:val="none"/>
              </w:rPr>
              <w:t>2、废气</w:t>
            </w:r>
          </w:p>
          <w:p>
            <w:pPr>
              <w:spacing w:line="360" w:lineRule="auto"/>
              <w:ind w:firstLine="560"/>
              <w:rPr>
                <w:sz w:val="24"/>
                <w:highlight w:val="none"/>
              </w:rPr>
            </w:pPr>
            <w:r>
              <w:rPr>
                <w:sz w:val="24"/>
                <w:highlight w:val="none"/>
              </w:rPr>
              <w:t>本次验收监测</w:t>
            </w:r>
            <w:r>
              <w:rPr>
                <w:rFonts w:hint="eastAsia"/>
                <w:sz w:val="24"/>
                <w:highlight w:val="none"/>
              </w:rPr>
              <w:t>废气</w:t>
            </w:r>
            <w:r>
              <w:rPr>
                <w:sz w:val="24"/>
                <w:highlight w:val="none"/>
              </w:rPr>
              <w:t>监测分析方法</w:t>
            </w:r>
            <w:r>
              <w:rPr>
                <w:rFonts w:hint="eastAsia"/>
                <w:sz w:val="24"/>
                <w:highlight w:val="none"/>
              </w:rPr>
              <w:t>及监测仪器</w:t>
            </w:r>
            <w:r>
              <w:rPr>
                <w:sz w:val="24"/>
                <w:highlight w:val="none"/>
              </w:rPr>
              <w:t>详见表</w:t>
            </w:r>
            <w:r>
              <w:rPr>
                <w:rFonts w:hint="eastAsia"/>
                <w:sz w:val="24"/>
                <w:highlight w:val="none"/>
              </w:rPr>
              <w:t>5-2</w:t>
            </w:r>
            <w:r>
              <w:rPr>
                <w:sz w:val="24"/>
                <w:highlight w:val="none"/>
              </w:rPr>
              <w:t>。</w:t>
            </w:r>
          </w:p>
          <w:p>
            <w:pPr>
              <w:spacing w:line="360" w:lineRule="auto"/>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表</w:t>
            </w:r>
            <w:r>
              <w:rPr>
                <w:rFonts w:hint="eastAsia"/>
                <w:b/>
                <w:bCs/>
                <w:color w:val="000000" w:themeColor="text1"/>
                <w:szCs w:val="21"/>
                <w:highlight w:val="none"/>
                <w14:textFill>
                  <w14:solidFill>
                    <w14:schemeClr w14:val="tx1"/>
                  </w14:solidFill>
                </w14:textFill>
              </w:rPr>
              <w:t xml:space="preserve">5-2 </w:t>
            </w:r>
            <w:r>
              <w:rPr>
                <w:b/>
                <w:bCs/>
                <w:color w:val="000000" w:themeColor="text1"/>
                <w:szCs w:val="21"/>
                <w:highlight w:val="none"/>
                <w14:textFill>
                  <w14:solidFill>
                    <w14:schemeClr w14:val="tx1"/>
                  </w14:solidFill>
                </w14:textFill>
              </w:rPr>
              <w:t>分析方法和主要检测仪器设备一览表</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8"/>
              <w:gridCol w:w="1369"/>
              <w:gridCol w:w="2936"/>
              <w:gridCol w:w="1917"/>
              <w:gridCol w:w="19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8" w:type="dxa"/>
                  <w:vAlign w:val="center"/>
                </w:tcPr>
                <w:p>
                  <w:pPr>
                    <w:spacing w:line="260" w:lineRule="exact"/>
                    <w:jc w:val="center"/>
                    <w:rPr>
                      <w:b/>
                      <w:bCs/>
                      <w:highlight w:val="none"/>
                    </w:rPr>
                  </w:pPr>
                  <w:r>
                    <w:rPr>
                      <w:b/>
                      <w:bCs/>
                      <w:highlight w:val="none"/>
                    </w:rPr>
                    <w:t>监测</w:t>
                  </w:r>
                </w:p>
                <w:p>
                  <w:pPr>
                    <w:spacing w:line="260" w:lineRule="exact"/>
                    <w:jc w:val="center"/>
                    <w:rPr>
                      <w:b/>
                      <w:bCs/>
                      <w:highlight w:val="none"/>
                    </w:rPr>
                  </w:pPr>
                  <w:r>
                    <w:rPr>
                      <w:b/>
                      <w:bCs/>
                      <w:highlight w:val="none"/>
                    </w:rPr>
                    <w:t>内容</w:t>
                  </w:r>
                </w:p>
              </w:tc>
              <w:tc>
                <w:tcPr>
                  <w:tcW w:w="1369" w:type="dxa"/>
                  <w:vAlign w:val="center"/>
                </w:tcPr>
                <w:p>
                  <w:pPr>
                    <w:spacing w:line="260" w:lineRule="exact"/>
                    <w:jc w:val="center"/>
                    <w:rPr>
                      <w:b/>
                      <w:bCs/>
                      <w:highlight w:val="none"/>
                    </w:rPr>
                  </w:pPr>
                  <w:r>
                    <w:rPr>
                      <w:b/>
                      <w:bCs/>
                      <w:highlight w:val="none"/>
                    </w:rPr>
                    <w:t>监测项目</w:t>
                  </w:r>
                </w:p>
              </w:tc>
              <w:tc>
                <w:tcPr>
                  <w:tcW w:w="2936" w:type="dxa"/>
                  <w:vAlign w:val="center"/>
                </w:tcPr>
                <w:p>
                  <w:pPr>
                    <w:spacing w:line="260" w:lineRule="exact"/>
                    <w:jc w:val="center"/>
                    <w:rPr>
                      <w:b/>
                      <w:bCs/>
                      <w:highlight w:val="none"/>
                    </w:rPr>
                  </w:pPr>
                  <w:r>
                    <w:rPr>
                      <w:b/>
                      <w:bCs/>
                      <w:highlight w:val="none"/>
                    </w:rPr>
                    <w:t>监测分析方法</w:t>
                  </w:r>
                </w:p>
              </w:tc>
              <w:tc>
                <w:tcPr>
                  <w:tcW w:w="1917" w:type="dxa"/>
                  <w:vAlign w:val="center"/>
                </w:tcPr>
                <w:p>
                  <w:pPr>
                    <w:spacing w:line="260" w:lineRule="exact"/>
                    <w:jc w:val="center"/>
                    <w:rPr>
                      <w:b/>
                      <w:bCs/>
                      <w:highlight w:val="none"/>
                    </w:rPr>
                  </w:pPr>
                  <w:r>
                    <w:rPr>
                      <w:b/>
                      <w:bCs/>
                      <w:highlight w:val="none"/>
                    </w:rPr>
                    <w:t>主要检测仪器设备/型号</w:t>
                  </w:r>
                </w:p>
              </w:tc>
              <w:tc>
                <w:tcPr>
                  <w:tcW w:w="1900" w:type="dxa"/>
                  <w:vAlign w:val="center"/>
                </w:tcPr>
                <w:p>
                  <w:pPr>
                    <w:spacing w:line="260" w:lineRule="exact"/>
                    <w:jc w:val="center"/>
                    <w:rPr>
                      <w:b/>
                      <w:bCs/>
                      <w:highlight w:val="none"/>
                    </w:rPr>
                  </w:pPr>
                  <w:r>
                    <w:rPr>
                      <w:rFonts w:hint="eastAsia"/>
                      <w:b/>
                      <w:bCs/>
                      <w:highlight w:val="none"/>
                    </w:rPr>
                    <w:t>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6" w:hRule="atLeast"/>
                <w:jc w:val="center"/>
              </w:trPr>
              <w:tc>
                <w:tcPr>
                  <w:tcW w:w="838" w:type="dxa"/>
                  <w:vMerge w:val="restart"/>
                  <w:vAlign w:val="center"/>
                </w:tcPr>
                <w:p>
                  <w:pPr>
                    <w:spacing w:line="260" w:lineRule="exact"/>
                    <w:rPr>
                      <w:highlight w:val="none"/>
                    </w:rPr>
                  </w:pPr>
                  <w:r>
                    <w:rPr>
                      <w:highlight w:val="none"/>
                    </w:rPr>
                    <w:t>废气</w:t>
                  </w:r>
                </w:p>
              </w:tc>
              <w:tc>
                <w:tcPr>
                  <w:tcW w:w="1369" w:type="dxa"/>
                  <w:vAlign w:val="center"/>
                </w:tcPr>
                <w:p>
                  <w:pPr>
                    <w:jc w:val="center"/>
                    <w:rPr>
                      <w:rFonts w:asciiTheme="majorBidi" w:hAnsiTheme="majorBidi" w:cstheme="majorBidi"/>
                      <w:color w:val="000000" w:themeColor="text1"/>
                      <w:szCs w:val="21"/>
                      <w:highlight w:val="none"/>
                      <w14:textFill>
                        <w14:solidFill>
                          <w14:schemeClr w14:val="tx1"/>
                        </w14:solidFill>
                      </w14:textFill>
                    </w:rPr>
                  </w:pPr>
                  <w:r>
                    <w:rPr>
                      <w:rFonts w:asciiTheme="majorBidi" w:hAnsiTheme="majorBidi" w:cstheme="majorBidi"/>
                      <w:color w:val="000000" w:themeColor="text1"/>
                      <w:szCs w:val="21"/>
                      <w:highlight w:val="none"/>
                      <w14:textFill>
                        <w14:solidFill>
                          <w14:schemeClr w14:val="tx1"/>
                        </w14:solidFill>
                      </w14:textFill>
                    </w:rPr>
                    <w:t>非甲烷总烃</w:t>
                  </w:r>
                </w:p>
              </w:tc>
              <w:tc>
                <w:tcPr>
                  <w:tcW w:w="2936" w:type="dxa"/>
                  <w:vAlign w:val="center"/>
                </w:tcPr>
                <w:p>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环境空气 总烃、甲烷和非甲烷总烃的测定 直接进样-气相色谱法HJ 604-2017</w:t>
                  </w:r>
                </w:p>
              </w:tc>
              <w:tc>
                <w:tcPr>
                  <w:tcW w:w="1917" w:type="dxa"/>
                  <w:vAlign w:val="center"/>
                </w:tcPr>
                <w:p>
                  <w:pPr>
                    <w:jc w:val="center"/>
                    <w:rPr>
                      <w:rFonts w:asciiTheme="majorBidi" w:hAnsiTheme="majorBidi" w:cstheme="majorBidi"/>
                      <w:color w:val="000000" w:themeColor="text1"/>
                      <w:highlight w:val="none"/>
                      <w14:textFill>
                        <w14:solidFill>
                          <w14:schemeClr w14:val="tx1"/>
                        </w14:solidFill>
                      </w14:textFill>
                    </w:rPr>
                  </w:pPr>
                  <w:r>
                    <w:rPr>
                      <w:rFonts w:hint="eastAsia" w:asciiTheme="majorBidi" w:hAnsiTheme="majorBidi" w:cstheme="majorBidi"/>
                      <w:color w:val="000000" w:themeColor="text1"/>
                      <w:highlight w:val="none"/>
                      <w14:textFill>
                        <w14:solidFill>
                          <w14:schemeClr w14:val="tx1"/>
                        </w14:solidFill>
                      </w14:textFill>
                    </w:rPr>
                    <w:t>气相色谱仪GC1120</w:t>
                  </w:r>
                  <w:r>
                    <w:rPr>
                      <w:rFonts w:asciiTheme="majorBidi" w:hAnsiTheme="majorBidi" w:cstheme="majorBidi"/>
                      <w:color w:val="000000" w:themeColor="text1"/>
                      <w:highlight w:val="none"/>
                      <w14:textFill>
                        <w14:solidFill>
                          <w14:schemeClr w14:val="tx1"/>
                        </w14:solidFill>
                      </w14:textFill>
                    </w:rPr>
                    <w:t>（YHK-066）</w:t>
                  </w:r>
                </w:p>
              </w:tc>
              <w:tc>
                <w:tcPr>
                  <w:tcW w:w="1900" w:type="dxa"/>
                  <w:vAlign w:val="center"/>
                </w:tcPr>
                <w:p>
                  <w:pPr>
                    <w:widowControl/>
                    <w:snapToGrid w:val="0"/>
                    <w:ind w:right="-168" w:rightChars="-8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0.0</w:t>
                  </w:r>
                  <w:r>
                    <w:rPr>
                      <w:rFonts w:hint="eastAsia"/>
                      <w:color w:val="000000" w:themeColor="text1"/>
                      <w:szCs w:val="21"/>
                      <w:highlight w:val="none"/>
                      <w14:textFill>
                        <w14:solidFill>
                          <w14:schemeClr w14:val="tx1"/>
                        </w14:solidFill>
                      </w14:textFill>
                    </w:rPr>
                    <w:t>7</w:t>
                  </w:r>
                  <w:r>
                    <w:rPr>
                      <w:color w:val="000000" w:themeColor="text1"/>
                      <w:szCs w:val="21"/>
                      <w:highlight w:val="none"/>
                      <w14:textFill>
                        <w14:solidFill>
                          <w14:schemeClr w14:val="tx1"/>
                        </w14:solidFill>
                      </w14:textFill>
                    </w:rPr>
                    <w:t>mg/m</w:t>
                  </w:r>
                  <w:r>
                    <w:rPr>
                      <w:color w:val="000000" w:themeColor="text1"/>
                      <w:szCs w:val="21"/>
                      <w:highlight w:val="none"/>
                      <w:vertAlign w:val="superscript"/>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38" w:type="dxa"/>
                  <w:vMerge w:val="continue"/>
                  <w:vAlign w:val="center"/>
                </w:tcPr>
                <w:p>
                  <w:pPr>
                    <w:widowControl/>
                    <w:jc w:val="left"/>
                    <w:rPr>
                      <w:highlight w:val="none"/>
                    </w:rPr>
                  </w:pPr>
                </w:p>
              </w:tc>
              <w:tc>
                <w:tcPr>
                  <w:tcW w:w="1369" w:type="dxa"/>
                  <w:vAlign w:val="center"/>
                </w:tcPr>
                <w:p>
                  <w:pPr>
                    <w:jc w:val="center"/>
                    <w:rPr>
                      <w:highlight w:val="none"/>
                    </w:rPr>
                  </w:pPr>
                  <w:r>
                    <w:rPr>
                      <w:rFonts w:hint="eastAsia"/>
                      <w:highlight w:val="none"/>
                    </w:rPr>
                    <w:t>采样方法</w:t>
                  </w:r>
                </w:p>
              </w:tc>
              <w:tc>
                <w:tcPr>
                  <w:tcW w:w="2936" w:type="dxa"/>
                  <w:vAlign w:val="center"/>
                </w:tcPr>
                <w:p>
                  <w:pPr>
                    <w:jc w:val="center"/>
                    <w:rPr>
                      <w:highlight w:val="none"/>
                    </w:rPr>
                  </w:pPr>
                  <w:r>
                    <w:rPr>
                      <w:rFonts w:hint="eastAsia"/>
                      <w:highlight w:val="none"/>
                    </w:rPr>
                    <w:t xml:space="preserve">大气污染物无组织排放监测技术导则 </w:t>
                  </w:r>
                  <w:r>
                    <w:rPr>
                      <w:highlight w:val="none"/>
                    </w:rPr>
                    <w:t>HJ/T 55-2000</w:t>
                  </w:r>
                </w:p>
              </w:tc>
              <w:tc>
                <w:tcPr>
                  <w:tcW w:w="1917" w:type="dxa"/>
                  <w:vAlign w:val="center"/>
                </w:tcPr>
                <w:p>
                  <w:pPr>
                    <w:widowControl/>
                    <w:snapToGrid w:val="0"/>
                    <w:spacing w:line="260" w:lineRule="exact"/>
                    <w:ind w:right="-168" w:rightChars="-80"/>
                    <w:jc w:val="center"/>
                    <w:rPr>
                      <w:highlight w:val="none"/>
                    </w:rPr>
                  </w:pPr>
                  <w:r>
                    <w:rPr>
                      <w:rFonts w:hint="eastAsia"/>
                      <w:highlight w:val="none"/>
                    </w:rPr>
                    <w:t>/</w:t>
                  </w:r>
                </w:p>
              </w:tc>
              <w:tc>
                <w:tcPr>
                  <w:tcW w:w="1900" w:type="dxa"/>
                  <w:vAlign w:val="center"/>
                </w:tcPr>
                <w:p>
                  <w:pPr>
                    <w:widowControl/>
                    <w:snapToGrid w:val="0"/>
                    <w:spacing w:line="260" w:lineRule="exact"/>
                    <w:ind w:right="-168" w:rightChars="-80"/>
                    <w:jc w:val="center"/>
                    <w:rPr>
                      <w:highlight w:val="none"/>
                    </w:rPr>
                  </w:pPr>
                  <w:r>
                    <w:rPr>
                      <w:rFonts w:hint="eastAsia"/>
                      <w:highlight w:val="none"/>
                    </w:rPr>
                    <w:t>/</w:t>
                  </w:r>
                </w:p>
              </w:tc>
            </w:tr>
          </w:tbl>
          <w:p>
            <w:pPr>
              <w:autoSpaceDE w:val="0"/>
              <w:autoSpaceDN w:val="0"/>
              <w:adjustRightInd w:val="0"/>
              <w:jc w:val="left"/>
              <w:rPr>
                <w:rFonts w:cs="Arial"/>
                <w:color w:val="000000"/>
                <w:kern w:val="0"/>
                <w:sz w:val="24"/>
                <w:highlight w:val="yellow"/>
              </w:rPr>
            </w:pPr>
          </w:p>
          <w:p>
            <w:pPr>
              <w:spacing w:line="360" w:lineRule="auto"/>
              <w:ind w:firstLine="482" w:firstLineChars="200"/>
              <w:rPr>
                <w:b/>
                <w:bCs/>
                <w:sz w:val="24"/>
                <w:highlight w:val="none"/>
              </w:rPr>
            </w:pPr>
            <w:r>
              <w:rPr>
                <w:rFonts w:hint="eastAsia"/>
                <w:b/>
                <w:bCs/>
                <w:sz w:val="24"/>
                <w:highlight w:val="none"/>
              </w:rPr>
              <w:t>3、噪声</w:t>
            </w:r>
          </w:p>
          <w:p>
            <w:pPr>
              <w:ind w:firstLine="560"/>
              <w:rPr>
                <w:sz w:val="24"/>
                <w:highlight w:val="none"/>
              </w:rPr>
            </w:pPr>
            <w:r>
              <w:rPr>
                <w:sz w:val="24"/>
                <w:highlight w:val="none"/>
              </w:rPr>
              <w:t>本次验收监测</w:t>
            </w:r>
            <w:r>
              <w:rPr>
                <w:rFonts w:hint="eastAsia"/>
                <w:sz w:val="24"/>
                <w:highlight w:val="none"/>
              </w:rPr>
              <w:t>厂界噪声</w:t>
            </w:r>
            <w:r>
              <w:rPr>
                <w:sz w:val="24"/>
                <w:highlight w:val="none"/>
              </w:rPr>
              <w:t>监测分析方法</w:t>
            </w:r>
            <w:r>
              <w:rPr>
                <w:rFonts w:hint="eastAsia"/>
                <w:sz w:val="24"/>
                <w:highlight w:val="none"/>
              </w:rPr>
              <w:t>及监测仪器</w:t>
            </w:r>
            <w:r>
              <w:rPr>
                <w:sz w:val="24"/>
                <w:highlight w:val="none"/>
              </w:rPr>
              <w:t>详见表</w:t>
            </w:r>
            <w:r>
              <w:rPr>
                <w:rFonts w:hint="eastAsia"/>
                <w:sz w:val="24"/>
                <w:highlight w:val="none"/>
              </w:rPr>
              <w:t>5-3</w:t>
            </w:r>
            <w:r>
              <w:rPr>
                <w:sz w:val="24"/>
                <w:highlight w:val="none"/>
              </w:rPr>
              <w:t>。</w:t>
            </w:r>
          </w:p>
          <w:p>
            <w:pPr>
              <w:spacing w:line="460" w:lineRule="exact"/>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表</w:t>
            </w:r>
            <w:r>
              <w:rPr>
                <w:rFonts w:hint="eastAsia"/>
                <w:b/>
                <w:bCs/>
                <w:color w:val="000000" w:themeColor="text1"/>
                <w:szCs w:val="21"/>
                <w:highlight w:val="none"/>
                <w14:textFill>
                  <w14:solidFill>
                    <w14:schemeClr w14:val="tx1"/>
                  </w14:solidFill>
                </w14:textFill>
              </w:rPr>
              <w:t xml:space="preserve">5-3 </w:t>
            </w:r>
            <w:r>
              <w:rPr>
                <w:b/>
                <w:bCs/>
                <w:color w:val="000000" w:themeColor="text1"/>
                <w:szCs w:val="21"/>
                <w:highlight w:val="none"/>
                <w14:textFill>
                  <w14:solidFill>
                    <w14:schemeClr w14:val="tx1"/>
                  </w14:solidFill>
                </w14:textFill>
              </w:rPr>
              <w:t>分析方法和主要检测仪器设备一览表</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8"/>
              <w:gridCol w:w="1263"/>
              <w:gridCol w:w="2718"/>
              <w:gridCol w:w="1764"/>
              <w:gridCol w:w="19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788" w:type="dxa"/>
                  <w:vAlign w:val="center"/>
                </w:tcPr>
                <w:p>
                  <w:pPr>
                    <w:jc w:val="center"/>
                    <w:rPr>
                      <w:b/>
                      <w:bCs/>
                      <w:highlight w:val="none"/>
                    </w:rPr>
                  </w:pPr>
                  <w:r>
                    <w:rPr>
                      <w:rFonts w:hint="eastAsia"/>
                      <w:b/>
                      <w:bCs/>
                      <w:highlight w:val="none"/>
                    </w:rPr>
                    <w:t>监测</w:t>
                  </w:r>
                </w:p>
                <w:p>
                  <w:pPr>
                    <w:jc w:val="center"/>
                    <w:rPr>
                      <w:b/>
                      <w:bCs/>
                      <w:highlight w:val="none"/>
                    </w:rPr>
                  </w:pPr>
                  <w:r>
                    <w:rPr>
                      <w:rFonts w:hint="eastAsia"/>
                      <w:b/>
                      <w:bCs/>
                      <w:highlight w:val="none"/>
                    </w:rPr>
                    <w:t>类别</w:t>
                  </w:r>
                </w:p>
              </w:tc>
              <w:tc>
                <w:tcPr>
                  <w:tcW w:w="1263" w:type="dxa"/>
                  <w:vAlign w:val="center"/>
                </w:tcPr>
                <w:p>
                  <w:pPr>
                    <w:jc w:val="center"/>
                    <w:rPr>
                      <w:b/>
                      <w:bCs/>
                      <w:highlight w:val="none"/>
                    </w:rPr>
                  </w:pPr>
                  <w:r>
                    <w:rPr>
                      <w:rFonts w:hint="eastAsia"/>
                      <w:b/>
                      <w:bCs/>
                      <w:highlight w:val="none"/>
                    </w:rPr>
                    <w:t>监测项目</w:t>
                  </w:r>
                </w:p>
              </w:tc>
              <w:tc>
                <w:tcPr>
                  <w:tcW w:w="2718" w:type="dxa"/>
                  <w:vAlign w:val="center"/>
                </w:tcPr>
                <w:p>
                  <w:pPr>
                    <w:jc w:val="center"/>
                    <w:rPr>
                      <w:b/>
                      <w:bCs/>
                      <w:highlight w:val="none"/>
                    </w:rPr>
                  </w:pPr>
                  <w:r>
                    <w:rPr>
                      <w:rFonts w:hint="eastAsia"/>
                      <w:b/>
                      <w:bCs/>
                      <w:highlight w:val="none"/>
                    </w:rPr>
                    <w:t>监测分析方法</w:t>
                  </w:r>
                </w:p>
              </w:tc>
              <w:tc>
                <w:tcPr>
                  <w:tcW w:w="1764" w:type="dxa"/>
                  <w:vAlign w:val="center"/>
                </w:tcPr>
                <w:p>
                  <w:pPr>
                    <w:jc w:val="center"/>
                    <w:rPr>
                      <w:b/>
                      <w:bCs/>
                      <w:highlight w:val="none"/>
                    </w:rPr>
                  </w:pPr>
                  <w:r>
                    <w:rPr>
                      <w:rFonts w:hint="eastAsia"/>
                      <w:b/>
                      <w:bCs/>
                      <w:highlight w:val="none"/>
                    </w:rPr>
                    <w:t>方法来源</w:t>
                  </w:r>
                </w:p>
              </w:tc>
              <w:tc>
                <w:tcPr>
                  <w:tcW w:w="1918" w:type="dxa"/>
                  <w:vAlign w:val="center"/>
                </w:tcPr>
                <w:p>
                  <w:pPr>
                    <w:jc w:val="center"/>
                    <w:rPr>
                      <w:b/>
                      <w:bCs/>
                      <w:highlight w:val="none"/>
                    </w:rPr>
                  </w:pPr>
                  <w:r>
                    <w:rPr>
                      <w:rFonts w:hint="eastAsia"/>
                      <w:b/>
                      <w:bCs/>
                      <w:highlight w:val="none"/>
                    </w:rPr>
                    <w:t>主要检测仪器设备名称、/型号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788" w:type="dxa"/>
                  <w:vAlign w:val="center"/>
                </w:tcPr>
                <w:p>
                  <w:pPr>
                    <w:jc w:val="center"/>
                    <w:rPr>
                      <w:highlight w:val="none"/>
                    </w:rPr>
                  </w:pPr>
                  <w:r>
                    <w:rPr>
                      <w:rFonts w:hint="eastAsia"/>
                      <w:highlight w:val="none"/>
                    </w:rPr>
                    <w:t>噪声</w:t>
                  </w:r>
                </w:p>
              </w:tc>
              <w:tc>
                <w:tcPr>
                  <w:tcW w:w="1263" w:type="dxa"/>
                  <w:vAlign w:val="center"/>
                </w:tcPr>
                <w:p>
                  <w:pPr>
                    <w:jc w:val="center"/>
                    <w:rPr>
                      <w:highlight w:val="none"/>
                    </w:rPr>
                  </w:pPr>
                  <w:r>
                    <w:rPr>
                      <w:rFonts w:hint="eastAsia"/>
                      <w:highlight w:val="none"/>
                    </w:rPr>
                    <w:t>厂界噪声</w:t>
                  </w:r>
                </w:p>
              </w:tc>
              <w:tc>
                <w:tcPr>
                  <w:tcW w:w="2718" w:type="dxa"/>
                  <w:vAlign w:val="center"/>
                </w:tcPr>
                <w:p>
                  <w:pPr>
                    <w:ind w:right="113"/>
                    <w:jc w:val="center"/>
                    <w:rPr>
                      <w:highlight w:val="none"/>
                    </w:rPr>
                  </w:pPr>
                  <w:r>
                    <w:rPr>
                      <w:rFonts w:hint="eastAsia"/>
                      <w:highlight w:val="none"/>
                    </w:rPr>
                    <w:t>工业企业厂界环境噪声排放标准</w:t>
                  </w:r>
                </w:p>
              </w:tc>
              <w:tc>
                <w:tcPr>
                  <w:tcW w:w="1764" w:type="dxa"/>
                  <w:vAlign w:val="center"/>
                </w:tcPr>
                <w:p>
                  <w:pPr>
                    <w:jc w:val="center"/>
                    <w:rPr>
                      <w:highlight w:val="none"/>
                    </w:rPr>
                  </w:pPr>
                  <w:r>
                    <w:rPr>
                      <w:rFonts w:hint="eastAsia"/>
                      <w:highlight w:val="none"/>
                    </w:rPr>
                    <w:t>GB12348-2008</w:t>
                  </w:r>
                </w:p>
              </w:tc>
              <w:tc>
                <w:tcPr>
                  <w:tcW w:w="1918" w:type="dxa"/>
                  <w:vAlign w:val="center"/>
                </w:tcPr>
                <w:p>
                  <w:pPr>
                    <w:jc w:val="center"/>
                    <w:rPr>
                      <w:highlight w:val="none"/>
                    </w:rPr>
                  </w:pPr>
                  <w:r>
                    <w:rPr>
                      <w:rFonts w:hint="eastAsia"/>
                      <w:highlight w:val="none"/>
                    </w:rPr>
                    <w:t>多功能噪声分析仪HS6288E（YHK-03</w:t>
                  </w:r>
                  <w:r>
                    <w:rPr>
                      <w:rFonts w:hint="eastAsia"/>
                      <w:highlight w:val="none"/>
                      <w:lang w:val="en-US" w:eastAsia="zh-CN"/>
                    </w:rPr>
                    <w:t>8</w:t>
                  </w:r>
                  <w:r>
                    <w:rPr>
                      <w:rFonts w:hint="eastAsia"/>
                      <w:highlight w:val="none"/>
                    </w:rPr>
                    <w:t>）</w:t>
                  </w:r>
                </w:p>
              </w:tc>
            </w:tr>
          </w:tbl>
          <w:p>
            <w:pPr>
              <w:spacing w:line="360" w:lineRule="auto"/>
              <w:ind w:firstLine="482" w:firstLineChars="200"/>
              <w:rPr>
                <w:b/>
                <w:bCs/>
                <w:sz w:val="24"/>
              </w:rPr>
            </w:pPr>
          </w:p>
          <w:p>
            <w:pPr>
              <w:spacing w:line="360" w:lineRule="auto"/>
              <w:ind w:firstLine="482" w:firstLineChars="200"/>
              <w:rPr>
                <w:rFonts w:cs="宋体"/>
                <w:b/>
                <w:bCs/>
                <w:sz w:val="24"/>
              </w:rPr>
            </w:pPr>
            <w:r>
              <w:rPr>
                <w:rFonts w:hint="eastAsia"/>
                <w:b/>
                <w:bCs/>
                <w:sz w:val="24"/>
              </w:rPr>
              <w:t>二、监测仪器</w:t>
            </w:r>
          </w:p>
          <w:p>
            <w:pPr>
              <w:spacing w:line="360" w:lineRule="auto"/>
              <w:ind w:firstLine="480" w:firstLineChars="200"/>
              <w:rPr>
                <w:rFonts w:cs="宋体"/>
                <w:sz w:val="24"/>
              </w:rPr>
            </w:pPr>
            <w:r>
              <w:rPr>
                <w:rFonts w:hint="eastAsia" w:cs="宋体"/>
                <w:sz w:val="24"/>
              </w:rPr>
              <w:t>本项目无组织废气、厂界噪声现场监测过程中使用的仪器设备均符合国家有关标准和技术要求。属于《中华人民共和国强制检定的工作计量器具明细目录》里的仪器设备，均经计量检定合格并在有效期内。本项目</w:t>
            </w:r>
            <w:r>
              <w:rPr>
                <w:rFonts w:cs="宋体"/>
                <w:sz w:val="24"/>
              </w:rPr>
              <w:t>监测</w:t>
            </w:r>
            <w:r>
              <w:rPr>
                <w:rFonts w:hint="eastAsia" w:cs="宋体"/>
                <w:sz w:val="24"/>
              </w:rPr>
              <w:t>主要</w:t>
            </w:r>
            <w:r>
              <w:rPr>
                <w:rFonts w:cs="宋体"/>
                <w:sz w:val="24"/>
              </w:rPr>
              <w:t>仪器使用详情</w:t>
            </w:r>
            <w:r>
              <w:rPr>
                <w:rFonts w:hint="eastAsia" w:cs="宋体"/>
                <w:sz w:val="24"/>
              </w:rPr>
              <w:t>及溯源</w:t>
            </w:r>
            <w:r>
              <w:rPr>
                <w:rFonts w:cs="宋体"/>
                <w:sz w:val="24"/>
              </w:rPr>
              <w:t>见表</w:t>
            </w:r>
            <w:r>
              <w:rPr>
                <w:rFonts w:hint="eastAsia" w:cs="宋体"/>
                <w:sz w:val="24"/>
              </w:rPr>
              <w:t>5-4。</w:t>
            </w:r>
          </w:p>
          <w:p>
            <w:pPr>
              <w:spacing w:line="360" w:lineRule="auto"/>
              <w:jc w:val="center"/>
              <w:rPr>
                <w:rFonts w:cs="宋体"/>
                <w:b/>
                <w:bCs/>
                <w:szCs w:val="21"/>
              </w:rPr>
            </w:pPr>
            <w:r>
              <w:rPr>
                <w:rFonts w:hint="eastAsia" w:cs="宋体"/>
                <w:b/>
                <w:bCs/>
                <w:szCs w:val="21"/>
              </w:rPr>
              <w:t>表5-4监测</w:t>
            </w:r>
            <w:r>
              <w:rPr>
                <w:rFonts w:cs="宋体"/>
                <w:b/>
                <w:bCs/>
                <w:szCs w:val="21"/>
              </w:rPr>
              <w:t>仪器</w:t>
            </w:r>
            <w:r>
              <w:rPr>
                <w:rFonts w:hint="eastAsia" w:cs="宋体"/>
                <w:b/>
                <w:bCs/>
                <w:szCs w:val="21"/>
              </w:rPr>
              <w:t>一览表</w:t>
            </w:r>
          </w:p>
          <w:tbl>
            <w:tblPr>
              <w:tblStyle w:val="24"/>
              <w:tblW w:w="841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7"/>
              <w:gridCol w:w="1558"/>
              <w:gridCol w:w="2271"/>
              <w:gridCol w:w="1791"/>
              <w:gridCol w:w="19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857" w:type="dxa"/>
                  <w:vAlign w:val="center"/>
                </w:tcPr>
                <w:p>
                  <w:pPr>
                    <w:jc w:val="center"/>
                    <w:rPr>
                      <w:b/>
                      <w:bCs/>
                      <w:szCs w:val="21"/>
                    </w:rPr>
                  </w:pPr>
                  <w:r>
                    <w:rPr>
                      <w:b/>
                      <w:bCs/>
                      <w:szCs w:val="21"/>
                    </w:rPr>
                    <w:t>序号</w:t>
                  </w:r>
                </w:p>
              </w:tc>
              <w:tc>
                <w:tcPr>
                  <w:tcW w:w="1558" w:type="dxa"/>
                  <w:vAlign w:val="center"/>
                </w:tcPr>
                <w:p>
                  <w:pPr>
                    <w:jc w:val="center"/>
                    <w:rPr>
                      <w:b/>
                      <w:bCs/>
                      <w:szCs w:val="21"/>
                    </w:rPr>
                  </w:pPr>
                  <w:r>
                    <w:rPr>
                      <w:rFonts w:hint="eastAsia"/>
                      <w:b/>
                      <w:bCs/>
                      <w:szCs w:val="21"/>
                    </w:rPr>
                    <w:t>仪器编号</w:t>
                  </w:r>
                </w:p>
              </w:tc>
              <w:tc>
                <w:tcPr>
                  <w:tcW w:w="2271" w:type="dxa"/>
                  <w:vAlign w:val="center"/>
                </w:tcPr>
                <w:p>
                  <w:pPr>
                    <w:jc w:val="center"/>
                    <w:rPr>
                      <w:b/>
                      <w:bCs/>
                      <w:szCs w:val="21"/>
                    </w:rPr>
                  </w:pPr>
                  <w:r>
                    <w:rPr>
                      <w:b/>
                      <w:bCs/>
                      <w:szCs w:val="21"/>
                    </w:rPr>
                    <w:t>仪器名称</w:t>
                  </w:r>
                </w:p>
              </w:tc>
              <w:tc>
                <w:tcPr>
                  <w:tcW w:w="1791" w:type="dxa"/>
                  <w:vAlign w:val="center"/>
                </w:tcPr>
                <w:p>
                  <w:pPr>
                    <w:jc w:val="center"/>
                    <w:rPr>
                      <w:b/>
                      <w:bCs/>
                      <w:szCs w:val="21"/>
                    </w:rPr>
                  </w:pPr>
                  <w:r>
                    <w:rPr>
                      <w:rFonts w:hint="eastAsia"/>
                      <w:b/>
                      <w:bCs/>
                      <w:szCs w:val="21"/>
                    </w:rPr>
                    <w:t>型号</w:t>
                  </w:r>
                </w:p>
              </w:tc>
              <w:tc>
                <w:tcPr>
                  <w:tcW w:w="1938" w:type="dxa"/>
                  <w:vAlign w:val="center"/>
                </w:tcPr>
                <w:p>
                  <w:pPr>
                    <w:rPr>
                      <w:b/>
                      <w:bCs/>
                      <w:szCs w:val="21"/>
                    </w:rPr>
                  </w:pPr>
                  <w:r>
                    <w:rPr>
                      <w:rFonts w:hint="eastAsia"/>
                      <w:b/>
                      <w:bCs/>
                      <w:szCs w:val="21"/>
                    </w:rPr>
                    <w:t>下次量值溯源时间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857" w:type="dxa"/>
                  <w:vAlign w:val="center"/>
                </w:tcPr>
                <w:p>
                  <w:pPr>
                    <w:jc w:val="center"/>
                    <w:rPr>
                      <w:szCs w:val="21"/>
                    </w:rPr>
                  </w:pPr>
                  <w:r>
                    <w:rPr>
                      <w:szCs w:val="21"/>
                    </w:rPr>
                    <w:t>1</w:t>
                  </w:r>
                </w:p>
              </w:tc>
              <w:tc>
                <w:tcPr>
                  <w:tcW w:w="1558" w:type="dxa"/>
                  <w:vAlign w:val="center"/>
                </w:tcPr>
                <w:p>
                  <w:pPr>
                    <w:widowControl/>
                    <w:snapToGrid w:val="0"/>
                    <w:ind w:left="10" w:leftChars="-31" w:right="-168" w:rightChars="-80" w:hanging="75" w:hangingChars="36"/>
                    <w:jc w:val="center"/>
                    <w:rPr>
                      <w:rFonts w:hint="default" w:eastAsia="宋体"/>
                      <w:kern w:val="0"/>
                      <w:szCs w:val="21"/>
                      <w:lang w:val="en-US" w:eastAsia="zh-CN"/>
                    </w:rPr>
                  </w:pPr>
                  <w:r>
                    <w:rPr>
                      <w:kern w:val="0"/>
                      <w:szCs w:val="21"/>
                    </w:rPr>
                    <w:t>YHK-</w:t>
                  </w:r>
                  <w:r>
                    <w:rPr>
                      <w:rFonts w:hint="eastAsia"/>
                      <w:kern w:val="0"/>
                      <w:szCs w:val="21"/>
                      <w:lang w:val="en-US" w:eastAsia="zh-CN"/>
                    </w:rPr>
                    <w:t>125</w:t>
                  </w:r>
                </w:p>
              </w:tc>
              <w:tc>
                <w:tcPr>
                  <w:tcW w:w="2271" w:type="dxa"/>
                  <w:vAlign w:val="center"/>
                </w:tcPr>
                <w:p>
                  <w:pPr>
                    <w:widowControl/>
                    <w:snapToGrid w:val="0"/>
                    <w:jc w:val="center"/>
                    <w:rPr>
                      <w:szCs w:val="21"/>
                    </w:rPr>
                  </w:pPr>
                  <w:r>
                    <w:rPr>
                      <w:rFonts w:hint="eastAsia"/>
                      <w:szCs w:val="21"/>
                    </w:rPr>
                    <w:t>笔试酸度计</w:t>
                  </w:r>
                </w:p>
              </w:tc>
              <w:tc>
                <w:tcPr>
                  <w:tcW w:w="1791" w:type="dxa"/>
                  <w:vAlign w:val="center"/>
                </w:tcPr>
                <w:p>
                  <w:pPr>
                    <w:widowControl/>
                    <w:snapToGrid w:val="0"/>
                    <w:ind w:left="12" w:leftChars="-37" w:right="-101" w:rightChars="-48" w:hanging="90" w:hangingChars="43"/>
                    <w:jc w:val="center"/>
                    <w:rPr>
                      <w:rFonts w:hint="default" w:eastAsia="宋体"/>
                      <w:szCs w:val="21"/>
                      <w:lang w:val="en-US" w:eastAsia="zh-CN"/>
                    </w:rPr>
                  </w:pPr>
                  <w:r>
                    <w:rPr>
                      <w:rFonts w:hint="eastAsia"/>
                      <w:szCs w:val="21"/>
                    </w:rPr>
                    <w:t>8682</w:t>
                  </w:r>
                </w:p>
              </w:tc>
              <w:tc>
                <w:tcPr>
                  <w:tcW w:w="1938" w:type="dxa"/>
                  <w:vAlign w:val="center"/>
                </w:tcPr>
                <w:p>
                  <w:pPr>
                    <w:jc w:val="center"/>
                    <w:rPr>
                      <w:szCs w:val="21"/>
                    </w:rPr>
                  </w:pPr>
                  <w:r>
                    <w:rPr>
                      <w:szCs w:val="21"/>
                    </w:rPr>
                    <w:t>2021.06.30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857" w:type="dxa"/>
                  <w:vAlign w:val="center"/>
                </w:tcPr>
                <w:p>
                  <w:pPr>
                    <w:jc w:val="center"/>
                    <w:rPr>
                      <w:szCs w:val="21"/>
                    </w:rPr>
                  </w:pPr>
                  <w:r>
                    <w:rPr>
                      <w:szCs w:val="21"/>
                    </w:rPr>
                    <w:t>2</w:t>
                  </w:r>
                </w:p>
              </w:tc>
              <w:tc>
                <w:tcPr>
                  <w:tcW w:w="1558" w:type="dxa"/>
                  <w:vAlign w:val="center"/>
                </w:tcPr>
                <w:p>
                  <w:pPr>
                    <w:widowControl/>
                    <w:snapToGrid w:val="0"/>
                    <w:ind w:left="10" w:leftChars="-31" w:right="-168" w:rightChars="-80" w:hanging="75" w:hangingChars="36"/>
                    <w:jc w:val="center"/>
                    <w:rPr>
                      <w:color w:val="FF0000"/>
                      <w:kern w:val="0"/>
                      <w:szCs w:val="21"/>
                    </w:rPr>
                  </w:pPr>
                  <w:r>
                    <w:rPr>
                      <w:kern w:val="0"/>
                      <w:szCs w:val="21"/>
                    </w:rPr>
                    <w:t>YHK-014</w:t>
                  </w:r>
                </w:p>
              </w:tc>
              <w:tc>
                <w:tcPr>
                  <w:tcW w:w="2271" w:type="dxa"/>
                  <w:vAlign w:val="center"/>
                </w:tcPr>
                <w:p>
                  <w:pPr>
                    <w:widowControl/>
                    <w:snapToGrid w:val="0"/>
                    <w:jc w:val="center"/>
                    <w:rPr>
                      <w:color w:val="FF0000"/>
                      <w:szCs w:val="21"/>
                    </w:rPr>
                  </w:pPr>
                  <w:r>
                    <w:rPr>
                      <w:szCs w:val="21"/>
                    </w:rPr>
                    <w:t>电子天平</w:t>
                  </w:r>
                </w:p>
              </w:tc>
              <w:tc>
                <w:tcPr>
                  <w:tcW w:w="1791" w:type="dxa"/>
                  <w:vAlign w:val="center"/>
                </w:tcPr>
                <w:p>
                  <w:pPr>
                    <w:widowControl/>
                    <w:snapToGrid w:val="0"/>
                    <w:ind w:left="12" w:leftChars="-37" w:right="-101" w:rightChars="-48" w:hanging="90" w:hangingChars="43"/>
                    <w:jc w:val="center"/>
                    <w:rPr>
                      <w:color w:val="FF0000"/>
                      <w:szCs w:val="21"/>
                    </w:rPr>
                  </w:pPr>
                  <w:r>
                    <w:rPr>
                      <w:szCs w:val="21"/>
                    </w:rPr>
                    <w:t>FA2004B</w:t>
                  </w:r>
                </w:p>
              </w:tc>
              <w:tc>
                <w:tcPr>
                  <w:tcW w:w="1938" w:type="dxa"/>
                  <w:vAlign w:val="center"/>
                </w:tcPr>
                <w:p>
                  <w:pPr>
                    <w:jc w:val="center"/>
                    <w:rPr>
                      <w:color w:val="FF0000"/>
                      <w:szCs w:val="21"/>
                    </w:rPr>
                  </w:pPr>
                  <w:r>
                    <w:rPr>
                      <w:szCs w:val="21"/>
                    </w:rPr>
                    <w:t>202</w:t>
                  </w:r>
                  <w:r>
                    <w:rPr>
                      <w:rFonts w:hint="eastAsia"/>
                      <w:szCs w:val="21"/>
                    </w:rPr>
                    <w:t>1.4.2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857" w:type="dxa"/>
                  <w:vAlign w:val="center"/>
                </w:tcPr>
                <w:p>
                  <w:pPr>
                    <w:jc w:val="center"/>
                    <w:rPr>
                      <w:szCs w:val="21"/>
                    </w:rPr>
                  </w:pPr>
                  <w:r>
                    <w:rPr>
                      <w:szCs w:val="21"/>
                    </w:rPr>
                    <w:t>3</w:t>
                  </w:r>
                </w:p>
              </w:tc>
              <w:tc>
                <w:tcPr>
                  <w:tcW w:w="1558" w:type="dxa"/>
                  <w:vAlign w:val="center"/>
                </w:tcPr>
                <w:p>
                  <w:pPr>
                    <w:widowControl/>
                    <w:snapToGrid w:val="0"/>
                    <w:ind w:left="10" w:leftChars="-31" w:right="-168" w:rightChars="-80" w:hanging="75" w:hangingChars="36"/>
                    <w:jc w:val="center"/>
                    <w:rPr>
                      <w:kern w:val="0"/>
                      <w:szCs w:val="21"/>
                    </w:rPr>
                  </w:pPr>
                  <w:r>
                    <w:rPr>
                      <w:kern w:val="0"/>
                      <w:szCs w:val="21"/>
                    </w:rPr>
                    <w:t>YHK-021</w:t>
                  </w:r>
                </w:p>
              </w:tc>
              <w:tc>
                <w:tcPr>
                  <w:tcW w:w="2271" w:type="dxa"/>
                  <w:vAlign w:val="center"/>
                </w:tcPr>
                <w:p>
                  <w:pPr>
                    <w:widowControl/>
                    <w:snapToGrid w:val="0"/>
                    <w:jc w:val="center"/>
                    <w:rPr>
                      <w:szCs w:val="21"/>
                    </w:rPr>
                  </w:pPr>
                  <w:r>
                    <w:rPr>
                      <w:szCs w:val="21"/>
                    </w:rPr>
                    <w:t>智能生化培养箱</w:t>
                  </w:r>
                </w:p>
              </w:tc>
              <w:tc>
                <w:tcPr>
                  <w:tcW w:w="1791" w:type="dxa"/>
                  <w:vAlign w:val="center"/>
                </w:tcPr>
                <w:p>
                  <w:pPr>
                    <w:widowControl/>
                    <w:snapToGrid w:val="0"/>
                    <w:ind w:left="12" w:leftChars="-37" w:right="-101" w:rightChars="-48" w:hanging="90" w:hangingChars="43"/>
                    <w:jc w:val="center"/>
                    <w:rPr>
                      <w:szCs w:val="21"/>
                    </w:rPr>
                  </w:pPr>
                  <w:r>
                    <w:rPr>
                      <w:szCs w:val="21"/>
                    </w:rPr>
                    <w:t>SHP-160</w:t>
                  </w:r>
                </w:p>
              </w:tc>
              <w:tc>
                <w:tcPr>
                  <w:tcW w:w="1938" w:type="dxa"/>
                  <w:vAlign w:val="center"/>
                </w:tcPr>
                <w:p>
                  <w:pPr>
                    <w:jc w:val="center"/>
                    <w:rPr>
                      <w:szCs w:val="21"/>
                    </w:rPr>
                  </w:pPr>
                  <w:r>
                    <w:rPr>
                      <w:szCs w:val="21"/>
                    </w:rPr>
                    <w:t>2021.5.13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857" w:type="dxa"/>
                  <w:vAlign w:val="center"/>
                </w:tcPr>
                <w:p>
                  <w:pPr>
                    <w:jc w:val="center"/>
                    <w:rPr>
                      <w:szCs w:val="21"/>
                    </w:rPr>
                  </w:pPr>
                  <w:r>
                    <w:rPr>
                      <w:szCs w:val="21"/>
                    </w:rPr>
                    <w:t>4</w:t>
                  </w:r>
                </w:p>
              </w:tc>
              <w:tc>
                <w:tcPr>
                  <w:tcW w:w="1558" w:type="dxa"/>
                  <w:vAlign w:val="center"/>
                </w:tcPr>
                <w:p>
                  <w:pPr>
                    <w:widowControl/>
                    <w:snapToGrid w:val="0"/>
                    <w:ind w:left="10" w:leftChars="-31" w:right="-168" w:rightChars="-80" w:hanging="75" w:hangingChars="36"/>
                    <w:jc w:val="center"/>
                    <w:rPr>
                      <w:kern w:val="0"/>
                      <w:szCs w:val="21"/>
                    </w:rPr>
                  </w:pPr>
                  <w:r>
                    <w:rPr>
                      <w:rFonts w:hint="eastAsia" w:hAnsi="宋体"/>
                      <w:color w:val="000000"/>
                      <w:kern w:val="0"/>
                      <w:szCs w:val="21"/>
                    </w:rPr>
                    <w:t>YHK-165</w:t>
                  </w:r>
                </w:p>
              </w:tc>
              <w:tc>
                <w:tcPr>
                  <w:tcW w:w="2271" w:type="dxa"/>
                  <w:vAlign w:val="center"/>
                </w:tcPr>
                <w:p>
                  <w:pPr>
                    <w:widowControl/>
                    <w:snapToGrid w:val="0"/>
                    <w:jc w:val="center"/>
                    <w:rPr>
                      <w:kern w:val="0"/>
                      <w:szCs w:val="21"/>
                    </w:rPr>
                  </w:pPr>
                  <w:r>
                    <w:rPr>
                      <w:rFonts w:hint="eastAsia" w:hAnsi="宋体"/>
                      <w:kern w:val="0"/>
                      <w:szCs w:val="21"/>
                    </w:rPr>
                    <w:t>紫外可见分光光度计</w:t>
                  </w:r>
                </w:p>
              </w:tc>
              <w:tc>
                <w:tcPr>
                  <w:tcW w:w="1791" w:type="dxa"/>
                  <w:vAlign w:val="center"/>
                </w:tcPr>
                <w:p>
                  <w:pPr>
                    <w:widowControl/>
                    <w:snapToGrid w:val="0"/>
                    <w:ind w:left="19" w:leftChars="-51" w:right="-107" w:rightChars="-51" w:hanging="126" w:hangingChars="60"/>
                    <w:jc w:val="center"/>
                    <w:rPr>
                      <w:szCs w:val="21"/>
                    </w:rPr>
                  </w:pPr>
                  <w:r>
                    <w:rPr>
                      <w:rFonts w:hint="eastAsia"/>
                      <w:kern w:val="0"/>
                      <w:szCs w:val="21"/>
                    </w:rPr>
                    <w:t>UV-5100</w:t>
                  </w:r>
                </w:p>
              </w:tc>
              <w:tc>
                <w:tcPr>
                  <w:tcW w:w="1938" w:type="dxa"/>
                  <w:vAlign w:val="center"/>
                </w:tcPr>
                <w:p>
                  <w:pPr>
                    <w:jc w:val="center"/>
                    <w:rPr>
                      <w:szCs w:val="21"/>
                    </w:rPr>
                  </w:pPr>
                  <w:r>
                    <w:rPr>
                      <w:szCs w:val="21"/>
                    </w:rPr>
                    <w:t>2021.3.29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857" w:type="dxa"/>
                  <w:vAlign w:val="center"/>
                </w:tcPr>
                <w:p>
                  <w:pPr>
                    <w:jc w:val="center"/>
                    <w:rPr>
                      <w:szCs w:val="21"/>
                    </w:rPr>
                  </w:pPr>
                  <w:r>
                    <w:rPr>
                      <w:szCs w:val="21"/>
                    </w:rPr>
                    <w:t>5</w:t>
                  </w:r>
                </w:p>
              </w:tc>
              <w:tc>
                <w:tcPr>
                  <w:tcW w:w="1558" w:type="dxa"/>
                  <w:vAlign w:val="center"/>
                </w:tcPr>
                <w:p>
                  <w:pPr>
                    <w:widowControl/>
                    <w:snapToGrid w:val="0"/>
                    <w:ind w:left="10" w:leftChars="-31" w:right="-168" w:rightChars="-80" w:hanging="75" w:hangingChars="36"/>
                    <w:jc w:val="center"/>
                    <w:rPr>
                      <w:kern w:val="0"/>
                      <w:szCs w:val="21"/>
                    </w:rPr>
                  </w:pPr>
                  <w:r>
                    <w:rPr>
                      <w:kern w:val="0"/>
                      <w:szCs w:val="21"/>
                    </w:rPr>
                    <w:t>YHK-029</w:t>
                  </w:r>
                </w:p>
              </w:tc>
              <w:tc>
                <w:tcPr>
                  <w:tcW w:w="2271" w:type="dxa"/>
                  <w:vAlign w:val="center"/>
                </w:tcPr>
                <w:p>
                  <w:pPr>
                    <w:widowControl/>
                    <w:snapToGrid w:val="0"/>
                    <w:jc w:val="center"/>
                    <w:rPr>
                      <w:szCs w:val="21"/>
                    </w:rPr>
                  </w:pPr>
                  <w:r>
                    <w:rPr>
                      <w:szCs w:val="21"/>
                    </w:rPr>
                    <w:t>红外测油仪</w:t>
                  </w:r>
                </w:p>
              </w:tc>
              <w:tc>
                <w:tcPr>
                  <w:tcW w:w="1791" w:type="dxa"/>
                  <w:vAlign w:val="center"/>
                </w:tcPr>
                <w:p>
                  <w:pPr>
                    <w:widowControl/>
                    <w:snapToGrid w:val="0"/>
                    <w:ind w:left="12" w:leftChars="-37" w:right="-101" w:rightChars="-48" w:hanging="90" w:hangingChars="43"/>
                    <w:jc w:val="center"/>
                    <w:rPr>
                      <w:szCs w:val="21"/>
                    </w:rPr>
                  </w:pPr>
                  <w:r>
                    <w:rPr>
                      <w:szCs w:val="21"/>
                    </w:rPr>
                    <w:t>OIL-6</w:t>
                  </w:r>
                </w:p>
              </w:tc>
              <w:tc>
                <w:tcPr>
                  <w:tcW w:w="1938" w:type="dxa"/>
                  <w:vAlign w:val="center"/>
                </w:tcPr>
                <w:p>
                  <w:pPr>
                    <w:jc w:val="center"/>
                    <w:rPr>
                      <w:szCs w:val="21"/>
                    </w:rPr>
                  </w:pPr>
                  <w:r>
                    <w:rPr>
                      <w:szCs w:val="21"/>
                    </w:rPr>
                    <w:t>2021.4.1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857" w:type="dxa"/>
                  <w:vAlign w:val="center"/>
                </w:tcPr>
                <w:p>
                  <w:pPr>
                    <w:jc w:val="center"/>
                    <w:rPr>
                      <w:szCs w:val="21"/>
                    </w:rPr>
                  </w:pPr>
                  <w:r>
                    <w:rPr>
                      <w:szCs w:val="21"/>
                    </w:rPr>
                    <w:t>6</w:t>
                  </w:r>
                </w:p>
              </w:tc>
              <w:tc>
                <w:tcPr>
                  <w:tcW w:w="1558" w:type="dxa"/>
                  <w:vAlign w:val="center"/>
                </w:tcPr>
                <w:p>
                  <w:pPr>
                    <w:widowControl/>
                    <w:snapToGrid w:val="0"/>
                    <w:ind w:left="10" w:leftChars="-31" w:right="-168" w:rightChars="-80" w:hanging="75" w:hangingChars="36"/>
                    <w:jc w:val="center"/>
                    <w:rPr>
                      <w:kern w:val="0"/>
                      <w:szCs w:val="21"/>
                    </w:rPr>
                  </w:pPr>
                  <w:r>
                    <w:rPr>
                      <w:kern w:val="0"/>
                      <w:szCs w:val="21"/>
                    </w:rPr>
                    <w:t>YHK-066</w:t>
                  </w:r>
                </w:p>
              </w:tc>
              <w:tc>
                <w:tcPr>
                  <w:tcW w:w="2271" w:type="dxa"/>
                  <w:vAlign w:val="center"/>
                </w:tcPr>
                <w:p>
                  <w:pPr>
                    <w:widowControl/>
                    <w:jc w:val="center"/>
                    <w:rPr>
                      <w:rStyle w:val="29"/>
                      <w:i w:val="0"/>
                      <w:iCs w:val="0"/>
                      <w:kern w:val="0"/>
                      <w:szCs w:val="21"/>
                    </w:rPr>
                  </w:pPr>
                  <w:r>
                    <w:rPr>
                      <w:rStyle w:val="29"/>
                      <w:rFonts w:hAnsi="宋体"/>
                      <w:i w:val="0"/>
                      <w:iCs w:val="0"/>
                      <w:kern w:val="0"/>
                      <w:szCs w:val="21"/>
                    </w:rPr>
                    <w:t>气相色谱仪</w:t>
                  </w:r>
                </w:p>
              </w:tc>
              <w:tc>
                <w:tcPr>
                  <w:tcW w:w="1791" w:type="dxa"/>
                  <w:vAlign w:val="center"/>
                </w:tcPr>
                <w:p>
                  <w:pPr>
                    <w:widowControl/>
                    <w:jc w:val="center"/>
                    <w:rPr>
                      <w:rStyle w:val="29"/>
                      <w:i w:val="0"/>
                      <w:iCs w:val="0"/>
                      <w:kern w:val="0"/>
                      <w:szCs w:val="21"/>
                    </w:rPr>
                  </w:pPr>
                  <w:r>
                    <w:rPr>
                      <w:rStyle w:val="29"/>
                      <w:i w:val="0"/>
                      <w:iCs w:val="0"/>
                      <w:kern w:val="0"/>
                      <w:szCs w:val="21"/>
                    </w:rPr>
                    <w:t>GC1120</w:t>
                  </w:r>
                </w:p>
              </w:tc>
              <w:tc>
                <w:tcPr>
                  <w:tcW w:w="1938" w:type="dxa"/>
                  <w:vAlign w:val="center"/>
                </w:tcPr>
                <w:p>
                  <w:pPr>
                    <w:jc w:val="center"/>
                    <w:rPr>
                      <w:szCs w:val="21"/>
                    </w:rPr>
                  </w:pPr>
                  <w:r>
                    <w:rPr>
                      <w:szCs w:val="21"/>
                    </w:rPr>
                    <w:t>2022.4.1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857" w:type="dxa"/>
                  <w:vAlign w:val="center"/>
                </w:tcPr>
                <w:p>
                  <w:pPr>
                    <w:jc w:val="center"/>
                    <w:rPr>
                      <w:szCs w:val="21"/>
                    </w:rPr>
                  </w:pPr>
                  <w:r>
                    <w:rPr>
                      <w:rFonts w:hint="eastAsia"/>
                      <w:szCs w:val="21"/>
                    </w:rPr>
                    <w:t>7</w:t>
                  </w:r>
                </w:p>
              </w:tc>
              <w:tc>
                <w:tcPr>
                  <w:tcW w:w="1558" w:type="dxa"/>
                  <w:vAlign w:val="center"/>
                </w:tcPr>
                <w:p>
                  <w:pPr>
                    <w:widowControl/>
                    <w:snapToGrid w:val="0"/>
                    <w:ind w:left="10" w:leftChars="-31" w:right="-168" w:rightChars="-80" w:hanging="75" w:hangingChars="36"/>
                    <w:jc w:val="center"/>
                    <w:rPr>
                      <w:rFonts w:hint="eastAsia" w:eastAsia="宋体"/>
                      <w:kern w:val="0"/>
                      <w:szCs w:val="21"/>
                      <w:lang w:eastAsia="zh-CN"/>
                    </w:rPr>
                  </w:pPr>
                  <w:r>
                    <w:rPr>
                      <w:kern w:val="0"/>
                      <w:szCs w:val="21"/>
                    </w:rPr>
                    <w:t>YHK-03</w:t>
                  </w:r>
                  <w:r>
                    <w:rPr>
                      <w:rFonts w:hint="eastAsia"/>
                      <w:kern w:val="0"/>
                      <w:szCs w:val="21"/>
                      <w:lang w:val="en-US" w:eastAsia="zh-CN"/>
                    </w:rPr>
                    <w:t>8</w:t>
                  </w:r>
                </w:p>
              </w:tc>
              <w:tc>
                <w:tcPr>
                  <w:tcW w:w="2271" w:type="dxa"/>
                  <w:vAlign w:val="center"/>
                </w:tcPr>
                <w:p>
                  <w:pPr>
                    <w:widowControl/>
                    <w:snapToGrid w:val="0"/>
                    <w:jc w:val="center"/>
                    <w:rPr>
                      <w:szCs w:val="21"/>
                    </w:rPr>
                  </w:pPr>
                  <w:r>
                    <w:rPr>
                      <w:kern w:val="0"/>
                      <w:szCs w:val="21"/>
                    </w:rPr>
                    <w:t>多功能噪声仪</w:t>
                  </w:r>
                </w:p>
              </w:tc>
              <w:tc>
                <w:tcPr>
                  <w:tcW w:w="1791" w:type="dxa"/>
                  <w:vAlign w:val="center"/>
                </w:tcPr>
                <w:p>
                  <w:pPr>
                    <w:widowControl/>
                    <w:snapToGrid w:val="0"/>
                    <w:ind w:left="19" w:leftChars="-51" w:right="-57" w:rightChars="-27" w:hanging="126" w:hangingChars="60"/>
                    <w:jc w:val="center"/>
                    <w:rPr>
                      <w:szCs w:val="21"/>
                    </w:rPr>
                  </w:pPr>
                  <w:r>
                    <w:rPr>
                      <w:kern w:val="0"/>
                      <w:szCs w:val="21"/>
                    </w:rPr>
                    <w:t>HS6288E</w:t>
                  </w:r>
                </w:p>
              </w:tc>
              <w:tc>
                <w:tcPr>
                  <w:tcW w:w="1938" w:type="dxa"/>
                  <w:vAlign w:val="center"/>
                </w:tcPr>
                <w:p>
                  <w:pPr>
                    <w:jc w:val="center"/>
                    <w:rPr>
                      <w:szCs w:val="21"/>
                    </w:rPr>
                  </w:pPr>
                  <w:r>
                    <w:rPr>
                      <w:szCs w:val="21"/>
                    </w:rPr>
                    <w:t>2021.5.13</w:t>
                  </w:r>
                </w:p>
              </w:tc>
            </w:tr>
          </w:tbl>
          <w:p>
            <w:pPr>
              <w:spacing w:line="360" w:lineRule="auto"/>
              <w:ind w:firstLine="482" w:firstLineChars="200"/>
              <w:rPr>
                <w:rFonts w:cs="宋体"/>
                <w:b/>
                <w:bCs/>
                <w:sz w:val="24"/>
              </w:rPr>
            </w:pPr>
            <w:r>
              <w:rPr>
                <w:rFonts w:hint="eastAsia"/>
                <w:b/>
                <w:bCs/>
                <w:sz w:val="24"/>
              </w:rPr>
              <w:t>三、人员资质</w:t>
            </w:r>
          </w:p>
          <w:p>
            <w:pPr>
              <w:spacing w:line="360" w:lineRule="auto"/>
              <w:ind w:firstLine="480" w:firstLineChars="200"/>
              <w:rPr>
                <w:rFonts w:cs="宋体"/>
                <w:sz w:val="24"/>
              </w:rPr>
            </w:pPr>
            <w:r>
              <w:rPr>
                <w:rFonts w:hint="eastAsia" w:cs="宋体"/>
                <w:sz w:val="24"/>
              </w:rPr>
              <w:t>本项目验收监测工作由江西省粤环科检测技术有限公司承担，本公司已通过检验检测机构资质认定。现场由项目负责人带队进行采样监测，样品分析由实验室分析室专职人员进行检测，所有分析人员及现场采样人员均持证上岗。</w:t>
            </w:r>
          </w:p>
          <w:p>
            <w:pPr>
              <w:spacing w:line="360" w:lineRule="auto"/>
              <w:ind w:firstLine="482" w:firstLineChars="200"/>
              <w:rPr>
                <w:b/>
                <w:color w:val="000000"/>
                <w:sz w:val="24"/>
              </w:rPr>
            </w:pPr>
            <w:r>
              <w:rPr>
                <w:rFonts w:hint="eastAsia"/>
                <w:b/>
                <w:color w:val="000000"/>
                <w:sz w:val="24"/>
              </w:rPr>
              <w:t>四、</w:t>
            </w:r>
            <w:r>
              <w:rPr>
                <w:rFonts w:hint="eastAsia"/>
                <w:b/>
                <w:bCs/>
                <w:color w:val="000000"/>
                <w:sz w:val="24"/>
              </w:rPr>
              <w:t>水质</w:t>
            </w:r>
            <w:r>
              <w:rPr>
                <w:b/>
                <w:bCs/>
                <w:color w:val="000000"/>
                <w:sz w:val="24"/>
              </w:rPr>
              <w:t>监测分析过程中的质量保证和质量控制</w:t>
            </w:r>
          </w:p>
          <w:p>
            <w:pPr>
              <w:spacing w:line="360" w:lineRule="auto"/>
              <w:ind w:firstLine="480" w:firstLineChars="200"/>
              <w:rPr>
                <w:bCs/>
                <w:color w:val="000000"/>
                <w:sz w:val="24"/>
              </w:rPr>
            </w:pPr>
            <w:r>
              <w:rPr>
                <w:rFonts w:hint="eastAsia"/>
                <w:bCs/>
                <w:color w:val="000000"/>
                <w:sz w:val="24"/>
              </w:rPr>
              <w:t>（1）采样</w:t>
            </w:r>
          </w:p>
          <w:p>
            <w:pPr>
              <w:spacing w:line="360" w:lineRule="auto"/>
              <w:ind w:firstLine="480" w:firstLineChars="200"/>
              <w:rPr>
                <w:bCs/>
                <w:color w:val="000000"/>
                <w:sz w:val="24"/>
              </w:rPr>
            </w:pPr>
            <w:r>
              <w:rPr>
                <w:rFonts w:hint="eastAsia"/>
                <w:bCs/>
                <w:color w:val="000000"/>
                <w:sz w:val="24"/>
              </w:rPr>
              <w:t>采样点位选取考虑了合适性和代表性，采样严格按技术规范要求进行。水质采样现场采集10%密码样。</w:t>
            </w:r>
          </w:p>
          <w:p>
            <w:pPr>
              <w:spacing w:line="360" w:lineRule="auto"/>
              <w:ind w:firstLine="480" w:firstLineChars="200"/>
              <w:rPr>
                <w:bCs/>
                <w:color w:val="000000"/>
                <w:sz w:val="24"/>
              </w:rPr>
            </w:pPr>
            <w:r>
              <w:rPr>
                <w:rFonts w:hint="eastAsia"/>
                <w:bCs/>
                <w:color w:val="000000"/>
                <w:sz w:val="24"/>
              </w:rPr>
              <w:t>（2）样品</w:t>
            </w:r>
            <w:r>
              <w:rPr>
                <w:bCs/>
                <w:color w:val="000000"/>
                <w:sz w:val="24"/>
              </w:rPr>
              <w:t>的保存及运输</w:t>
            </w:r>
          </w:p>
          <w:p>
            <w:pPr>
              <w:spacing w:line="360" w:lineRule="auto"/>
              <w:ind w:firstLine="480" w:firstLineChars="200"/>
              <w:rPr>
                <w:bCs/>
                <w:color w:val="000000"/>
                <w:sz w:val="24"/>
              </w:rPr>
            </w:pPr>
            <w:r>
              <w:rPr>
                <w:rFonts w:hint="eastAsia"/>
                <w:bCs/>
                <w:color w:val="000000"/>
                <w:sz w:val="24"/>
              </w:rPr>
              <w:t>按《水质样品的保存和管理技术规定》（HJ</w:t>
            </w:r>
            <w:r>
              <w:rPr>
                <w:bCs/>
                <w:color w:val="000000"/>
                <w:sz w:val="24"/>
              </w:rPr>
              <w:t>493-2009</w:t>
            </w:r>
            <w:r>
              <w:rPr>
                <w:rFonts w:hint="eastAsia"/>
                <w:bCs/>
                <w:color w:val="000000"/>
                <w:sz w:val="24"/>
              </w:rPr>
              <w:t>）中的要求添加保存剂保存并及时运送至实验室。所有样品均在保质期内完成分析测试工作。</w:t>
            </w:r>
          </w:p>
          <w:p>
            <w:pPr>
              <w:spacing w:line="360" w:lineRule="auto"/>
              <w:ind w:firstLine="480" w:firstLineChars="200"/>
              <w:rPr>
                <w:bCs/>
                <w:color w:val="000000"/>
                <w:sz w:val="24"/>
              </w:rPr>
            </w:pPr>
            <w:r>
              <w:rPr>
                <w:rFonts w:hint="eastAsia"/>
                <w:bCs/>
                <w:color w:val="000000"/>
                <w:sz w:val="24"/>
              </w:rPr>
              <w:t>（3）实验室</w:t>
            </w:r>
            <w:r>
              <w:rPr>
                <w:bCs/>
                <w:color w:val="000000"/>
                <w:sz w:val="24"/>
              </w:rPr>
              <w:t>分析</w:t>
            </w:r>
          </w:p>
          <w:p>
            <w:pPr>
              <w:spacing w:line="360" w:lineRule="auto"/>
              <w:ind w:firstLine="480" w:firstLineChars="200"/>
              <w:rPr>
                <w:bCs/>
                <w:color w:val="000000"/>
                <w:sz w:val="24"/>
              </w:rPr>
            </w:pPr>
            <w:r>
              <w:rPr>
                <w:rFonts w:hint="eastAsia"/>
                <w:bCs/>
                <w:color w:val="000000"/>
                <w:sz w:val="24"/>
              </w:rPr>
              <w:t>保证</w:t>
            </w:r>
            <w:r>
              <w:rPr>
                <w:bCs/>
                <w:color w:val="000000"/>
                <w:sz w:val="24"/>
              </w:rPr>
              <w:t>实验室条件，实验室用水、试剂盒器皿的使用均符合要求。</w:t>
            </w:r>
            <w:r>
              <w:rPr>
                <w:rFonts w:hint="eastAsia"/>
                <w:bCs/>
                <w:color w:val="000000"/>
                <w:sz w:val="24"/>
              </w:rPr>
              <w:t>有证环境标准样品的带有证环境标准样品进行分析。在一批试样中，随机抽取10％～20％试样进行加标回收测定。</w:t>
            </w:r>
          </w:p>
          <w:p>
            <w:pPr>
              <w:spacing w:line="360" w:lineRule="auto"/>
              <w:ind w:firstLine="480" w:firstLineChars="200"/>
              <w:rPr>
                <w:bCs/>
                <w:color w:val="000000"/>
                <w:sz w:val="24"/>
              </w:rPr>
            </w:pPr>
            <w:r>
              <w:rPr>
                <w:rFonts w:hint="eastAsia"/>
                <w:bCs/>
                <w:color w:val="000000"/>
                <w:sz w:val="24"/>
              </w:rPr>
              <w:t>（4）数据审核</w:t>
            </w:r>
          </w:p>
          <w:p>
            <w:pPr>
              <w:spacing w:line="360" w:lineRule="auto"/>
              <w:ind w:firstLine="480" w:firstLineChars="200"/>
            </w:pPr>
            <w:r>
              <w:rPr>
                <w:rFonts w:hint="eastAsia"/>
                <w:bCs/>
                <w:color w:val="000000"/>
                <w:sz w:val="24"/>
              </w:rPr>
              <w:t>采样记录、分析结果、监测方案及报告严格执行三级审核制度。本项目</w:t>
            </w:r>
            <w:r>
              <w:rPr>
                <w:bCs/>
                <w:color w:val="000000"/>
                <w:sz w:val="24"/>
              </w:rPr>
              <w:t>废水分析质量控制结果见表</w:t>
            </w:r>
            <w:r>
              <w:rPr>
                <w:rFonts w:hint="eastAsia"/>
                <w:bCs/>
                <w:color w:val="000000"/>
                <w:sz w:val="24"/>
              </w:rPr>
              <w:t>5-5。</w:t>
            </w:r>
          </w:p>
          <w:p>
            <w:pPr>
              <w:spacing w:line="360" w:lineRule="auto"/>
              <w:jc w:val="center"/>
              <w:rPr>
                <w:rFonts w:cs="宋体"/>
                <w:b/>
                <w:bCs/>
                <w:color w:val="000000"/>
                <w:szCs w:val="21"/>
                <w:highlight w:val="none"/>
              </w:rPr>
            </w:pPr>
            <w:r>
              <w:rPr>
                <w:rFonts w:cs="宋体"/>
                <w:b/>
                <w:bCs/>
                <w:color w:val="000000"/>
                <w:szCs w:val="21"/>
                <w:highlight w:val="none"/>
              </w:rPr>
              <w:t>表</w:t>
            </w:r>
            <w:r>
              <w:rPr>
                <w:rFonts w:hint="eastAsia" w:cs="宋体"/>
                <w:b/>
                <w:bCs/>
                <w:color w:val="000000"/>
                <w:szCs w:val="21"/>
                <w:highlight w:val="none"/>
              </w:rPr>
              <w:t>5-5</w:t>
            </w:r>
            <w:r>
              <w:rPr>
                <w:rFonts w:cs="宋体"/>
                <w:b/>
                <w:bCs/>
                <w:color w:val="000000"/>
                <w:szCs w:val="21"/>
                <w:highlight w:val="none"/>
              </w:rPr>
              <w:t xml:space="preserve">  </w:t>
            </w:r>
            <w:r>
              <w:rPr>
                <w:rFonts w:hint="eastAsia" w:cs="宋体"/>
                <w:b/>
                <w:bCs/>
                <w:color w:val="000000"/>
                <w:szCs w:val="21"/>
                <w:highlight w:val="none"/>
              </w:rPr>
              <w:t>水质</w:t>
            </w:r>
            <w:r>
              <w:rPr>
                <w:rFonts w:cs="宋体"/>
                <w:b/>
                <w:bCs/>
                <w:color w:val="000000"/>
                <w:szCs w:val="21"/>
                <w:highlight w:val="none"/>
              </w:rPr>
              <w:t>质控样品测定结果</w:t>
            </w:r>
          </w:p>
          <w:tbl>
            <w:tblPr>
              <w:tblStyle w:val="24"/>
              <w:tblW w:w="851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83"/>
              <w:gridCol w:w="1985"/>
              <w:gridCol w:w="1857"/>
              <w:gridCol w:w="1828"/>
              <w:gridCol w:w="106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83" w:type="dxa"/>
                  <w:vAlign w:val="center"/>
                </w:tcPr>
                <w:p>
                  <w:pPr>
                    <w:jc w:val="center"/>
                    <w:rPr>
                      <w:rFonts w:cs="宋体"/>
                      <w:b/>
                      <w:bCs/>
                      <w:color w:val="000000"/>
                      <w:szCs w:val="21"/>
                      <w:highlight w:val="none"/>
                    </w:rPr>
                  </w:pPr>
                  <w:r>
                    <w:rPr>
                      <w:rFonts w:cs="宋体"/>
                      <w:b/>
                      <w:bCs/>
                      <w:color w:val="000000"/>
                      <w:szCs w:val="21"/>
                      <w:highlight w:val="none"/>
                    </w:rPr>
                    <w:t>项目名称</w:t>
                  </w:r>
                </w:p>
              </w:tc>
              <w:tc>
                <w:tcPr>
                  <w:tcW w:w="1985" w:type="dxa"/>
                  <w:vAlign w:val="center"/>
                </w:tcPr>
                <w:p>
                  <w:pPr>
                    <w:jc w:val="center"/>
                    <w:rPr>
                      <w:rFonts w:cs="宋体"/>
                      <w:b/>
                      <w:bCs/>
                      <w:color w:val="000000"/>
                      <w:szCs w:val="21"/>
                      <w:highlight w:val="none"/>
                    </w:rPr>
                  </w:pPr>
                  <w:r>
                    <w:rPr>
                      <w:rFonts w:cs="宋体"/>
                      <w:b/>
                      <w:bCs/>
                      <w:color w:val="000000"/>
                      <w:szCs w:val="21"/>
                      <w:highlight w:val="none"/>
                    </w:rPr>
                    <w:t>质控样编号</w:t>
                  </w:r>
                </w:p>
              </w:tc>
              <w:tc>
                <w:tcPr>
                  <w:tcW w:w="1857" w:type="dxa"/>
                  <w:vAlign w:val="center"/>
                </w:tcPr>
                <w:p>
                  <w:pPr>
                    <w:jc w:val="center"/>
                    <w:rPr>
                      <w:rFonts w:cs="宋体"/>
                      <w:b/>
                      <w:bCs/>
                      <w:color w:val="000000"/>
                      <w:szCs w:val="21"/>
                      <w:highlight w:val="none"/>
                    </w:rPr>
                  </w:pPr>
                  <w:r>
                    <w:rPr>
                      <w:rFonts w:cs="宋体"/>
                      <w:b/>
                      <w:bCs/>
                      <w:color w:val="000000"/>
                      <w:szCs w:val="21"/>
                      <w:highlight w:val="none"/>
                    </w:rPr>
                    <w:t>质控样测定值</w:t>
                  </w:r>
                </w:p>
              </w:tc>
              <w:tc>
                <w:tcPr>
                  <w:tcW w:w="1828" w:type="dxa"/>
                  <w:vAlign w:val="center"/>
                </w:tcPr>
                <w:p>
                  <w:pPr>
                    <w:jc w:val="center"/>
                    <w:rPr>
                      <w:rFonts w:cs="宋体"/>
                      <w:b/>
                      <w:bCs/>
                      <w:color w:val="000000"/>
                      <w:szCs w:val="21"/>
                      <w:highlight w:val="none"/>
                    </w:rPr>
                  </w:pPr>
                  <w:r>
                    <w:rPr>
                      <w:rFonts w:cs="宋体"/>
                      <w:b/>
                      <w:bCs/>
                      <w:color w:val="000000"/>
                      <w:szCs w:val="21"/>
                      <w:highlight w:val="none"/>
                    </w:rPr>
                    <w:t>质控样保证值</w:t>
                  </w:r>
                </w:p>
              </w:tc>
              <w:tc>
                <w:tcPr>
                  <w:tcW w:w="1064" w:type="dxa"/>
                  <w:vAlign w:val="center"/>
                </w:tcPr>
                <w:p>
                  <w:pPr>
                    <w:jc w:val="center"/>
                    <w:rPr>
                      <w:rFonts w:cs="宋体"/>
                      <w:b/>
                      <w:bCs/>
                      <w:color w:val="000000"/>
                      <w:szCs w:val="21"/>
                      <w:highlight w:val="none"/>
                    </w:rPr>
                  </w:pPr>
                  <w:r>
                    <w:rPr>
                      <w:rFonts w:cs="宋体"/>
                      <w:b/>
                      <w:bCs/>
                      <w:color w:val="000000"/>
                      <w:szCs w:val="21"/>
                      <w:highlight w:val="none"/>
                    </w:rPr>
                    <w:t>评价结果</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83" w:type="dxa"/>
                  <w:vAlign w:val="center"/>
                </w:tcPr>
                <w:p>
                  <w:pPr>
                    <w:jc w:val="center"/>
                    <w:rPr>
                      <w:rFonts w:cs="宋体"/>
                      <w:color w:val="000000"/>
                      <w:szCs w:val="21"/>
                      <w:highlight w:val="none"/>
                    </w:rPr>
                  </w:pPr>
                  <w:r>
                    <w:rPr>
                      <w:rFonts w:hint="eastAsia" w:cs="宋体"/>
                      <w:color w:val="000000"/>
                      <w:szCs w:val="21"/>
                      <w:highlight w:val="none"/>
                    </w:rPr>
                    <w:t>COD</w:t>
                  </w:r>
                </w:p>
              </w:tc>
              <w:tc>
                <w:tcPr>
                  <w:tcW w:w="1985" w:type="dxa"/>
                  <w:vAlign w:val="center"/>
                </w:tcPr>
                <w:p>
                  <w:pPr>
                    <w:jc w:val="center"/>
                    <w:rPr>
                      <w:rFonts w:hint="default" w:eastAsia="宋体" w:cs="宋体"/>
                      <w:color w:val="000000"/>
                      <w:szCs w:val="21"/>
                      <w:highlight w:val="none"/>
                      <w:lang w:val="en-US" w:eastAsia="zh-CN"/>
                    </w:rPr>
                  </w:pPr>
                  <w:r>
                    <w:rPr>
                      <w:rFonts w:hint="eastAsia" w:cs="宋体"/>
                      <w:color w:val="000000"/>
                      <w:szCs w:val="21"/>
                      <w:highlight w:val="none"/>
                      <w:lang w:val="en-US" w:eastAsia="zh-CN"/>
                    </w:rPr>
                    <w:t>2001126-1</w:t>
                  </w:r>
                </w:p>
              </w:tc>
              <w:tc>
                <w:tcPr>
                  <w:tcW w:w="1857" w:type="dxa"/>
                  <w:vAlign w:val="center"/>
                </w:tcPr>
                <w:p>
                  <w:pPr>
                    <w:jc w:val="center"/>
                    <w:rPr>
                      <w:rFonts w:cs="宋体"/>
                      <w:color w:val="000000"/>
                      <w:szCs w:val="21"/>
                      <w:highlight w:val="none"/>
                    </w:rPr>
                  </w:pPr>
                  <w:r>
                    <w:rPr>
                      <w:rFonts w:hint="eastAsia" w:cs="宋体"/>
                      <w:color w:val="000000"/>
                      <w:szCs w:val="21"/>
                      <w:highlight w:val="none"/>
                      <w:lang w:val="en-US" w:eastAsia="zh-CN"/>
                    </w:rPr>
                    <w:t>28.7</w:t>
                  </w:r>
                  <w:r>
                    <w:rPr>
                      <w:rFonts w:hint="eastAsia" w:cs="宋体"/>
                      <w:color w:val="000000"/>
                      <w:szCs w:val="21"/>
                      <w:highlight w:val="none"/>
                    </w:rPr>
                    <w:t>/</w:t>
                  </w:r>
                  <w:r>
                    <w:rPr>
                      <w:rFonts w:hint="eastAsia" w:cs="宋体"/>
                      <w:color w:val="000000"/>
                      <w:szCs w:val="21"/>
                      <w:highlight w:val="none"/>
                      <w:lang w:val="en-US" w:eastAsia="zh-CN"/>
                    </w:rPr>
                    <w:t>29.5</w:t>
                  </w:r>
                  <w:r>
                    <w:rPr>
                      <w:rFonts w:hint="eastAsia" w:cs="宋体"/>
                      <w:color w:val="000000"/>
                      <w:szCs w:val="21"/>
                      <w:highlight w:val="none"/>
                    </w:rPr>
                    <w:t>mg/L</w:t>
                  </w:r>
                </w:p>
              </w:tc>
              <w:tc>
                <w:tcPr>
                  <w:tcW w:w="1828" w:type="dxa"/>
                  <w:vAlign w:val="center"/>
                </w:tcPr>
                <w:p>
                  <w:pPr>
                    <w:jc w:val="center"/>
                    <w:rPr>
                      <w:rFonts w:cs="宋体"/>
                      <w:color w:val="000000"/>
                      <w:szCs w:val="21"/>
                      <w:highlight w:val="none"/>
                    </w:rPr>
                  </w:pPr>
                  <w:r>
                    <w:rPr>
                      <w:rFonts w:hint="eastAsia" w:cs="宋体"/>
                      <w:color w:val="000000"/>
                      <w:szCs w:val="21"/>
                      <w:highlight w:val="none"/>
                      <w:lang w:val="en-US" w:eastAsia="zh-CN"/>
                    </w:rPr>
                    <w:t>28.1</w:t>
                  </w:r>
                  <w:r>
                    <w:rPr>
                      <w:rFonts w:cs="宋体"/>
                      <w:color w:val="000000"/>
                      <w:szCs w:val="21"/>
                      <w:highlight w:val="none"/>
                    </w:rPr>
                    <w:t>±</w:t>
                  </w:r>
                  <w:r>
                    <w:rPr>
                      <w:rFonts w:hint="eastAsia" w:cs="宋体"/>
                      <w:color w:val="000000"/>
                      <w:szCs w:val="21"/>
                      <w:highlight w:val="none"/>
                    </w:rPr>
                    <w:t>1.</w:t>
                  </w:r>
                  <w:r>
                    <w:rPr>
                      <w:rFonts w:hint="eastAsia" w:cs="宋体"/>
                      <w:color w:val="000000"/>
                      <w:szCs w:val="21"/>
                      <w:highlight w:val="none"/>
                      <w:lang w:val="en-US" w:eastAsia="zh-CN"/>
                    </w:rPr>
                    <w:t>9</w:t>
                  </w:r>
                  <w:r>
                    <w:rPr>
                      <w:rFonts w:hint="eastAsia" w:cs="宋体"/>
                      <w:color w:val="000000"/>
                      <w:szCs w:val="21"/>
                      <w:highlight w:val="none"/>
                    </w:rPr>
                    <w:t>mg/L</w:t>
                  </w:r>
                </w:p>
              </w:tc>
              <w:tc>
                <w:tcPr>
                  <w:tcW w:w="1064" w:type="dxa"/>
                  <w:vAlign w:val="center"/>
                </w:tcPr>
                <w:p>
                  <w:pPr>
                    <w:jc w:val="center"/>
                    <w:rPr>
                      <w:rFonts w:cs="宋体"/>
                      <w:color w:val="000000"/>
                      <w:szCs w:val="21"/>
                      <w:highlight w:val="none"/>
                    </w:rPr>
                  </w:pPr>
                  <w:r>
                    <w:rPr>
                      <w:rFonts w:hint="eastAsia" w:cs="宋体"/>
                      <w:color w:val="000000"/>
                      <w:szCs w:val="21"/>
                      <w:highlight w:val="none"/>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83" w:type="dxa"/>
                  <w:vAlign w:val="center"/>
                </w:tcPr>
                <w:p>
                  <w:pPr>
                    <w:jc w:val="center"/>
                    <w:rPr>
                      <w:rFonts w:cs="宋体"/>
                      <w:color w:val="000000"/>
                      <w:szCs w:val="21"/>
                      <w:highlight w:val="none"/>
                    </w:rPr>
                  </w:pPr>
                  <w:r>
                    <w:rPr>
                      <w:rFonts w:hint="eastAsia" w:cs="宋体"/>
                      <w:color w:val="000000"/>
                      <w:szCs w:val="21"/>
                      <w:highlight w:val="none"/>
                    </w:rPr>
                    <w:t>BOD</w:t>
                  </w:r>
                  <w:r>
                    <w:rPr>
                      <w:rFonts w:hint="eastAsia" w:cs="宋体"/>
                      <w:color w:val="000000"/>
                      <w:szCs w:val="21"/>
                      <w:highlight w:val="none"/>
                      <w:vertAlign w:val="subscript"/>
                    </w:rPr>
                    <w:t>5</w:t>
                  </w:r>
                </w:p>
              </w:tc>
              <w:tc>
                <w:tcPr>
                  <w:tcW w:w="1985" w:type="dxa"/>
                  <w:vAlign w:val="center"/>
                </w:tcPr>
                <w:p>
                  <w:pPr>
                    <w:jc w:val="center"/>
                    <w:rPr>
                      <w:rFonts w:hint="default" w:eastAsia="宋体" w:cs="宋体"/>
                      <w:color w:val="000000"/>
                      <w:szCs w:val="21"/>
                      <w:highlight w:val="none"/>
                      <w:lang w:val="en-US" w:eastAsia="zh-CN"/>
                    </w:rPr>
                  </w:pPr>
                  <w:r>
                    <w:rPr>
                      <w:rFonts w:hint="eastAsia" w:cs="宋体"/>
                      <w:color w:val="000000"/>
                      <w:szCs w:val="21"/>
                      <w:highlight w:val="none"/>
                      <w:lang w:val="en-US" w:eastAsia="zh-CN"/>
                    </w:rPr>
                    <w:t>200248-1</w:t>
                  </w:r>
                </w:p>
              </w:tc>
              <w:tc>
                <w:tcPr>
                  <w:tcW w:w="1857" w:type="dxa"/>
                  <w:vAlign w:val="center"/>
                </w:tcPr>
                <w:p>
                  <w:pPr>
                    <w:jc w:val="center"/>
                    <w:rPr>
                      <w:rFonts w:cs="宋体"/>
                      <w:color w:val="000000"/>
                      <w:szCs w:val="21"/>
                      <w:highlight w:val="none"/>
                    </w:rPr>
                  </w:pPr>
                  <w:r>
                    <w:rPr>
                      <w:rFonts w:hint="eastAsia" w:cs="宋体"/>
                      <w:color w:val="000000"/>
                      <w:szCs w:val="21"/>
                      <w:highlight w:val="none"/>
                    </w:rPr>
                    <w:t>1</w:t>
                  </w:r>
                  <w:r>
                    <w:rPr>
                      <w:rFonts w:hint="eastAsia" w:cs="宋体"/>
                      <w:color w:val="000000"/>
                      <w:szCs w:val="21"/>
                      <w:highlight w:val="none"/>
                      <w:lang w:val="en-US" w:eastAsia="zh-CN"/>
                    </w:rPr>
                    <w:t>44</w:t>
                  </w:r>
                  <w:r>
                    <w:rPr>
                      <w:rFonts w:hint="eastAsia" w:cs="宋体"/>
                      <w:color w:val="000000"/>
                      <w:szCs w:val="21"/>
                      <w:highlight w:val="none"/>
                    </w:rPr>
                    <w:t>/1</w:t>
                  </w:r>
                  <w:r>
                    <w:rPr>
                      <w:rFonts w:hint="eastAsia" w:cs="宋体"/>
                      <w:color w:val="000000"/>
                      <w:szCs w:val="21"/>
                      <w:highlight w:val="none"/>
                      <w:lang w:val="en-US" w:eastAsia="zh-CN"/>
                    </w:rPr>
                    <w:t>40</w:t>
                  </w:r>
                  <w:r>
                    <w:rPr>
                      <w:rFonts w:hint="eastAsia" w:cs="宋体"/>
                      <w:color w:val="000000"/>
                      <w:szCs w:val="21"/>
                      <w:highlight w:val="none"/>
                    </w:rPr>
                    <w:t>mg/L</w:t>
                  </w:r>
                </w:p>
              </w:tc>
              <w:tc>
                <w:tcPr>
                  <w:tcW w:w="1828" w:type="dxa"/>
                  <w:vAlign w:val="center"/>
                </w:tcPr>
                <w:p>
                  <w:pPr>
                    <w:jc w:val="center"/>
                    <w:rPr>
                      <w:rFonts w:cs="宋体"/>
                      <w:color w:val="000000"/>
                      <w:szCs w:val="21"/>
                      <w:highlight w:val="none"/>
                    </w:rPr>
                  </w:pPr>
                  <w:r>
                    <w:rPr>
                      <w:rFonts w:hint="eastAsia" w:cs="宋体"/>
                      <w:color w:val="000000"/>
                      <w:szCs w:val="21"/>
                      <w:highlight w:val="none"/>
                    </w:rPr>
                    <w:t>1</w:t>
                  </w:r>
                  <w:r>
                    <w:rPr>
                      <w:rFonts w:hint="eastAsia" w:cs="宋体"/>
                      <w:color w:val="000000"/>
                      <w:szCs w:val="21"/>
                      <w:highlight w:val="none"/>
                      <w:lang w:val="en-US" w:eastAsia="zh-CN"/>
                    </w:rPr>
                    <w:t>35</w:t>
                  </w:r>
                  <w:r>
                    <w:rPr>
                      <w:rFonts w:cs="宋体"/>
                      <w:color w:val="000000"/>
                      <w:szCs w:val="21"/>
                      <w:highlight w:val="none"/>
                    </w:rPr>
                    <w:t>±</w:t>
                  </w:r>
                  <w:r>
                    <w:rPr>
                      <w:rFonts w:hint="eastAsia" w:cs="宋体"/>
                      <w:color w:val="000000"/>
                      <w:szCs w:val="21"/>
                      <w:highlight w:val="none"/>
                    </w:rPr>
                    <w:t>1</w:t>
                  </w:r>
                  <w:r>
                    <w:rPr>
                      <w:rFonts w:hint="eastAsia" w:cs="宋体"/>
                      <w:color w:val="000000"/>
                      <w:szCs w:val="21"/>
                      <w:highlight w:val="none"/>
                      <w:lang w:val="en-US" w:eastAsia="zh-CN"/>
                    </w:rPr>
                    <w:t>1</w:t>
                  </w:r>
                  <w:r>
                    <w:rPr>
                      <w:rFonts w:hint="eastAsia" w:cs="宋体"/>
                      <w:color w:val="000000"/>
                      <w:szCs w:val="21"/>
                      <w:highlight w:val="none"/>
                    </w:rPr>
                    <w:t>mg/L</w:t>
                  </w:r>
                </w:p>
              </w:tc>
              <w:tc>
                <w:tcPr>
                  <w:tcW w:w="1064" w:type="dxa"/>
                  <w:vAlign w:val="center"/>
                </w:tcPr>
                <w:p>
                  <w:pPr>
                    <w:jc w:val="center"/>
                    <w:rPr>
                      <w:rFonts w:cs="宋体"/>
                      <w:color w:val="000000"/>
                      <w:szCs w:val="21"/>
                      <w:highlight w:val="none"/>
                    </w:rPr>
                  </w:pPr>
                  <w:r>
                    <w:rPr>
                      <w:rFonts w:hint="eastAsia" w:cs="宋体"/>
                      <w:color w:val="000000"/>
                      <w:szCs w:val="21"/>
                      <w:highlight w:val="none"/>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83" w:type="dxa"/>
                  <w:vAlign w:val="center"/>
                </w:tcPr>
                <w:p>
                  <w:pPr>
                    <w:jc w:val="center"/>
                    <w:rPr>
                      <w:rFonts w:cs="宋体"/>
                      <w:color w:val="000000"/>
                      <w:szCs w:val="21"/>
                      <w:highlight w:val="none"/>
                    </w:rPr>
                  </w:pPr>
                  <w:r>
                    <w:rPr>
                      <w:rFonts w:hint="eastAsia" w:cs="宋体"/>
                      <w:color w:val="000000"/>
                      <w:szCs w:val="21"/>
                      <w:highlight w:val="none"/>
                    </w:rPr>
                    <w:t>氨氮</w:t>
                  </w:r>
                </w:p>
              </w:tc>
              <w:tc>
                <w:tcPr>
                  <w:tcW w:w="1985" w:type="dxa"/>
                  <w:vAlign w:val="center"/>
                </w:tcPr>
                <w:p>
                  <w:pPr>
                    <w:jc w:val="center"/>
                    <w:rPr>
                      <w:rFonts w:hint="default" w:eastAsia="宋体" w:cs="宋体"/>
                      <w:color w:val="000000"/>
                      <w:szCs w:val="21"/>
                      <w:highlight w:val="none"/>
                      <w:lang w:val="en-US" w:eastAsia="zh-CN"/>
                    </w:rPr>
                  </w:pPr>
                  <w:r>
                    <w:rPr>
                      <w:rFonts w:hint="eastAsia" w:cs="宋体"/>
                      <w:color w:val="000000"/>
                      <w:szCs w:val="21"/>
                      <w:highlight w:val="none"/>
                      <w:lang w:val="en-US" w:eastAsia="zh-CN"/>
                    </w:rPr>
                    <w:t>2005115-1</w:t>
                  </w:r>
                </w:p>
              </w:tc>
              <w:tc>
                <w:tcPr>
                  <w:tcW w:w="1857" w:type="dxa"/>
                  <w:vAlign w:val="center"/>
                </w:tcPr>
                <w:p>
                  <w:pPr>
                    <w:jc w:val="center"/>
                    <w:rPr>
                      <w:rFonts w:cs="宋体"/>
                      <w:color w:val="000000"/>
                      <w:szCs w:val="21"/>
                      <w:highlight w:val="none"/>
                    </w:rPr>
                  </w:pPr>
                  <w:r>
                    <w:rPr>
                      <w:rFonts w:hint="eastAsia" w:cs="宋体"/>
                      <w:color w:val="000000"/>
                      <w:szCs w:val="21"/>
                      <w:highlight w:val="none"/>
                      <w:lang w:val="en-US" w:eastAsia="zh-CN"/>
                    </w:rPr>
                    <w:t>5.21</w:t>
                  </w:r>
                  <w:r>
                    <w:rPr>
                      <w:rFonts w:hint="eastAsia" w:cs="宋体"/>
                      <w:color w:val="000000"/>
                      <w:szCs w:val="21"/>
                      <w:highlight w:val="none"/>
                    </w:rPr>
                    <w:t>/</w:t>
                  </w:r>
                  <w:r>
                    <w:rPr>
                      <w:rFonts w:hint="eastAsia" w:cs="宋体"/>
                      <w:color w:val="000000"/>
                      <w:szCs w:val="21"/>
                      <w:highlight w:val="none"/>
                      <w:lang w:val="en-US" w:eastAsia="zh-CN"/>
                    </w:rPr>
                    <w:t>5.32</w:t>
                  </w:r>
                  <w:r>
                    <w:rPr>
                      <w:rFonts w:hint="eastAsia" w:cs="宋体"/>
                      <w:color w:val="000000"/>
                      <w:szCs w:val="21"/>
                      <w:highlight w:val="none"/>
                    </w:rPr>
                    <w:t>mg/L</w:t>
                  </w:r>
                </w:p>
              </w:tc>
              <w:tc>
                <w:tcPr>
                  <w:tcW w:w="1828" w:type="dxa"/>
                  <w:vAlign w:val="center"/>
                </w:tcPr>
                <w:p>
                  <w:pPr>
                    <w:jc w:val="center"/>
                    <w:rPr>
                      <w:rFonts w:cs="宋体"/>
                      <w:color w:val="000000"/>
                      <w:szCs w:val="21"/>
                      <w:highlight w:val="none"/>
                    </w:rPr>
                  </w:pPr>
                  <w:r>
                    <w:rPr>
                      <w:rFonts w:hint="eastAsia" w:cs="宋体"/>
                      <w:color w:val="000000"/>
                      <w:szCs w:val="21"/>
                      <w:highlight w:val="none"/>
                      <w:lang w:val="en-US" w:eastAsia="zh-CN"/>
                    </w:rPr>
                    <w:t>5.27</w:t>
                  </w:r>
                  <w:r>
                    <w:rPr>
                      <w:rFonts w:cs="宋体"/>
                      <w:color w:val="000000"/>
                      <w:szCs w:val="21"/>
                      <w:highlight w:val="none"/>
                    </w:rPr>
                    <w:t>±</w:t>
                  </w:r>
                  <w:r>
                    <w:rPr>
                      <w:rFonts w:hint="eastAsia" w:cs="宋体"/>
                      <w:color w:val="000000"/>
                      <w:szCs w:val="21"/>
                      <w:highlight w:val="none"/>
                    </w:rPr>
                    <w:t>0.</w:t>
                  </w:r>
                  <w:r>
                    <w:rPr>
                      <w:rFonts w:hint="eastAsia" w:cs="宋体"/>
                      <w:color w:val="000000"/>
                      <w:szCs w:val="21"/>
                      <w:highlight w:val="none"/>
                      <w:lang w:val="en-US" w:eastAsia="zh-CN"/>
                    </w:rPr>
                    <w:t>2</w:t>
                  </w:r>
                  <w:r>
                    <w:rPr>
                      <w:rFonts w:hint="eastAsia" w:cs="宋体"/>
                      <w:color w:val="000000"/>
                      <w:szCs w:val="21"/>
                      <w:highlight w:val="none"/>
                    </w:rPr>
                    <w:t>1mg/L</w:t>
                  </w:r>
                </w:p>
              </w:tc>
              <w:tc>
                <w:tcPr>
                  <w:tcW w:w="1064" w:type="dxa"/>
                  <w:vAlign w:val="center"/>
                </w:tcPr>
                <w:p>
                  <w:pPr>
                    <w:jc w:val="center"/>
                    <w:rPr>
                      <w:rFonts w:cs="宋体"/>
                      <w:color w:val="000000"/>
                      <w:szCs w:val="21"/>
                      <w:highlight w:val="none"/>
                    </w:rPr>
                  </w:pPr>
                  <w:r>
                    <w:rPr>
                      <w:rFonts w:hint="eastAsia" w:cs="宋体"/>
                      <w:color w:val="000000"/>
                      <w:szCs w:val="21"/>
                      <w:highlight w:val="none"/>
                    </w:rPr>
                    <w:t>合格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783" w:type="dxa"/>
                  <w:vAlign w:val="center"/>
                </w:tcPr>
                <w:p>
                  <w:pPr>
                    <w:jc w:val="center"/>
                    <w:rPr>
                      <w:rFonts w:hint="eastAsia" w:eastAsia="宋体" w:cs="宋体"/>
                      <w:color w:val="000000"/>
                      <w:szCs w:val="21"/>
                      <w:highlight w:val="none"/>
                      <w:lang w:eastAsia="zh-CN"/>
                    </w:rPr>
                  </w:pPr>
                  <w:r>
                    <w:rPr>
                      <w:rFonts w:hint="eastAsia" w:cs="宋体"/>
                      <w:color w:val="000000"/>
                      <w:szCs w:val="21"/>
                      <w:highlight w:val="none"/>
                      <w:lang w:eastAsia="zh-CN"/>
                    </w:rPr>
                    <w:t>石油类</w:t>
                  </w:r>
                </w:p>
              </w:tc>
              <w:tc>
                <w:tcPr>
                  <w:tcW w:w="1985" w:type="dxa"/>
                  <w:vAlign w:val="center"/>
                </w:tcPr>
                <w:p>
                  <w:pPr>
                    <w:jc w:val="center"/>
                    <w:rPr>
                      <w:rFonts w:hint="default" w:cs="宋体"/>
                      <w:color w:val="000000"/>
                      <w:szCs w:val="21"/>
                      <w:highlight w:val="none"/>
                      <w:lang w:val="en-US" w:eastAsia="zh-CN"/>
                    </w:rPr>
                  </w:pPr>
                  <w:r>
                    <w:rPr>
                      <w:rFonts w:hint="eastAsia" w:cs="宋体"/>
                      <w:color w:val="000000"/>
                      <w:szCs w:val="21"/>
                      <w:highlight w:val="none"/>
                      <w:lang w:val="en-US" w:eastAsia="zh-CN"/>
                    </w:rPr>
                    <w:t>A007023-10108ZK</w:t>
                  </w:r>
                </w:p>
              </w:tc>
              <w:tc>
                <w:tcPr>
                  <w:tcW w:w="1857" w:type="dxa"/>
                  <w:vAlign w:val="center"/>
                </w:tcPr>
                <w:p>
                  <w:pPr>
                    <w:jc w:val="center"/>
                    <w:rPr>
                      <w:rFonts w:hint="default" w:cs="宋体"/>
                      <w:color w:val="000000"/>
                      <w:szCs w:val="21"/>
                      <w:highlight w:val="none"/>
                      <w:lang w:val="en-US" w:eastAsia="zh-CN"/>
                    </w:rPr>
                  </w:pPr>
                  <w:r>
                    <w:rPr>
                      <w:rFonts w:hint="eastAsia" w:cs="宋体"/>
                      <w:color w:val="000000"/>
                      <w:szCs w:val="21"/>
                      <w:highlight w:val="none"/>
                      <w:lang w:val="en-US" w:eastAsia="zh-CN"/>
                    </w:rPr>
                    <w:t>9.93/9.91mg/L</w:t>
                  </w:r>
                </w:p>
              </w:tc>
              <w:tc>
                <w:tcPr>
                  <w:tcW w:w="1828" w:type="dxa"/>
                  <w:vAlign w:val="center"/>
                </w:tcPr>
                <w:p>
                  <w:pPr>
                    <w:jc w:val="center"/>
                    <w:rPr>
                      <w:rFonts w:hint="default" w:eastAsia="宋体" w:cs="宋体"/>
                      <w:color w:val="000000"/>
                      <w:szCs w:val="21"/>
                      <w:highlight w:val="none"/>
                      <w:lang w:val="en-US" w:eastAsia="zh-CN"/>
                    </w:rPr>
                  </w:pPr>
                  <w:r>
                    <w:rPr>
                      <w:rFonts w:hint="eastAsia" w:cs="宋体"/>
                      <w:color w:val="000000"/>
                      <w:szCs w:val="21"/>
                      <w:highlight w:val="none"/>
                      <w:lang w:val="en-US" w:eastAsia="zh-CN"/>
                    </w:rPr>
                    <w:t>10.22</w:t>
                  </w:r>
                  <w:r>
                    <w:rPr>
                      <w:rFonts w:cs="宋体"/>
                      <w:color w:val="000000"/>
                      <w:szCs w:val="21"/>
                      <w:highlight w:val="none"/>
                    </w:rPr>
                    <w:t>±</w:t>
                  </w:r>
                  <w:r>
                    <w:rPr>
                      <w:rFonts w:hint="eastAsia" w:cs="宋体"/>
                      <w:color w:val="000000"/>
                      <w:szCs w:val="21"/>
                      <w:highlight w:val="none"/>
                      <w:lang w:val="en-US" w:eastAsia="zh-CN"/>
                    </w:rPr>
                    <w:t>0.8</w:t>
                  </w:r>
                  <w:r>
                    <w:rPr>
                      <w:rFonts w:hint="eastAsia" w:cs="宋体"/>
                      <w:color w:val="000000"/>
                      <w:szCs w:val="21"/>
                      <w:highlight w:val="none"/>
                    </w:rPr>
                    <w:t>mg/L</w:t>
                  </w:r>
                </w:p>
              </w:tc>
              <w:tc>
                <w:tcPr>
                  <w:tcW w:w="1064" w:type="dxa"/>
                  <w:vAlign w:val="center"/>
                </w:tcPr>
                <w:p>
                  <w:pPr>
                    <w:jc w:val="center"/>
                    <w:rPr>
                      <w:rFonts w:hint="eastAsia" w:eastAsia="宋体" w:cs="宋体"/>
                      <w:color w:val="000000"/>
                      <w:szCs w:val="21"/>
                      <w:highlight w:val="none"/>
                      <w:lang w:eastAsia="zh-CN"/>
                    </w:rPr>
                  </w:pPr>
                  <w:r>
                    <w:rPr>
                      <w:rFonts w:hint="eastAsia" w:cs="宋体"/>
                      <w:color w:val="000000"/>
                      <w:szCs w:val="21"/>
                      <w:highlight w:val="none"/>
                      <w:lang w:eastAsia="zh-CN"/>
                    </w:rPr>
                    <w:t>合格</w:t>
                  </w:r>
                </w:p>
              </w:tc>
            </w:tr>
          </w:tbl>
          <w:p>
            <w:pPr>
              <w:spacing w:line="360" w:lineRule="auto"/>
              <w:ind w:firstLine="482" w:firstLineChars="200"/>
              <w:rPr>
                <w:rFonts w:cs="宋体"/>
                <w:b/>
                <w:bCs/>
                <w:sz w:val="24"/>
              </w:rPr>
            </w:pPr>
            <w:r>
              <w:rPr>
                <w:rFonts w:hint="eastAsia"/>
                <w:b/>
                <w:bCs/>
                <w:sz w:val="24"/>
              </w:rPr>
              <w:t>五、气体监测分析过程中的质量保证和质量控制</w:t>
            </w:r>
          </w:p>
          <w:p>
            <w:pPr>
              <w:spacing w:line="360" w:lineRule="auto"/>
              <w:ind w:firstLine="480" w:firstLineChars="200"/>
              <w:rPr>
                <w:rFonts w:cs="宋体"/>
                <w:sz w:val="24"/>
              </w:rPr>
            </w:pPr>
            <w:r>
              <w:rPr>
                <w:rFonts w:hint="eastAsia" w:cs="宋体"/>
                <w:sz w:val="24"/>
              </w:rPr>
              <w:t>（1）废气监测质量保证按照国家环保局发布的《环境监测技术规范》和《环境空气监测质量保证手册》的要求与规定进行全过程质量控制。</w:t>
            </w:r>
          </w:p>
          <w:p>
            <w:pPr>
              <w:spacing w:line="360" w:lineRule="auto"/>
              <w:ind w:firstLine="480" w:firstLineChars="200"/>
              <w:rPr>
                <w:rFonts w:cs="宋体"/>
                <w:sz w:val="24"/>
              </w:rPr>
            </w:pPr>
            <w:r>
              <w:rPr>
                <w:rFonts w:hint="eastAsia" w:cs="宋体"/>
                <w:sz w:val="24"/>
              </w:rPr>
              <w:t>（2）被测排放物的浓度应在仪器测试量程的有效范围内。</w:t>
            </w:r>
          </w:p>
          <w:p>
            <w:pPr>
              <w:spacing w:line="360" w:lineRule="auto"/>
              <w:ind w:firstLine="480" w:firstLineChars="200"/>
              <w:rPr>
                <w:rFonts w:cs="宋体"/>
                <w:sz w:val="24"/>
              </w:rPr>
            </w:pPr>
            <w:r>
              <w:rPr>
                <w:rFonts w:hint="eastAsia" w:cs="宋体"/>
                <w:sz w:val="24"/>
              </w:rPr>
              <w:t>（3）严格按照GB16157-1996的要求准备采样过程中所需的气袋。</w:t>
            </w:r>
          </w:p>
          <w:p>
            <w:pPr>
              <w:spacing w:line="360" w:lineRule="auto"/>
              <w:ind w:firstLine="480" w:firstLineChars="200"/>
              <w:rPr>
                <w:rFonts w:cs="宋体"/>
                <w:sz w:val="24"/>
              </w:rPr>
            </w:pPr>
            <w:r>
              <w:rPr>
                <w:rFonts w:hint="eastAsia" w:cs="宋体"/>
                <w:sz w:val="24"/>
              </w:rPr>
              <w:t>（4）遇到对监测影响较大的雨天及风速大于8m/s的天气条件时，不进行采样监测。</w:t>
            </w:r>
          </w:p>
          <w:p>
            <w:pPr>
              <w:spacing w:line="360" w:lineRule="auto"/>
              <w:ind w:firstLine="480" w:firstLineChars="200"/>
              <w:rPr>
                <w:rFonts w:cs="宋体"/>
                <w:sz w:val="24"/>
              </w:rPr>
            </w:pPr>
            <w:r>
              <w:rPr>
                <w:rFonts w:hint="eastAsia" w:cs="宋体"/>
                <w:sz w:val="24"/>
              </w:rPr>
              <w:t>（5）采样结束后，检查仪器状态是否完好，清理仪器和附件，并填写仪器使用记录。清点样品数量，核对无误后，将样品及时送交实验室分析。</w:t>
            </w:r>
          </w:p>
          <w:p>
            <w:pPr>
              <w:spacing w:line="360" w:lineRule="auto"/>
              <w:ind w:firstLine="482" w:firstLineChars="200"/>
              <w:rPr>
                <w:rFonts w:cs="宋体"/>
                <w:b/>
                <w:bCs/>
                <w:sz w:val="24"/>
              </w:rPr>
            </w:pPr>
            <w:r>
              <w:rPr>
                <w:rFonts w:hint="eastAsia"/>
                <w:b/>
                <w:bCs/>
                <w:color w:val="000000"/>
                <w:sz w:val="24"/>
              </w:rPr>
              <w:t>六、</w:t>
            </w:r>
            <w:r>
              <w:rPr>
                <w:rFonts w:hint="eastAsia"/>
                <w:b/>
                <w:bCs/>
                <w:sz w:val="24"/>
              </w:rPr>
              <w:t>噪声监测分析过程中的质量保证和质量控制</w:t>
            </w:r>
          </w:p>
          <w:p>
            <w:pPr>
              <w:spacing w:line="360" w:lineRule="auto"/>
              <w:ind w:firstLine="480" w:firstLineChars="200"/>
              <w:rPr>
                <w:rFonts w:cs="宋体"/>
              </w:rPr>
            </w:pPr>
            <w:r>
              <w:rPr>
                <w:rFonts w:hint="eastAsia" w:cs="宋体"/>
                <w:color w:val="000000" w:themeColor="text1"/>
                <w:sz w:val="24"/>
                <w14:textFill>
                  <w14:solidFill>
                    <w14:schemeClr w14:val="tx1"/>
                  </w14:solidFill>
                </w14:textFill>
              </w:rPr>
              <w:t>声级计经计量部门检定合格，且在检定有效期内。采样前用HS6020（仪器编号YHK-174）</w:t>
            </w:r>
            <w:r>
              <w:rPr>
                <w:rFonts w:hint="eastAsia" w:cs="宋体"/>
                <w:sz w:val="24"/>
              </w:rPr>
              <w:t>声级校准器对声级计进行校准，测量前后的灵敏度在±0.5dB(A)范围内。声级计校准结果见表5-6。</w:t>
            </w:r>
          </w:p>
          <w:p>
            <w:pPr>
              <w:spacing w:line="360" w:lineRule="auto"/>
              <w:ind w:firstLine="422" w:firstLineChars="200"/>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表</w:t>
            </w:r>
            <w:r>
              <w:rPr>
                <w:rFonts w:hint="eastAsia"/>
                <w:b/>
                <w:bCs/>
                <w:color w:val="000000" w:themeColor="text1"/>
                <w:szCs w:val="21"/>
                <w14:textFill>
                  <w14:solidFill>
                    <w14:schemeClr w14:val="tx1"/>
                  </w14:solidFill>
                </w14:textFill>
              </w:rPr>
              <w:t xml:space="preserve">5-6 </w:t>
            </w:r>
            <w:r>
              <w:rPr>
                <w:b/>
                <w:bCs/>
                <w:color w:val="000000" w:themeColor="text1"/>
                <w:szCs w:val="21"/>
                <w14:textFill>
                  <w14:solidFill>
                    <w14:schemeClr w14:val="tx1"/>
                  </w14:solidFill>
                </w14:textFill>
              </w:rPr>
              <w:t>声级计质控校准表</w:t>
            </w:r>
          </w:p>
          <w:tbl>
            <w:tblPr>
              <w:tblStyle w:val="24"/>
              <w:tblW w:w="84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82"/>
              <w:gridCol w:w="1862"/>
              <w:gridCol w:w="1474"/>
              <w:gridCol w:w="1476"/>
              <w:gridCol w:w="1552"/>
              <w:gridCol w:w="10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08" w:hRule="atLeast"/>
                <w:jc w:val="center"/>
              </w:trPr>
              <w:tc>
                <w:tcPr>
                  <w:tcW w:w="1082"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仪器名称</w:t>
                  </w:r>
                </w:p>
              </w:tc>
              <w:tc>
                <w:tcPr>
                  <w:tcW w:w="1862"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校准时间</w:t>
                  </w:r>
                </w:p>
              </w:tc>
              <w:tc>
                <w:tcPr>
                  <w:tcW w:w="1474"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测量前校准值dB(A)</w:t>
                  </w:r>
                </w:p>
              </w:tc>
              <w:tc>
                <w:tcPr>
                  <w:tcW w:w="1476"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测量后校准值dB(A)</w:t>
                  </w:r>
                </w:p>
              </w:tc>
              <w:tc>
                <w:tcPr>
                  <w:tcW w:w="1552"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指标</w:t>
                  </w:r>
                </w:p>
              </w:tc>
              <w:tc>
                <w:tcPr>
                  <w:tcW w:w="1026"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评价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08" w:hRule="atLeast"/>
                <w:jc w:val="center"/>
              </w:trPr>
              <w:tc>
                <w:tcPr>
                  <w:tcW w:w="1082" w:type="dxa"/>
                  <w:vMerge w:val="restart"/>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HS6288E多功能</w:t>
                  </w:r>
                  <w:r>
                    <w:rPr>
                      <w:color w:val="000000" w:themeColor="text1"/>
                      <w:szCs w:val="21"/>
                      <w14:textFill>
                        <w14:solidFill>
                          <w14:schemeClr w14:val="tx1"/>
                        </w14:solidFill>
                      </w14:textFill>
                    </w:rPr>
                    <w:t>噪声分析仪</w:t>
                  </w:r>
                </w:p>
              </w:tc>
              <w:tc>
                <w:tcPr>
                  <w:tcW w:w="1862" w:type="dxa"/>
                  <w:vAlign w:val="center"/>
                </w:tcPr>
                <w:p>
                  <w:pPr>
                    <w:jc w:val="center"/>
                    <w:rPr>
                      <w:rFonts w:asciiTheme="majorBidi" w:hAnsiTheme="majorBidi" w:cstheme="majorBidi"/>
                      <w:color w:val="000000" w:themeColor="text1"/>
                      <w:szCs w:val="21"/>
                      <w14:textFill>
                        <w14:solidFill>
                          <w14:schemeClr w14:val="tx1"/>
                        </w14:solidFill>
                      </w14:textFill>
                    </w:rPr>
                  </w:pPr>
                  <w:r>
                    <w:rPr>
                      <w:rFonts w:hint="eastAsia" w:asciiTheme="majorBidi" w:hAnsiTheme="majorBidi" w:cstheme="majorBidi"/>
                      <w:color w:val="000000" w:themeColor="text1"/>
                      <w:szCs w:val="21"/>
                      <w14:textFill>
                        <w14:solidFill>
                          <w14:schemeClr w14:val="tx1"/>
                        </w14:solidFill>
                      </w14:textFill>
                    </w:rPr>
                    <w:t>20</w:t>
                  </w:r>
                  <w:r>
                    <w:rPr>
                      <w:rFonts w:hint="eastAsia" w:asciiTheme="majorBidi" w:hAnsiTheme="majorBidi" w:cstheme="majorBidi"/>
                      <w:color w:val="000000" w:themeColor="text1"/>
                      <w:szCs w:val="21"/>
                      <w:lang w:val="en-US" w:eastAsia="zh-CN"/>
                      <w14:textFill>
                        <w14:solidFill>
                          <w14:schemeClr w14:val="tx1"/>
                        </w14:solidFill>
                      </w14:textFill>
                    </w:rPr>
                    <w:t>21</w:t>
                  </w:r>
                  <w:r>
                    <w:rPr>
                      <w:rFonts w:hint="eastAsia" w:asciiTheme="majorBidi" w:hAnsiTheme="majorBidi" w:cstheme="majorBidi"/>
                      <w:color w:val="000000" w:themeColor="text1"/>
                      <w:szCs w:val="21"/>
                      <w14:textFill>
                        <w14:solidFill>
                          <w14:schemeClr w14:val="tx1"/>
                        </w14:solidFill>
                      </w14:textFill>
                    </w:rPr>
                    <w:t>年</w:t>
                  </w:r>
                  <w:r>
                    <w:rPr>
                      <w:rFonts w:hint="eastAsia" w:asciiTheme="majorBidi" w:hAnsiTheme="majorBidi" w:cstheme="majorBidi"/>
                      <w:color w:val="000000" w:themeColor="text1"/>
                      <w:szCs w:val="21"/>
                      <w:lang w:val="en-US" w:eastAsia="zh-CN"/>
                      <w14:textFill>
                        <w14:solidFill>
                          <w14:schemeClr w14:val="tx1"/>
                        </w14:solidFill>
                      </w14:textFill>
                    </w:rPr>
                    <w:t>1</w:t>
                  </w:r>
                  <w:r>
                    <w:rPr>
                      <w:rFonts w:hint="eastAsia" w:asciiTheme="majorBidi" w:hAnsiTheme="majorBidi" w:cstheme="majorBidi"/>
                      <w:color w:val="000000" w:themeColor="text1"/>
                      <w:szCs w:val="21"/>
                      <w14:textFill>
                        <w14:solidFill>
                          <w14:schemeClr w14:val="tx1"/>
                        </w14:solidFill>
                      </w14:textFill>
                    </w:rPr>
                    <w:t>月</w:t>
                  </w:r>
                  <w:r>
                    <w:rPr>
                      <w:rFonts w:hint="eastAsia" w:asciiTheme="majorBidi" w:hAnsiTheme="majorBidi" w:cstheme="majorBidi"/>
                      <w:color w:val="000000" w:themeColor="text1"/>
                      <w:szCs w:val="21"/>
                      <w:lang w:val="en-US" w:eastAsia="zh-CN"/>
                      <w14:textFill>
                        <w14:solidFill>
                          <w14:schemeClr w14:val="tx1"/>
                        </w14:solidFill>
                      </w14:textFill>
                    </w:rPr>
                    <w:t>6</w:t>
                  </w:r>
                  <w:r>
                    <w:rPr>
                      <w:rFonts w:hint="eastAsia" w:asciiTheme="majorBidi" w:hAnsiTheme="majorBidi" w:cstheme="majorBidi"/>
                      <w:color w:val="000000" w:themeColor="text1"/>
                      <w:szCs w:val="21"/>
                      <w14:textFill>
                        <w14:solidFill>
                          <w14:schemeClr w14:val="tx1"/>
                        </w14:solidFill>
                      </w14:textFill>
                    </w:rPr>
                    <w:t>日</w:t>
                  </w:r>
                </w:p>
              </w:tc>
              <w:tc>
                <w:tcPr>
                  <w:tcW w:w="1474" w:type="dxa"/>
                  <w:vAlign w:val="center"/>
                </w:tcPr>
                <w:p>
                  <w:pPr>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14:textFill>
                        <w14:solidFill>
                          <w14:schemeClr w14:val="tx1"/>
                        </w14:solidFill>
                      </w14:textFill>
                    </w:rPr>
                    <w:t>93.</w:t>
                  </w:r>
                  <w:r>
                    <w:rPr>
                      <w:rFonts w:hint="eastAsia"/>
                      <w:color w:val="000000" w:themeColor="text1"/>
                      <w:szCs w:val="21"/>
                      <w:lang w:val="en-US" w:eastAsia="zh-CN"/>
                      <w14:textFill>
                        <w14:solidFill>
                          <w14:schemeClr w14:val="tx1"/>
                        </w14:solidFill>
                      </w14:textFill>
                    </w:rPr>
                    <w:t>5</w:t>
                  </w:r>
                </w:p>
              </w:tc>
              <w:tc>
                <w:tcPr>
                  <w:tcW w:w="1476"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94.0</w:t>
                  </w:r>
                </w:p>
              </w:tc>
              <w:tc>
                <w:tcPr>
                  <w:tcW w:w="1552"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94.0dB(A)</w:t>
                  </w:r>
                  <w:r>
                    <w:rPr>
                      <w:color w:val="000000" w:themeColor="text1"/>
                      <w:szCs w:val="21"/>
                      <w14:textFill>
                        <w14:solidFill>
                          <w14:schemeClr w14:val="tx1"/>
                        </w14:solidFill>
                      </w14:textFill>
                    </w:rPr>
                    <w:t>±0.5</w:t>
                  </w:r>
                </w:p>
              </w:tc>
              <w:tc>
                <w:tcPr>
                  <w:tcW w:w="1026"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08" w:hRule="atLeast"/>
                <w:jc w:val="center"/>
              </w:trPr>
              <w:tc>
                <w:tcPr>
                  <w:tcW w:w="1082" w:type="dxa"/>
                  <w:vMerge w:val="continue"/>
                  <w:vAlign w:val="center"/>
                </w:tcPr>
                <w:p>
                  <w:pPr>
                    <w:jc w:val="center"/>
                    <w:rPr>
                      <w:color w:val="000000" w:themeColor="text1"/>
                      <w:szCs w:val="21"/>
                      <w14:textFill>
                        <w14:solidFill>
                          <w14:schemeClr w14:val="tx1"/>
                        </w14:solidFill>
                      </w14:textFill>
                    </w:rPr>
                  </w:pPr>
                </w:p>
              </w:tc>
              <w:tc>
                <w:tcPr>
                  <w:tcW w:w="1862" w:type="dxa"/>
                  <w:vAlign w:val="center"/>
                </w:tcPr>
                <w:p>
                  <w:pPr>
                    <w:jc w:val="center"/>
                    <w:rPr>
                      <w:rFonts w:asciiTheme="majorBidi" w:hAnsiTheme="majorBidi" w:cstheme="majorBidi"/>
                      <w:color w:val="000000" w:themeColor="text1"/>
                      <w:szCs w:val="21"/>
                      <w14:textFill>
                        <w14:solidFill>
                          <w14:schemeClr w14:val="tx1"/>
                        </w14:solidFill>
                      </w14:textFill>
                    </w:rPr>
                  </w:pPr>
                  <w:r>
                    <w:rPr>
                      <w:rFonts w:hint="eastAsia" w:asciiTheme="majorBidi" w:hAnsiTheme="majorBidi" w:cstheme="majorBidi"/>
                      <w:color w:val="000000" w:themeColor="text1"/>
                      <w:szCs w:val="21"/>
                      <w14:textFill>
                        <w14:solidFill>
                          <w14:schemeClr w14:val="tx1"/>
                        </w14:solidFill>
                      </w14:textFill>
                    </w:rPr>
                    <w:t>202</w:t>
                  </w:r>
                  <w:r>
                    <w:rPr>
                      <w:rFonts w:hint="eastAsia" w:asciiTheme="majorBidi" w:hAnsiTheme="majorBidi" w:cstheme="majorBidi"/>
                      <w:color w:val="000000" w:themeColor="text1"/>
                      <w:szCs w:val="21"/>
                      <w:lang w:val="en-US" w:eastAsia="zh-CN"/>
                      <w14:textFill>
                        <w14:solidFill>
                          <w14:schemeClr w14:val="tx1"/>
                        </w14:solidFill>
                      </w14:textFill>
                    </w:rPr>
                    <w:t>1</w:t>
                  </w:r>
                  <w:r>
                    <w:rPr>
                      <w:rFonts w:hint="eastAsia" w:asciiTheme="majorBidi" w:hAnsiTheme="majorBidi" w:cstheme="majorBidi"/>
                      <w:color w:val="000000" w:themeColor="text1"/>
                      <w:szCs w:val="21"/>
                      <w14:textFill>
                        <w14:solidFill>
                          <w14:schemeClr w14:val="tx1"/>
                        </w14:solidFill>
                      </w14:textFill>
                    </w:rPr>
                    <w:t>年</w:t>
                  </w:r>
                  <w:r>
                    <w:rPr>
                      <w:rFonts w:hint="eastAsia" w:asciiTheme="majorBidi" w:hAnsiTheme="majorBidi" w:cstheme="majorBidi"/>
                      <w:color w:val="000000" w:themeColor="text1"/>
                      <w:szCs w:val="21"/>
                      <w:lang w:val="en-US" w:eastAsia="zh-CN"/>
                      <w14:textFill>
                        <w14:solidFill>
                          <w14:schemeClr w14:val="tx1"/>
                        </w14:solidFill>
                      </w14:textFill>
                    </w:rPr>
                    <w:t>1</w:t>
                  </w:r>
                  <w:r>
                    <w:rPr>
                      <w:rFonts w:hint="eastAsia" w:asciiTheme="majorBidi" w:hAnsiTheme="majorBidi" w:cstheme="majorBidi"/>
                      <w:color w:val="000000" w:themeColor="text1"/>
                      <w:szCs w:val="21"/>
                      <w14:textFill>
                        <w14:solidFill>
                          <w14:schemeClr w14:val="tx1"/>
                        </w14:solidFill>
                      </w14:textFill>
                    </w:rPr>
                    <w:t>月7日</w:t>
                  </w:r>
                </w:p>
              </w:tc>
              <w:tc>
                <w:tcPr>
                  <w:tcW w:w="1474" w:type="dxa"/>
                  <w:vAlign w:val="center"/>
                </w:tcPr>
                <w:p>
                  <w:pPr>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14:textFill>
                        <w14:solidFill>
                          <w14:schemeClr w14:val="tx1"/>
                        </w14:solidFill>
                      </w14:textFill>
                    </w:rPr>
                    <w:t>93.</w:t>
                  </w:r>
                  <w:r>
                    <w:rPr>
                      <w:rFonts w:hint="eastAsia"/>
                      <w:color w:val="000000" w:themeColor="text1"/>
                      <w:szCs w:val="21"/>
                      <w:lang w:val="en-US" w:eastAsia="zh-CN"/>
                      <w14:textFill>
                        <w14:solidFill>
                          <w14:schemeClr w14:val="tx1"/>
                        </w14:solidFill>
                      </w14:textFill>
                    </w:rPr>
                    <w:t>6</w:t>
                  </w:r>
                </w:p>
              </w:tc>
              <w:tc>
                <w:tcPr>
                  <w:tcW w:w="1476"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94.0</w:t>
                  </w:r>
                </w:p>
              </w:tc>
              <w:tc>
                <w:tcPr>
                  <w:tcW w:w="1552"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94.0dB(A)</w:t>
                  </w:r>
                  <w:r>
                    <w:rPr>
                      <w:color w:val="000000" w:themeColor="text1"/>
                      <w:szCs w:val="21"/>
                      <w14:textFill>
                        <w14:solidFill>
                          <w14:schemeClr w14:val="tx1"/>
                        </w14:solidFill>
                      </w14:textFill>
                    </w:rPr>
                    <w:t>±0.5</w:t>
                  </w:r>
                </w:p>
              </w:tc>
              <w:tc>
                <w:tcPr>
                  <w:tcW w:w="1026"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合格</w:t>
                  </w:r>
                </w:p>
              </w:tc>
            </w:tr>
          </w:tbl>
          <w:p>
            <w:pPr>
              <w:spacing w:line="460" w:lineRule="exact"/>
              <w:jc w:val="center"/>
            </w:pPr>
          </w:p>
        </w:tc>
      </w:tr>
    </w:tbl>
    <w:p>
      <w:pPr>
        <w:spacing w:line="0" w:lineRule="atLeast"/>
        <w:rPr>
          <w:rFonts w:hAnsi="宋体"/>
          <w:b/>
          <w:color w:val="000000"/>
          <w:sz w:val="24"/>
        </w:rPr>
      </w:pPr>
    </w:p>
    <w:p>
      <w:pPr>
        <w:pStyle w:val="21"/>
        <w:jc w:val="left"/>
      </w:pPr>
      <w:r>
        <w:rPr>
          <w:rFonts w:hAnsi="宋体"/>
          <w:color w:val="000000"/>
        </w:rPr>
        <w:br w:type="page"/>
      </w:r>
      <w:bookmarkStart w:id="20" w:name="_Toc26719"/>
      <w:bookmarkStart w:id="21" w:name="_Toc52180564"/>
      <w:bookmarkStart w:id="22" w:name="_Toc27800"/>
      <w:r>
        <w:rPr>
          <w:rFonts w:hint="eastAsia"/>
          <w:highlight w:val="none"/>
        </w:rPr>
        <w:t>表六 验收监测内容</w:t>
      </w:r>
      <w:bookmarkEnd w:id="20"/>
      <w:bookmarkEnd w:id="21"/>
      <w:bookmarkEnd w:id="22"/>
    </w:p>
    <w:tbl>
      <w:tblPr>
        <w:tblStyle w:val="24"/>
        <w:tblW w:w="95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44" w:hRule="atLeast"/>
          <w:jc w:val="center"/>
        </w:trPr>
        <w:tc>
          <w:tcPr>
            <w:tcW w:w="9576" w:type="dxa"/>
          </w:tcPr>
          <w:p>
            <w:pPr>
              <w:spacing w:line="360" w:lineRule="auto"/>
              <w:ind w:firstLine="482" w:firstLineChars="200"/>
              <w:rPr>
                <w:b/>
                <w:bCs/>
                <w:sz w:val="24"/>
              </w:rPr>
            </w:pPr>
            <w:bookmarkStart w:id="23" w:name="_Toc17954"/>
            <w:bookmarkStart w:id="24" w:name="_Toc1134"/>
            <w:r>
              <w:rPr>
                <w:b/>
                <w:bCs/>
                <w:sz w:val="24"/>
              </w:rPr>
              <w:t>1、废水</w:t>
            </w:r>
            <w:bookmarkEnd w:id="23"/>
          </w:p>
          <w:p>
            <w:pPr>
              <w:spacing w:line="360" w:lineRule="auto"/>
              <w:ind w:firstLine="480" w:firstLineChars="200"/>
              <w:rPr>
                <w:sz w:val="24"/>
              </w:rPr>
            </w:pPr>
            <w:r>
              <w:rPr>
                <w:rFonts w:hint="eastAsia"/>
                <w:sz w:val="24"/>
              </w:rPr>
              <w:t>本项目生活污水经化粪池</w:t>
            </w:r>
            <w:r>
              <w:rPr>
                <w:rFonts w:hint="eastAsia"/>
                <w:sz w:val="24"/>
                <w:lang w:eastAsia="zh-CN"/>
              </w:rPr>
              <w:t>和加油站</w:t>
            </w:r>
            <w:r>
              <w:rPr>
                <w:rFonts w:hint="eastAsia"/>
                <w:sz w:val="24"/>
              </w:rPr>
              <w:t>冲洗废水经隔油池处理</w:t>
            </w:r>
            <w:r>
              <w:rPr>
                <w:rFonts w:hint="eastAsia"/>
                <w:sz w:val="24"/>
                <w:lang w:eastAsia="zh-CN"/>
              </w:rPr>
              <w:t>后达到</w:t>
            </w:r>
            <w:r>
              <w:rPr>
                <w:rFonts w:hint="eastAsia"/>
                <w:sz w:val="24"/>
              </w:rPr>
              <w:t>资溪</w:t>
            </w:r>
            <w:r>
              <w:rPr>
                <w:sz w:val="24"/>
              </w:rPr>
              <w:t>县城市污水处理厂接管标准后排入</w:t>
            </w:r>
            <w:r>
              <w:rPr>
                <w:rFonts w:hint="eastAsia"/>
                <w:sz w:val="24"/>
              </w:rPr>
              <w:t>资溪县城市</w:t>
            </w:r>
            <w:r>
              <w:rPr>
                <w:sz w:val="24"/>
              </w:rPr>
              <w:t>污水处理厂深度处理</w:t>
            </w:r>
            <w:r>
              <w:rPr>
                <w:rFonts w:hint="eastAsia"/>
                <w:sz w:val="24"/>
              </w:rPr>
              <w:t>。鉴于生活污水进口不满足采样条件，因此本次监测在</w:t>
            </w:r>
            <w:r>
              <w:rPr>
                <w:rFonts w:hint="eastAsia"/>
                <w:sz w:val="24"/>
                <w:lang w:eastAsia="zh-CN"/>
              </w:rPr>
              <w:t>茶博城加油站</w:t>
            </w:r>
            <w:r>
              <w:rPr>
                <w:rFonts w:hint="eastAsia"/>
                <w:sz w:val="24"/>
              </w:rPr>
              <w:t>废水排口</w:t>
            </w:r>
            <w:r>
              <w:rPr>
                <w:rFonts w:hint="eastAsia"/>
                <w:sz w:val="24"/>
                <w:lang w:eastAsia="zh-CN"/>
              </w:rPr>
              <w:t>（</w:t>
            </w:r>
            <w:r>
              <w:rPr>
                <w:rFonts w:hint="eastAsia"/>
                <w:sz w:val="24"/>
                <w:szCs w:val="24"/>
              </w:rPr>
              <w:t>资溪县城市</w:t>
            </w:r>
            <w:r>
              <w:rPr>
                <w:sz w:val="24"/>
                <w:szCs w:val="24"/>
              </w:rPr>
              <w:t>污水处理厂接管</w:t>
            </w:r>
            <w:r>
              <w:rPr>
                <w:rFonts w:hint="eastAsia"/>
                <w:sz w:val="24"/>
                <w:szCs w:val="24"/>
                <w:lang w:eastAsia="zh-CN"/>
              </w:rPr>
              <w:t>水</w:t>
            </w:r>
            <w:r>
              <w:rPr>
                <w:rFonts w:hint="eastAsia"/>
                <w:sz w:val="24"/>
                <w:lang w:eastAsia="zh-CN"/>
              </w:rPr>
              <w:t>）</w:t>
            </w:r>
            <w:r>
              <w:rPr>
                <w:rFonts w:hint="eastAsia"/>
                <w:sz w:val="24"/>
              </w:rPr>
              <w:t>设置了一个监测点位，</w:t>
            </w:r>
            <w:r>
              <w:rPr>
                <w:sz w:val="24"/>
              </w:rPr>
              <w:t>废水监测内容见表</w:t>
            </w:r>
            <w:r>
              <w:rPr>
                <w:rFonts w:hint="eastAsia"/>
                <w:sz w:val="24"/>
              </w:rPr>
              <w:t>6</w:t>
            </w:r>
            <w:r>
              <w:rPr>
                <w:sz w:val="24"/>
              </w:rPr>
              <w:t>-</w:t>
            </w:r>
            <w:r>
              <w:rPr>
                <w:rFonts w:hint="eastAsia"/>
                <w:sz w:val="24"/>
              </w:rPr>
              <w:t>1</w:t>
            </w:r>
            <w:r>
              <w:rPr>
                <w:sz w:val="24"/>
              </w:rPr>
              <w:t>。</w:t>
            </w:r>
          </w:p>
          <w:p>
            <w:pPr>
              <w:spacing w:line="360" w:lineRule="auto"/>
              <w:jc w:val="center"/>
              <w:rPr>
                <w:rFonts w:asciiTheme="majorBidi" w:hAnsiTheme="majorBidi" w:eastAsiaTheme="minorEastAsia" w:cstheme="majorBidi"/>
                <w:b/>
                <w:bCs/>
                <w:szCs w:val="21"/>
              </w:rPr>
            </w:pPr>
            <w:r>
              <w:rPr>
                <w:rFonts w:asciiTheme="majorBidi" w:hAnsiTheme="majorBidi" w:eastAsiaTheme="minorEastAsia" w:cstheme="majorBidi"/>
                <w:b/>
                <w:bCs/>
                <w:szCs w:val="21"/>
              </w:rPr>
              <w:t>表6-1  废水监测内容</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2465"/>
              <w:gridCol w:w="2950"/>
              <w:gridCol w:w="19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0" w:type="dxa"/>
                  <w:vAlign w:val="center"/>
                </w:tcPr>
                <w:p>
                  <w:pPr>
                    <w:spacing w:line="300" w:lineRule="exact"/>
                    <w:jc w:val="center"/>
                    <w:rPr>
                      <w:b/>
                      <w:bCs/>
                      <w:szCs w:val="21"/>
                    </w:rPr>
                  </w:pPr>
                  <w:r>
                    <w:rPr>
                      <w:rFonts w:hint="eastAsia"/>
                      <w:b/>
                      <w:bCs/>
                      <w:szCs w:val="21"/>
                    </w:rPr>
                    <w:t>废水名称</w:t>
                  </w:r>
                </w:p>
              </w:tc>
              <w:tc>
                <w:tcPr>
                  <w:tcW w:w="2465" w:type="dxa"/>
                  <w:vAlign w:val="center"/>
                </w:tcPr>
                <w:p>
                  <w:pPr>
                    <w:spacing w:line="300" w:lineRule="exact"/>
                    <w:jc w:val="center"/>
                    <w:rPr>
                      <w:b/>
                      <w:bCs/>
                      <w:szCs w:val="21"/>
                    </w:rPr>
                  </w:pPr>
                  <w:r>
                    <w:rPr>
                      <w:rFonts w:hint="eastAsia"/>
                      <w:b/>
                      <w:bCs/>
                      <w:szCs w:val="21"/>
                    </w:rPr>
                    <w:t>监测点位</w:t>
                  </w:r>
                </w:p>
              </w:tc>
              <w:tc>
                <w:tcPr>
                  <w:tcW w:w="2950" w:type="dxa"/>
                  <w:vAlign w:val="center"/>
                </w:tcPr>
                <w:p>
                  <w:pPr>
                    <w:spacing w:line="300" w:lineRule="exact"/>
                    <w:jc w:val="center"/>
                    <w:rPr>
                      <w:b/>
                      <w:bCs/>
                      <w:szCs w:val="21"/>
                    </w:rPr>
                  </w:pPr>
                  <w:r>
                    <w:rPr>
                      <w:rFonts w:hint="eastAsia"/>
                      <w:b/>
                      <w:bCs/>
                      <w:szCs w:val="21"/>
                    </w:rPr>
                    <w:t>监测项目</w:t>
                  </w:r>
                </w:p>
              </w:tc>
              <w:tc>
                <w:tcPr>
                  <w:tcW w:w="1971" w:type="dxa"/>
                  <w:vAlign w:val="center"/>
                </w:tcPr>
                <w:p>
                  <w:pPr>
                    <w:spacing w:line="300" w:lineRule="exact"/>
                    <w:jc w:val="center"/>
                    <w:rPr>
                      <w:b/>
                      <w:bCs/>
                      <w:szCs w:val="21"/>
                    </w:rPr>
                  </w:pPr>
                  <w:r>
                    <w:rPr>
                      <w:rFonts w:hint="eastAsia"/>
                      <w:b/>
                      <w:bCs/>
                      <w:szCs w:val="21"/>
                    </w:rPr>
                    <w:t>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0" w:type="dxa"/>
                  <w:vAlign w:val="center"/>
                </w:tcPr>
                <w:p>
                  <w:pPr>
                    <w:spacing w:line="300" w:lineRule="exact"/>
                    <w:jc w:val="center"/>
                    <w:rPr>
                      <w:szCs w:val="21"/>
                    </w:rPr>
                  </w:pPr>
                  <w:r>
                    <w:rPr>
                      <w:rFonts w:hint="eastAsia"/>
                      <w:szCs w:val="21"/>
                    </w:rPr>
                    <w:t>废水</w:t>
                  </w:r>
                </w:p>
              </w:tc>
              <w:tc>
                <w:tcPr>
                  <w:tcW w:w="2465" w:type="dxa"/>
                  <w:vAlign w:val="center"/>
                </w:tcPr>
                <w:p>
                  <w:pPr>
                    <w:spacing w:line="300" w:lineRule="exact"/>
                    <w:jc w:val="center"/>
                    <w:rPr>
                      <w:szCs w:val="21"/>
                    </w:rPr>
                  </w:pPr>
                  <w:r>
                    <w:rPr>
                      <w:rFonts w:hint="eastAsia"/>
                      <w:szCs w:val="21"/>
                      <w:lang w:eastAsia="zh-CN"/>
                    </w:rPr>
                    <w:t>废水</w:t>
                  </w:r>
                  <w:r>
                    <w:rPr>
                      <w:rFonts w:hint="eastAsia"/>
                      <w:szCs w:val="21"/>
                    </w:rPr>
                    <w:t>处理后排口</w:t>
                  </w:r>
                </w:p>
              </w:tc>
              <w:tc>
                <w:tcPr>
                  <w:tcW w:w="2950" w:type="dxa"/>
                  <w:vAlign w:val="center"/>
                </w:tcPr>
                <w:p>
                  <w:pPr>
                    <w:spacing w:line="300" w:lineRule="exact"/>
                    <w:jc w:val="center"/>
                    <w:rPr>
                      <w:szCs w:val="21"/>
                    </w:rPr>
                  </w:pPr>
                  <w:r>
                    <w:rPr>
                      <w:rFonts w:hint="eastAsia"/>
                      <w:szCs w:val="21"/>
                    </w:rPr>
                    <w:t>pH、化学需氧量、生化需氧量、悬浮物、氨氮、石油类</w:t>
                  </w:r>
                </w:p>
              </w:tc>
              <w:tc>
                <w:tcPr>
                  <w:tcW w:w="1971" w:type="dxa"/>
                  <w:vAlign w:val="center"/>
                </w:tcPr>
                <w:p>
                  <w:pPr>
                    <w:spacing w:line="300" w:lineRule="exact"/>
                    <w:jc w:val="center"/>
                    <w:rPr>
                      <w:szCs w:val="21"/>
                    </w:rPr>
                  </w:pPr>
                  <w:r>
                    <w:rPr>
                      <w:rFonts w:hint="eastAsia"/>
                      <w:szCs w:val="21"/>
                    </w:rPr>
                    <w:t>监测2天，4次/天</w:t>
                  </w:r>
                </w:p>
              </w:tc>
            </w:tr>
          </w:tbl>
          <w:p>
            <w:pPr>
              <w:spacing w:line="360" w:lineRule="auto"/>
              <w:ind w:firstLine="482" w:firstLineChars="200"/>
              <w:rPr>
                <w:b/>
                <w:bCs/>
                <w:sz w:val="24"/>
              </w:rPr>
            </w:pPr>
            <w:r>
              <w:rPr>
                <w:rFonts w:hint="eastAsia"/>
                <w:b/>
                <w:bCs/>
                <w:sz w:val="24"/>
              </w:rPr>
              <w:t>2、废气</w:t>
            </w:r>
          </w:p>
          <w:p>
            <w:pPr>
              <w:adjustRightInd w:val="0"/>
              <w:snapToGrid w:val="0"/>
              <w:spacing w:line="360" w:lineRule="auto"/>
              <w:ind w:firstLine="480"/>
              <w:rPr>
                <w:sz w:val="24"/>
              </w:rPr>
            </w:pPr>
            <w:r>
              <w:rPr>
                <w:rFonts w:hint="eastAsia"/>
                <w:sz w:val="24"/>
              </w:rPr>
              <w:t>本项目废气属无组织排放，监测内容见表6-2</w:t>
            </w:r>
            <w:r>
              <w:rPr>
                <w:sz w:val="24"/>
              </w:rPr>
              <w:t>。</w:t>
            </w:r>
          </w:p>
          <w:p>
            <w:pPr>
              <w:snapToGrid w:val="0"/>
              <w:spacing w:line="360" w:lineRule="auto"/>
              <w:ind w:firstLine="482"/>
              <w:jc w:val="center"/>
              <w:rPr>
                <w:b/>
                <w:bCs/>
                <w:szCs w:val="21"/>
              </w:rPr>
            </w:pPr>
            <w:r>
              <w:rPr>
                <w:b/>
                <w:bCs/>
                <w:szCs w:val="21"/>
              </w:rPr>
              <w:t>表</w:t>
            </w:r>
            <w:r>
              <w:rPr>
                <w:rFonts w:hint="eastAsia"/>
                <w:b/>
                <w:bCs/>
                <w:szCs w:val="21"/>
              </w:rPr>
              <w:t>6-2</w:t>
            </w:r>
            <w:r>
              <w:rPr>
                <w:b/>
                <w:bCs/>
                <w:szCs w:val="21"/>
              </w:rPr>
              <w:t xml:space="preserve">  废气无组织排放监测内容</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10"/>
              <w:gridCol w:w="1060"/>
              <w:gridCol w:w="2744"/>
              <w:gridCol w:w="1719"/>
              <w:gridCol w:w="174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510" w:type="dxa"/>
                  <w:vAlign w:val="center"/>
                </w:tcPr>
                <w:p>
                  <w:pPr>
                    <w:spacing w:line="300" w:lineRule="exact"/>
                    <w:jc w:val="center"/>
                    <w:rPr>
                      <w:b/>
                      <w:bCs/>
                      <w:szCs w:val="21"/>
                    </w:rPr>
                  </w:pPr>
                  <w:r>
                    <w:rPr>
                      <w:b/>
                      <w:bCs/>
                      <w:szCs w:val="21"/>
                    </w:rPr>
                    <w:t>监测位置</w:t>
                  </w:r>
                </w:p>
              </w:tc>
              <w:tc>
                <w:tcPr>
                  <w:tcW w:w="1060" w:type="dxa"/>
                  <w:vAlign w:val="center"/>
                </w:tcPr>
                <w:p>
                  <w:pPr>
                    <w:spacing w:line="300" w:lineRule="exact"/>
                    <w:jc w:val="center"/>
                    <w:rPr>
                      <w:b/>
                      <w:bCs/>
                      <w:szCs w:val="21"/>
                    </w:rPr>
                  </w:pPr>
                  <w:r>
                    <w:rPr>
                      <w:b/>
                      <w:bCs/>
                      <w:szCs w:val="21"/>
                    </w:rPr>
                    <w:t>点位</w:t>
                  </w:r>
                </w:p>
                <w:p>
                  <w:pPr>
                    <w:spacing w:line="300" w:lineRule="exact"/>
                    <w:jc w:val="center"/>
                    <w:rPr>
                      <w:b/>
                      <w:bCs/>
                      <w:szCs w:val="21"/>
                    </w:rPr>
                  </w:pPr>
                  <w:r>
                    <w:rPr>
                      <w:b/>
                      <w:bCs/>
                      <w:szCs w:val="21"/>
                    </w:rPr>
                    <w:t>编号</w:t>
                  </w:r>
                </w:p>
              </w:tc>
              <w:tc>
                <w:tcPr>
                  <w:tcW w:w="2744" w:type="dxa"/>
                  <w:vAlign w:val="center"/>
                </w:tcPr>
                <w:p>
                  <w:pPr>
                    <w:spacing w:line="300" w:lineRule="exact"/>
                    <w:jc w:val="center"/>
                    <w:rPr>
                      <w:b/>
                      <w:bCs/>
                      <w:szCs w:val="21"/>
                    </w:rPr>
                  </w:pPr>
                  <w:r>
                    <w:rPr>
                      <w:b/>
                      <w:bCs/>
                      <w:szCs w:val="21"/>
                    </w:rPr>
                    <w:t>监测点位名称</w:t>
                  </w:r>
                </w:p>
              </w:tc>
              <w:tc>
                <w:tcPr>
                  <w:tcW w:w="1719" w:type="dxa"/>
                  <w:vAlign w:val="center"/>
                </w:tcPr>
                <w:p>
                  <w:pPr>
                    <w:spacing w:line="300" w:lineRule="exact"/>
                    <w:jc w:val="center"/>
                    <w:rPr>
                      <w:b/>
                      <w:bCs/>
                      <w:szCs w:val="21"/>
                    </w:rPr>
                  </w:pPr>
                  <w:r>
                    <w:rPr>
                      <w:b/>
                      <w:bCs/>
                      <w:szCs w:val="21"/>
                    </w:rPr>
                    <w:t>监测项目</w:t>
                  </w:r>
                </w:p>
              </w:tc>
              <w:tc>
                <w:tcPr>
                  <w:tcW w:w="1747" w:type="dxa"/>
                  <w:vAlign w:val="center"/>
                </w:tcPr>
                <w:p>
                  <w:pPr>
                    <w:spacing w:line="300" w:lineRule="exact"/>
                    <w:jc w:val="center"/>
                    <w:rPr>
                      <w:b/>
                      <w:bCs/>
                      <w:szCs w:val="21"/>
                    </w:rPr>
                  </w:pPr>
                  <w:r>
                    <w:rPr>
                      <w:b/>
                      <w:bCs/>
                      <w:szCs w:val="21"/>
                    </w:rPr>
                    <w:t>监测时间、频次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510" w:type="dxa"/>
                  <w:vMerge w:val="restart"/>
                  <w:vAlign w:val="center"/>
                </w:tcPr>
                <w:p>
                  <w:pPr>
                    <w:spacing w:line="300" w:lineRule="exact"/>
                    <w:jc w:val="center"/>
                    <w:rPr>
                      <w:szCs w:val="21"/>
                    </w:rPr>
                  </w:pPr>
                  <w:r>
                    <w:rPr>
                      <w:rFonts w:hint="eastAsia"/>
                      <w:szCs w:val="21"/>
                      <w:lang w:eastAsia="zh-CN"/>
                    </w:rPr>
                    <w:t>厂</w:t>
                  </w:r>
                  <w:r>
                    <w:rPr>
                      <w:rFonts w:hint="eastAsia"/>
                      <w:szCs w:val="21"/>
                    </w:rPr>
                    <w:t>界</w:t>
                  </w:r>
                  <w:r>
                    <w:rPr>
                      <w:szCs w:val="21"/>
                    </w:rPr>
                    <w:t>无组织</w:t>
                  </w:r>
                </w:p>
                <w:p>
                  <w:pPr>
                    <w:spacing w:line="300" w:lineRule="exact"/>
                    <w:jc w:val="center"/>
                    <w:rPr>
                      <w:szCs w:val="21"/>
                    </w:rPr>
                  </w:pPr>
                  <w:r>
                    <w:rPr>
                      <w:szCs w:val="21"/>
                    </w:rPr>
                    <w:t>排放</w:t>
                  </w:r>
                </w:p>
              </w:tc>
              <w:tc>
                <w:tcPr>
                  <w:tcW w:w="1060" w:type="dxa"/>
                  <w:vAlign w:val="center"/>
                </w:tcPr>
                <w:p>
                  <w:pPr>
                    <w:spacing w:line="300" w:lineRule="exact"/>
                    <w:jc w:val="center"/>
                    <w:rPr>
                      <w:szCs w:val="21"/>
                    </w:rPr>
                  </w:pPr>
                  <w:r>
                    <w:rPr>
                      <w:rFonts w:hint="eastAsia"/>
                      <w:szCs w:val="21"/>
                    </w:rPr>
                    <w:t>○1</w:t>
                  </w:r>
                </w:p>
              </w:tc>
              <w:tc>
                <w:tcPr>
                  <w:tcW w:w="2744" w:type="dxa"/>
                  <w:vAlign w:val="center"/>
                </w:tcPr>
                <w:p>
                  <w:pPr>
                    <w:spacing w:line="30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上风向参照点</w:t>
                  </w:r>
                </w:p>
              </w:tc>
              <w:tc>
                <w:tcPr>
                  <w:tcW w:w="1719" w:type="dxa"/>
                  <w:vMerge w:val="restart"/>
                  <w:vAlign w:val="center"/>
                </w:tcPr>
                <w:p>
                  <w:pPr>
                    <w:spacing w:line="300" w:lineRule="exact"/>
                    <w:jc w:val="center"/>
                    <w:rPr>
                      <w:szCs w:val="21"/>
                    </w:rPr>
                  </w:pPr>
                  <w:r>
                    <w:rPr>
                      <w:rFonts w:hint="eastAsia"/>
                      <w:szCs w:val="21"/>
                    </w:rPr>
                    <w:t>非甲烷总烃</w:t>
                  </w:r>
                </w:p>
              </w:tc>
              <w:tc>
                <w:tcPr>
                  <w:tcW w:w="1747" w:type="dxa"/>
                  <w:vMerge w:val="restart"/>
                  <w:vAlign w:val="center"/>
                </w:tcPr>
                <w:p>
                  <w:pPr>
                    <w:spacing w:line="300" w:lineRule="exact"/>
                    <w:jc w:val="center"/>
                    <w:rPr>
                      <w:szCs w:val="21"/>
                    </w:rPr>
                  </w:pPr>
                  <w:r>
                    <w:rPr>
                      <w:rFonts w:hint="eastAsia"/>
                      <w:szCs w:val="21"/>
                    </w:rPr>
                    <w:t xml:space="preserve"> </w:t>
                  </w:r>
                  <w:r>
                    <w:rPr>
                      <w:szCs w:val="21"/>
                    </w:rPr>
                    <w:t>监测2天，</w:t>
                  </w:r>
                </w:p>
                <w:p>
                  <w:pPr>
                    <w:spacing w:line="300" w:lineRule="exact"/>
                    <w:jc w:val="center"/>
                    <w:rPr>
                      <w:szCs w:val="21"/>
                    </w:rPr>
                  </w:pPr>
                  <w:r>
                    <w:rPr>
                      <w:szCs w:val="21"/>
                    </w:rPr>
                    <w:t>每天监测</w:t>
                  </w:r>
                  <w:r>
                    <w:rPr>
                      <w:rFonts w:hint="eastAsia"/>
                      <w:szCs w:val="21"/>
                    </w:rPr>
                    <w:t>4</w:t>
                  </w:r>
                  <w:r>
                    <w:rPr>
                      <w:szCs w:val="21"/>
                    </w:rPr>
                    <w:t>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510" w:type="dxa"/>
                  <w:vMerge w:val="continue"/>
                  <w:vAlign w:val="center"/>
                </w:tcPr>
                <w:p>
                  <w:pPr>
                    <w:spacing w:line="300" w:lineRule="exact"/>
                    <w:jc w:val="center"/>
                    <w:rPr>
                      <w:szCs w:val="21"/>
                    </w:rPr>
                  </w:pPr>
                </w:p>
              </w:tc>
              <w:tc>
                <w:tcPr>
                  <w:tcW w:w="1060" w:type="dxa"/>
                  <w:vAlign w:val="center"/>
                </w:tcPr>
                <w:p>
                  <w:pPr>
                    <w:spacing w:line="300" w:lineRule="exact"/>
                    <w:jc w:val="center"/>
                    <w:rPr>
                      <w:szCs w:val="21"/>
                    </w:rPr>
                  </w:pPr>
                  <w:r>
                    <w:rPr>
                      <w:rFonts w:hint="eastAsia"/>
                      <w:szCs w:val="21"/>
                    </w:rPr>
                    <w:t>○2</w:t>
                  </w:r>
                </w:p>
              </w:tc>
              <w:tc>
                <w:tcPr>
                  <w:tcW w:w="2744" w:type="dxa"/>
                  <w:vAlign w:val="center"/>
                </w:tcPr>
                <w:p>
                  <w:pPr>
                    <w:spacing w:line="300" w:lineRule="exact"/>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14:textFill>
                        <w14:solidFill>
                          <w14:schemeClr w14:val="tx1"/>
                        </w14:solidFill>
                      </w14:textFill>
                    </w:rPr>
                    <w:t>下风向监控点</w:t>
                  </w:r>
                </w:p>
              </w:tc>
              <w:tc>
                <w:tcPr>
                  <w:tcW w:w="1719" w:type="dxa"/>
                  <w:vMerge w:val="continue"/>
                  <w:vAlign w:val="center"/>
                </w:tcPr>
                <w:p>
                  <w:pPr>
                    <w:spacing w:line="300" w:lineRule="exact"/>
                    <w:jc w:val="center"/>
                    <w:rPr>
                      <w:szCs w:val="21"/>
                    </w:rPr>
                  </w:pPr>
                </w:p>
              </w:tc>
              <w:tc>
                <w:tcPr>
                  <w:tcW w:w="1747" w:type="dxa"/>
                  <w:vMerge w:val="continue"/>
                  <w:vAlign w:val="center"/>
                </w:tcPr>
                <w:p>
                  <w:pPr>
                    <w:spacing w:line="300" w:lineRule="exact"/>
                    <w:jc w:val="center"/>
                    <w:rPr>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510" w:type="dxa"/>
                  <w:vMerge w:val="continue"/>
                  <w:vAlign w:val="center"/>
                </w:tcPr>
                <w:p>
                  <w:pPr>
                    <w:spacing w:line="300" w:lineRule="exact"/>
                    <w:jc w:val="center"/>
                    <w:rPr>
                      <w:szCs w:val="21"/>
                    </w:rPr>
                  </w:pPr>
                </w:p>
              </w:tc>
              <w:tc>
                <w:tcPr>
                  <w:tcW w:w="1060" w:type="dxa"/>
                  <w:vAlign w:val="center"/>
                </w:tcPr>
                <w:p>
                  <w:pPr>
                    <w:spacing w:line="300" w:lineRule="exact"/>
                    <w:jc w:val="center"/>
                    <w:rPr>
                      <w:szCs w:val="21"/>
                    </w:rPr>
                  </w:pPr>
                  <w:r>
                    <w:rPr>
                      <w:rFonts w:hint="eastAsia"/>
                      <w:szCs w:val="21"/>
                    </w:rPr>
                    <w:t>○3</w:t>
                  </w:r>
                </w:p>
              </w:tc>
              <w:tc>
                <w:tcPr>
                  <w:tcW w:w="2744" w:type="dxa"/>
                  <w:vAlign w:val="center"/>
                </w:tcPr>
                <w:p>
                  <w:pPr>
                    <w:spacing w:line="30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下风向监控点</w:t>
                  </w:r>
                </w:p>
              </w:tc>
              <w:tc>
                <w:tcPr>
                  <w:tcW w:w="1719" w:type="dxa"/>
                  <w:vMerge w:val="continue"/>
                  <w:vAlign w:val="center"/>
                </w:tcPr>
                <w:p>
                  <w:pPr>
                    <w:spacing w:line="300" w:lineRule="exact"/>
                    <w:jc w:val="center"/>
                    <w:rPr>
                      <w:szCs w:val="21"/>
                    </w:rPr>
                  </w:pPr>
                </w:p>
              </w:tc>
              <w:tc>
                <w:tcPr>
                  <w:tcW w:w="1747" w:type="dxa"/>
                  <w:vMerge w:val="continue"/>
                  <w:vAlign w:val="center"/>
                </w:tcPr>
                <w:p>
                  <w:pPr>
                    <w:spacing w:line="300" w:lineRule="exact"/>
                    <w:jc w:val="center"/>
                    <w:rPr>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510" w:type="dxa"/>
                  <w:vMerge w:val="continue"/>
                  <w:vAlign w:val="center"/>
                </w:tcPr>
                <w:p>
                  <w:pPr>
                    <w:spacing w:line="300" w:lineRule="exact"/>
                    <w:jc w:val="center"/>
                    <w:rPr>
                      <w:szCs w:val="21"/>
                    </w:rPr>
                  </w:pPr>
                </w:p>
              </w:tc>
              <w:tc>
                <w:tcPr>
                  <w:tcW w:w="1060" w:type="dxa"/>
                  <w:vAlign w:val="center"/>
                </w:tcPr>
                <w:p>
                  <w:pPr>
                    <w:spacing w:line="300" w:lineRule="exact"/>
                    <w:jc w:val="center"/>
                    <w:rPr>
                      <w:szCs w:val="21"/>
                    </w:rPr>
                  </w:pPr>
                  <w:r>
                    <w:rPr>
                      <w:rFonts w:hint="eastAsia"/>
                      <w:szCs w:val="21"/>
                    </w:rPr>
                    <w:t>○4</w:t>
                  </w:r>
                </w:p>
              </w:tc>
              <w:tc>
                <w:tcPr>
                  <w:tcW w:w="2744" w:type="dxa"/>
                  <w:vAlign w:val="center"/>
                </w:tcPr>
                <w:p>
                  <w:pPr>
                    <w:spacing w:line="30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下风向监控点</w:t>
                  </w:r>
                </w:p>
              </w:tc>
              <w:tc>
                <w:tcPr>
                  <w:tcW w:w="1719" w:type="dxa"/>
                  <w:vMerge w:val="continue"/>
                  <w:vAlign w:val="center"/>
                </w:tcPr>
                <w:p>
                  <w:pPr>
                    <w:spacing w:line="300" w:lineRule="exact"/>
                    <w:jc w:val="center"/>
                    <w:rPr>
                      <w:szCs w:val="21"/>
                    </w:rPr>
                  </w:pPr>
                </w:p>
              </w:tc>
              <w:tc>
                <w:tcPr>
                  <w:tcW w:w="1747" w:type="dxa"/>
                  <w:vMerge w:val="continue"/>
                  <w:vAlign w:val="center"/>
                </w:tcPr>
                <w:p>
                  <w:pPr>
                    <w:spacing w:line="300" w:lineRule="exact"/>
                    <w:jc w:val="center"/>
                    <w:rPr>
                      <w:szCs w:val="21"/>
                    </w:rPr>
                  </w:pPr>
                </w:p>
              </w:tc>
            </w:tr>
          </w:tbl>
          <w:p>
            <w:pPr>
              <w:spacing w:line="360" w:lineRule="auto"/>
              <w:ind w:firstLine="482" w:firstLineChars="200"/>
              <w:rPr>
                <w:b/>
                <w:bCs/>
                <w:sz w:val="24"/>
              </w:rPr>
            </w:pPr>
            <w:bookmarkStart w:id="25" w:name="_Toc32452"/>
            <w:r>
              <w:rPr>
                <w:rFonts w:hint="eastAsia"/>
                <w:b/>
                <w:bCs/>
                <w:sz w:val="24"/>
              </w:rPr>
              <w:t>3、厂界噪声</w:t>
            </w:r>
            <w:bookmarkEnd w:id="25"/>
          </w:p>
          <w:p>
            <w:pPr>
              <w:adjustRightInd w:val="0"/>
              <w:snapToGrid w:val="0"/>
              <w:spacing w:line="360" w:lineRule="auto"/>
              <w:ind w:firstLine="480" w:firstLineChars="200"/>
              <w:rPr>
                <w:sz w:val="24"/>
              </w:rPr>
            </w:pPr>
            <w:r>
              <w:rPr>
                <w:rFonts w:hint="eastAsia"/>
                <w:sz w:val="24"/>
              </w:rPr>
              <w:t>项目噪声监测内容见表6-3。</w:t>
            </w:r>
          </w:p>
          <w:p>
            <w:pPr>
              <w:spacing w:line="360" w:lineRule="auto"/>
              <w:ind w:firstLine="482"/>
              <w:jc w:val="center"/>
              <w:rPr>
                <w:rFonts w:asciiTheme="majorBidi" w:hAnsiTheme="majorBidi" w:eastAsiaTheme="minorEastAsia" w:cstheme="majorBidi"/>
                <w:b/>
                <w:bCs/>
                <w:szCs w:val="21"/>
              </w:rPr>
            </w:pPr>
            <w:r>
              <w:rPr>
                <w:rFonts w:asciiTheme="majorBidi" w:hAnsiTheme="majorBidi" w:eastAsiaTheme="minorEastAsia" w:cstheme="majorBidi"/>
                <w:b/>
                <w:bCs/>
                <w:szCs w:val="21"/>
              </w:rPr>
              <w:t>表6-3 噪声监测内容</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280"/>
              <w:gridCol w:w="1418"/>
              <w:gridCol w:w="2126"/>
              <w:gridCol w:w="27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280" w:type="dxa"/>
                  <w:vAlign w:val="center"/>
                </w:tcPr>
                <w:p>
                  <w:pPr>
                    <w:spacing w:line="312" w:lineRule="exact"/>
                    <w:jc w:val="center"/>
                    <w:rPr>
                      <w:b/>
                      <w:bCs/>
                      <w:szCs w:val="21"/>
                    </w:rPr>
                  </w:pPr>
                  <w:r>
                    <w:rPr>
                      <w:b/>
                      <w:bCs/>
                      <w:szCs w:val="21"/>
                    </w:rPr>
                    <w:t>采样位置</w:t>
                  </w:r>
                </w:p>
              </w:tc>
              <w:tc>
                <w:tcPr>
                  <w:tcW w:w="1418" w:type="dxa"/>
                  <w:vAlign w:val="center"/>
                </w:tcPr>
                <w:p>
                  <w:pPr>
                    <w:spacing w:line="312" w:lineRule="exact"/>
                    <w:jc w:val="center"/>
                    <w:rPr>
                      <w:b/>
                      <w:bCs/>
                      <w:szCs w:val="21"/>
                    </w:rPr>
                  </w:pPr>
                  <w:r>
                    <w:rPr>
                      <w:b/>
                      <w:bCs/>
                      <w:szCs w:val="21"/>
                    </w:rPr>
                    <w:t>点位编号</w:t>
                  </w:r>
                </w:p>
              </w:tc>
              <w:tc>
                <w:tcPr>
                  <w:tcW w:w="2126" w:type="dxa"/>
                  <w:vAlign w:val="center"/>
                </w:tcPr>
                <w:p>
                  <w:pPr>
                    <w:spacing w:line="312" w:lineRule="exact"/>
                    <w:jc w:val="center"/>
                    <w:rPr>
                      <w:b/>
                      <w:bCs/>
                      <w:szCs w:val="21"/>
                    </w:rPr>
                  </w:pPr>
                  <w:r>
                    <w:rPr>
                      <w:b/>
                      <w:bCs/>
                      <w:szCs w:val="21"/>
                    </w:rPr>
                    <w:t>监测分析项目</w:t>
                  </w:r>
                </w:p>
              </w:tc>
              <w:tc>
                <w:tcPr>
                  <w:tcW w:w="2704" w:type="dxa"/>
                  <w:vAlign w:val="center"/>
                </w:tcPr>
                <w:p>
                  <w:pPr>
                    <w:spacing w:line="312" w:lineRule="exact"/>
                    <w:jc w:val="center"/>
                    <w:rPr>
                      <w:b/>
                      <w:bCs/>
                      <w:szCs w:val="21"/>
                    </w:rPr>
                  </w:pPr>
                  <w:r>
                    <w:rPr>
                      <w:b/>
                      <w:bCs/>
                      <w:szCs w:val="21"/>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280" w:type="dxa"/>
                  <w:vAlign w:val="center"/>
                </w:tcPr>
                <w:p>
                  <w:pPr>
                    <w:spacing w:line="312" w:lineRule="exact"/>
                    <w:jc w:val="center"/>
                    <w:rPr>
                      <w:szCs w:val="21"/>
                    </w:rPr>
                  </w:pPr>
                  <w:r>
                    <w:rPr>
                      <w:rFonts w:hint="eastAsia"/>
                      <w:szCs w:val="21"/>
                    </w:rPr>
                    <w:t>加油站厂界东外1m处</w:t>
                  </w:r>
                </w:p>
              </w:tc>
              <w:tc>
                <w:tcPr>
                  <w:tcW w:w="1418" w:type="dxa"/>
                  <w:vAlign w:val="center"/>
                </w:tcPr>
                <w:p>
                  <w:pPr>
                    <w:spacing w:line="300" w:lineRule="exact"/>
                    <w:jc w:val="center"/>
                    <w:rPr>
                      <w:szCs w:val="21"/>
                    </w:rPr>
                  </w:pPr>
                  <w:r>
                    <w:rPr>
                      <w:rFonts w:hint="eastAsia"/>
                      <w:szCs w:val="21"/>
                    </w:rPr>
                    <w:t>▲N1</w:t>
                  </w:r>
                </w:p>
              </w:tc>
              <w:tc>
                <w:tcPr>
                  <w:tcW w:w="2126" w:type="dxa"/>
                  <w:vMerge w:val="restart"/>
                  <w:vAlign w:val="center"/>
                </w:tcPr>
                <w:p>
                  <w:pPr>
                    <w:spacing w:line="312" w:lineRule="exact"/>
                    <w:jc w:val="center"/>
                    <w:rPr>
                      <w:szCs w:val="21"/>
                    </w:rPr>
                  </w:pPr>
                  <w:r>
                    <w:rPr>
                      <w:rFonts w:hint="eastAsia"/>
                      <w:szCs w:val="21"/>
                    </w:rPr>
                    <w:t>工业企业</w:t>
                  </w:r>
                  <w:r>
                    <w:rPr>
                      <w:szCs w:val="21"/>
                    </w:rPr>
                    <w:t>厂界噪声</w:t>
                  </w:r>
                </w:p>
              </w:tc>
              <w:tc>
                <w:tcPr>
                  <w:tcW w:w="2704" w:type="dxa"/>
                  <w:vMerge w:val="restart"/>
                  <w:vAlign w:val="center"/>
                </w:tcPr>
                <w:p>
                  <w:pPr>
                    <w:spacing w:line="312" w:lineRule="exact"/>
                    <w:jc w:val="center"/>
                    <w:rPr>
                      <w:szCs w:val="21"/>
                    </w:rPr>
                  </w:pPr>
                  <w:r>
                    <w:rPr>
                      <w:szCs w:val="21"/>
                    </w:rPr>
                    <w:t>连续监测2天</w:t>
                  </w:r>
                  <w:r>
                    <w:rPr>
                      <w:rFonts w:hint="eastAsia"/>
                      <w:szCs w:val="21"/>
                    </w:rPr>
                    <w:t>，</w:t>
                  </w:r>
                </w:p>
                <w:p>
                  <w:pPr>
                    <w:spacing w:line="312" w:lineRule="exact"/>
                    <w:jc w:val="center"/>
                    <w:rPr>
                      <w:szCs w:val="21"/>
                    </w:rPr>
                  </w:pPr>
                  <w:r>
                    <w:rPr>
                      <w:szCs w:val="21"/>
                    </w:rPr>
                    <w:t>每天昼间、夜间各</w:t>
                  </w:r>
                  <w:r>
                    <w:rPr>
                      <w:rFonts w:hint="eastAsia"/>
                      <w:szCs w:val="21"/>
                    </w:rPr>
                    <w:t>1</w:t>
                  </w:r>
                  <w:r>
                    <w:rPr>
                      <w:szCs w:val="21"/>
                    </w:rPr>
                    <w:t>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280" w:type="dxa"/>
                  <w:vAlign w:val="center"/>
                </w:tcPr>
                <w:p>
                  <w:pPr>
                    <w:spacing w:line="312" w:lineRule="exact"/>
                    <w:jc w:val="center"/>
                    <w:rPr>
                      <w:szCs w:val="21"/>
                    </w:rPr>
                  </w:pPr>
                  <w:r>
                    <w:rPr>
                      <w:rFonts w:hint="eastAsia"/>
                      <w:szCs w:val="21"/>
                    </w:rPr>
                    <w:t>加油站厂界南外1m处</w:t>
                  </w:r>
                </w:p>
              </w:tc>
              <w:tc>
                <w:tcPr>
                  <w:tcW w:w="1418" w:type="dxa"/>
                  <w:vAlign w:val="center"/>
                </w:tcPr>
                <w:p>
                  <w:pPr>
                    <w:spacing w:line="300" w:lineRule="exact"/>
                    <w:jc w:val="center"/>
                    <w:rPr>
                      <w:szCs w:val="21"/>
                    </w:rPr>
                  </w:pPr>
                  <w:r>
                    <w:rPr>
                      <w:rFonts w:hint="eastAsia"/>
                      <w:szCs w:val="21"/>
                    </w:rPr>
                    <w:t>▲N2</w:t>
                  </w:r>
                </w:p>
              </w:tc>
              <w:tc>
                <w:tcPr>
                  <w:tcW w:w="2126" w:type="dxa"/>
                  <w:vMerge w:val="continue"/>
                  <w:vAlign w:val="center"/>
                </w:tcPr>
                <w:p>
                  <w:pPr>
                    <w:spacing w:line="312" w:lineRule="exact"/>
                    <w:jc w:val="center"/>
                    <w:rPr>
                      <w:szCs w:val="21"/>
                    </w:rPr>
                  </w:pPr>
                </w:p>
              </w:tc>
              <w:tc>
                <w:tcPr>
                  <w:tcW w:w="2704" w:type="dxa"/>
                  <w:vMerge w:val="continue"/>
                  <w:vAlign w:val="center"/>
                </w:tcPr>
                <w:p>
                  <w:pPr>
                    <w:spacing w:line="312" w:lineRule="exact"/>
                    <w:jc w:val="center"/>
                    <w:rPr>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280" w:type="dxa"/>
                  <w:vAlign w:val="center"/>
                </w:tcPr>
                <w:p>
                  <w:pPr>
                    <w:spacing w:line="312" w:lineRule="exact"/>
                    <w:jc w:val="center"/>
                    <w:rPr>
                      <w:szCs w:val="21"/>
                    </w:rPr>
                  </w:pPr>
                  <w:r>
                    <w:rPr>
                      <w:rFonts w:hint="eastAsia"/>
                      <w:szCs w:val="21"/>
                    </w:rPr>
                    <w:t>加油站厂界西外1m处</w:t>
                  </w:r>
                </w:p>
              </w:tc>
              <w:tc>
                <w:tcPr>
                  <w:tcW w:w="1418" w:type="dxa"/>
                  <w:vAlign w:val="center"/>
                </w:tcPr>
                <w:p>
                  <w:pPr>
                    <w:spacing w:line="300" w:lineRule="exact"/>
                    <w:jc w:val="center"/>
                    <w:rPr>
                      <w:szCs w:val="21"/>
                    </w:rPr>
                  </w:pPr>
                  <w:r>
                    <w:rPr>
                      <w:rFonts w:hint="eastAsia"/>
                      <w:szCs w:val="21"/>
                    </w:rPr>
                    <w:t>▲N3</w:t>
                  </w:r>
                </w:p>
              </w:tc>
              <w:tc>
                <w:tcPr>
                  <w:tcW w:w="2126" w:type="dxa"/>
                  <w:vMerge w:val="continue"/>
                  <w:vAlign w:val="center"/>
                </w:tcPr>
                <w:p>
                  <w:pPr>
                    <w:spacing w:line="312" w:lineRule="exact"/>
                    <w:jc w:val="center"/>
                    <w:rPr>
                      <w:szCs w:val="21"/>
                    </w:rPr>
                  </w:pPr>
                </w:p>
              </w:tc>
              <w:tc>
                <w:tcPr>
                  <w:tcW w:w="2704" w:type="dxa"/>
                  <w:vMerge w:val="continue"/>
                  <w:vAlign w:val="center"/>
                </w:tcPr>
                <w:p>
                  <w:pPr>
                    <w:spacing w:line="312" w:lineRule="exact"/>
                    <w:jc w:val="center"/>
                    <w:rPr>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2280" w:type="dxa"/>
                  <w:vAlign w:val="center"/>
                </w:tcPr>
                <w:p>
                  <w:pPr>
                    <w:spacing w:line="312" w:lineRule="exact"/>
                    <w:jc w:val="center"/>
                    <w:rPr>
                      <w:szCs w:val="21"/>
                    </w:rPr>
                  </w:pPr>
                  <w:r>
                    <w:rPr>
                      <w:rFonts w:hint="eastAsia"/>
                      <w:szCs w:val="21"/>
                    </w:rPr>
                    <w:t>加油站厂界北外1m处</w:t>
                  </w:r>
                </w:p>
              </w:tc>
              <w:tc>
                <w:tcPr>
                  <w:tcW w:w="1418" w:type="dxa"/>
                  <w:vAlign w:val="center"/>
                </w:tcPr>
                <w:p>
                  <w:pPr>
                    <w:spacing w:line="300" w:lineRule="exact"/>
                    <w:jc w:val="center"/>
                    <w:rPr>
                      <w:szCs w:val="21"/>
                    </w:rPr>
                  </w:pPr>
                  <w:r>
                    <w:rPr>
                      <w:rFonts w:hint="eastAsia"/>
                      <w:szCs w:val="21"/>
                    </w:rPr>
                    <w:t>▲N4</w:t>
                  </w:r>
                </w:p>
              </w:tc>
              <w:tc>
                <w:tcPr>
                  <w:tcW w:w="2126" w:type="dxa"/>
                  <w:vMerge w:val="continue"/>
                  <w:vAlign w:val="center"/>
                </w:tcPr>
                <w:p>
                  <w:pPr>
                    <w:spacing w:line="312" w:lineRule="exact"/>
                    <w:jc w:val="center"/>
                    <w:rPr>
                      <w:szCs w:val="21"/>
                    </w:rPr>
                  </w:pPr>
                </w:p>
              </w:tc>
              <w:tc>
                <w:tcPr>
                  <w:tcW w:w="2704" w:type="dxa"/>
                  <w:vMerge w:val="continue"/>
                  <w:vAlign w:val="center"/>
                </w:tcPr>
                <w:p>
                  <w:pPr>
                    <w:spacing w:line="312" w:lineRule="exact"/>
                    <w:jc w:val="center"/>
                    <w:rPr>
                      <w:szCs w:val="21"/>
                    </w:rPr>
                  </w:pPr>
                </w:p>
              </w:tc>
            </w:tr>
            <w:bookmarkEnd w:id="24"/>
          </w:tbl>
          <w:p>
            <w:pPr>
              <w:pStyle w:val="39"/>
              <w:rPr>
                <w:rFonts w:eastAsia="仿宋"/>
              </w:rPr>
            </w:pPr>
          </w:p>
        </w:tc>
      </w:tr>
    </w:tbl>
    <w:p>
      <w:pPr>
        <w:pStyle w:val="21"/>
        <w:jc w:val="left"/>
        <w:rPr>
          <w:highlight w:val="none"/>
        </w:rPr>
      </w:pPr>
      <w:bookmarkStart w:id="26" w:name="_Toc2887"/>
      <w:bookmarkStart w:id="27" w:name="_Toc52180565"/>
      <w:bookmarkStart w:id="28" w:name="_Toc30435"/>
      <w:r>
        <w:rPr>
          <w:rFonts w:hint="eastAsia"/>
          <w:highlight w:val="none"/>
        </w:rPr>
        <w:t>表七 验收监测生产工况及监测结果</w:t>
      </w:r>
      <w:bookmarkEnd w:id="26"/>
      <w:bookmarkEnd w:id="27"/>
      <w:bookmarkEnd w:id="28"/>
    </w:p>
    <w:tbl>
      <w:tblPr>
        <w:tblStyle w:val="24"/>
        <w:tblW w:w="9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73" w:hRule="atLeast"/>
          <w:jc w:val="center"/>
        </w:trPr>
        <w:tc>
          <w:tcPr>
            <w:tcW w:w="9354" w:type="dxa"/>
          </w:tcPr>
          <w:p>
            <w:pPr>
              <w:adjustRightInd w:val="0"/>
              <w:snapToGrid w:val="0"/>
              <w:spacing w:line="360" w:lineRule="auto"/>
              <w:ind w:firstLine="480"/>
              <w:rPr>
                <w:bCs/>
                <w:sz w:val="24"/>
              </w:rPr>
            </w:pPr>
            <w:r>
              <w:rPr>
                <w:rFonts w:hint="eastAsia"/>
                <w:bCs/>
                <w:sz w:val="24"/>
              </w:rPr>
              <w:t>验收监测期间，环保设施运行情况正常，项目工况见表7-1。</w:t>
            </w:r>
          </w:p>
          <w:p>
            <w:pPr>
              <w:jc w:val="center"/>
              <w:rPr>
                <w:b/>
                <w:bCs/>
                <w:szCs w:val="21"/>
              </w:rPr>
            </w:pPr>
            <w:r>
              <w:rPr>
                <w:rFonts w:hint="eastAsia"/>
                <w:b/>
                <w:bCs/>
                <w:szCs w:val="21"/>
              </w:rPr>
              <w:t>表7-1 验收监测期间项目工况统计</w:t>
            </w:r>
          </w:p>
          <w:tbl>
            <w:tblPr>
              <w:tblStyle w:val="24"/>
              <w:tblW w:w="861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30"/>
              <w:gridCol w:w="1552"/>
              <w:gridCol w:w="1876"/>
              <w:gridCol w:w="1877"/>
              <w:gridCol w:w="187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0" w:type="dxa"/>
                  <w:vAlign w:val="center"/>
                </w:tcPr>
                <w:p>
                  <w:pPr>
                    <w:jc w:val="center"/>
                    <w:rPr>
                      <w:rFonts w:asciiTheme="majorBidi" w:hAnsiTheme="majorBidi" w:cstheme="majorBidi"/>
                      <w:b/>
                      <w:bCs/>
                      <w:szCs w:val="21"/>
                    </w:rPr>
                  </w:pPr>
                  <w:r>
                    <w:rPr>
                      <w:rFonts w:asciiTheme="majorBidi" w:hAnsiTheme="majorBidi" w:cstheme="majorBidi"/>
                      <w:b/>
                      <w:bCs/>
                      <w:szCs w:val="21"/>
                    </w:rPr>
                    <w:t>产品名称</w:t>
                  </w:r>
                </w:p>
              </w:tc>
              <w:tc>
                <w:tcPr>
                  <w:tcW w:w="1552" w:type="dxa"/>
                  <w:vAlign w:val="center"/>
                </w:tcPr>
                <w:p>
                  <w:pPr>
                    <w:jc w:val="center"/>
                    <w:rPr>
                      <w:rFonts w:asciiTheme="majorBidi" w:hAnsiTheme="majorBidi" w:cstheme="majorBidi"/>
                      <w:b/>
                      <w:bCs/>
                      <w:szCs w:val="21"/>
                    </w:rPr>
                  </w:pPr>
                  <w:r>
                    <w:rPr>
                      <w:rFonts w:asciiTheme="majorBidi" w:hAnsiTheme="majorBidi" w:cstheme="majorBidi"/>
                      <w:b/>
                      <w:bCs/>
                      <w:szCs w:val="21"/>
                    </w:rPr>
                    <w:t>监测日期</w:t>
                  </w:r>
                </w:p>
              </w:tc>
              <w:tc>
                <w:tcPr>
                  <w:tcW w:w="1876" w:type="dxa"/>
                  <w:vAlign w:val="center"/>
                </w:tcPr>
                <w:p>
                  <w:pPr>
                    <w:jc w:val="center"/>
                    <w:rPr>
                      <w:rFonts w:asciiTheme="majorBidi" w:hAnsiTheme="majorBidi" w:cstheme="majorBidi"/>
                      <w:b/>
                      <w:bCs/>
                      <w:szCs w:val="21"/>
                    </w:rPr>
                  </w:pPr>
                  <w:r>
                    <w:rPr>
                      <w:rFonts w:asciiTheme="majorBidi" w:hAnsiTheme="majorBidi" w:cstheme="majorBidi"/>
                      <w:b/>
                      <w:bCs/>
                      <w:szCs w:val="21"/>
                    </w:rPr>
                    <w:t>设计销售量 t/d</w:t>
                  </w:r>
                </w:p>
              </w:tc>
              <w:tc>
                <w:tcPr>
                  <w:tcW w:w="1877" w:type="dxa"/>
                  <w:vAlign w:val="center"/>
                </w:tcPr>
                <w:p>
                  <w:pPr>
                    <w:jc w:val="center"/>
                    <w:rPr>
                      <w:rFonts w:asciiTheme="majorBidi" w:hAnsiTheme="majorBidi" w:cstheme="majorBidi"/>
                      <w:b/>
                      <w:bCs/>
                      <w:szCs w:val="21"/>
                    </w:rPr>
                  </w:pPr>
                  <w:r>
                    <w:rPr>
                      <w:rFonts w:asciiTheme="majorBidi" w:hAnsiTheme="majorBidi" w:cstheme="majorBidi"/>
                      <w:b/>
                      <w:bCs/>
                      <w:szCs w:val="21"/>
                    </w:rPr>
                    <w:t>实际销售量 t/d</w:t>
                  </w:r>
                </w:p>
              </w:tc>
              <w:tc>
                <w:tcPr>
                  <w:tcW w:w="1878" w:type="dxa"/>
                  <w:vAlign w:val="center"/>
                </w:tcPr>
                <w:p>
                  <w:pPr>
                    <w:jc w:val="center"/>
                    <w:rPr>
                      <w:rFonts w:asciiTheme="majorBidi" w:hAnsiTheme="majorBidi" w:cstheme="majorBidi"/>
                      <w:b/>
                      <w:bCs/>
                      <w:szCs w:val="21"/>
                    </w:rPr>
                  </w:pPr>
                  <w:r>
                    <w:rPr>
                      <w:rFonts w:asciiTheme="majorBidi" w:hAnsiTheme="majorBidi" w:cstheme="majorBidi"/>
                      <w:b/>
                      <w:bCs/>
                      <w:szCs w:val="21"/>
                    </w:rPr>
                    <w:t>生产负荷（%）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0" w:type="dxa"/>
                  <w:vMerge w:val="restart"/>
                  <w:vAlign w:val="center"/>
                </w:tcPr>
                <w:p>
                  <w:pPr>
                    <w:jc w:val="center"/>
                    <w:rPr>
                      <w:rFonts w:asciiTheme="majorBidi" w:hAnsiTheme="majorBidi" w:cstheme="majorBidi"/>
                      <w:szCs w:val="21"/>
                    </w:rPr>
                  </w:pPr>
                  <w:r>
                    <w:rPr>
                      <w:rFonts w:asciiTheme="majorBidi" w:hAnsiTheme="majorBidi" w:cstheme="majorBidi"/>
                      <w:szCs w:val="21"/>
                    </w:rPr>
                    <w:t>汽油</w:t>
                  </w:r>
                </w:p>
              </w:tc>
              <w:tc>
                <w:tcPr>
                  <w:tcW w:w="1552" w:type="dxa"/>
                  <w:vAlign w:val="center"/>
                </w:tcPr>
                <w:p>
                  <w:pPr>
                    <w:jc w:val="center"/>
                    <w:rPr>
                      <w:rFonts w:asciiTheme="majorBidi" w:hAnsiTheme="majorBidi" w:cstheme="majorBidi"/>
                      <w:szCs w:val="21"/>
                    </w:rPr>
                  </w:pPr>
                  <w:r>
                    <w:rPr>
                      <w:rFonts w:hint="eastAsia" w:asciiTheme="majorBidi" w:hAnsiTheme="majorBidi" w:cstheme="majorBidi"/>
                      <w:szCs w:val="21"/>
                      <w:lang w:val="en-US" w:eastAsia="zh-CN"/>
                    </w:rPr>
                    <w:t>1</w:t>
                  </w:r>
                  <w:r>
                    <w:rPr>
                      <w:rFonts w:asciiTheme="majorBidi" w:hAnsiTheme="majorBidi" w:cstheme="majorBidi"/>
                      <w:szCs w:val="21"/>
                    </w:rPr>
                    <w:t>月6日</w:t>
                  </w:r>
                </w:p>
              </w:tc>
              <w:tc>
                <w:tcPr>
                  <w:tcW w:w="1876" w:type="dxa"/>
                  <w:vAlign w:val="center"/>
                </w:tcPr>
                <w:p>
                  <w:pPr>
                    <w:jc w:val="center"/>
                    <w:rPr>
                      <w:rFonts w:hint="default" w:eastAsia="宋体" w:asciiTheme="majorBidi" w:hAnsiTheme="majorBidi" w:cstheme="majorBidi"/>
                      <w:szCs w:val="21"/>
                      <w:lang w:val="en-US" w:eastAsia="zh-CN"/>
                    </w:rPr>
                  </w:pPr>
                  <w:r>
                    <w:rPr>
                      <w:rFonts w:hint="eastAsia" w:asciiTheme="majorBidi" w:hAnsiTheme="majorBidi" w:cstheme="majorBidi"/>
                      <w:szCs w:val="21"/>
                      <w:lang w:val="en-US" w:eastAsia="zh-CN"/>
                    </w:rPr>
                    <w:t>4.22</w:t>
                  </w:r>
                </w:p>
              </w:tc>
              <w:tc>
                <w:tcPr>
                  <w:tcW w:w="1877" w:type="dxa"/>
                  <w:vAlign w:val="center"/>
                </w:tcPr>
                <w:p>
                  <w:pPr>
                    <w:jc w:val="center"/>
                    <w:rPr>
                      <w:rFonts w:hint="default" w:eastAsia="宋体" w:asciiTheme="majorBidi" w:hAnsiTheme="majorBidi" w:cstheme="majorBidi"/>
                      <w:szCs w:val="21"/>
                      <w:lang w:val="en-US" w:eastAsia="zh-CN"/>
                    </w:rPr>
                  </w:pPr>
                  <w:r>
                    <w:rPr>
                      <w:rFonts w:hint="eastAsia" w:asciiTheme="majorBidi" w:hAnsiTheme="majorBidi" w:cstheme="majorBidi"/>
                      <w:szCs w:val="21"/>
                      <w:lang w:val="en-US" w:eastAsia="zh-CN"/>
                    </w:rPr>
                    <w:t>3.21</w:t>
                  </w:r>
                </w:p>
              </w:tc>
              <w:tc>
                <w:tcPr>
                  <w:tcW w:w="1878" w:type="dxa"/>
                  <w:vAlign w:val="center"/>
                </w:tcPr>
                <w:p>
                  <w:pPr>
                    <w:jc w:val="center"/>
                    <w:rPr>
                      <w:rFonts w:asciiTheme="majorBidi" w:hAnsiTheme="majorBidi" w:cstheme="majorBidi"/>
                      <w:szCs w:val="21"/>
                    </w:rPr>
                  </w:pPr>
                  <w:r>
                    <w:rPr>
                      <w:rFonts w:asciiTheme="majorBidi" w:hAnsiTheme="majorBidi" w:cstheme="majorBidi"/>
                      <w:szCs w:val="21"/>
                    </w:rPr>
                    <w:t>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0" w:type="dxa"/>
                  <w:vMerge w:val="continue"/>
                  <w:vAlign w:val="center"/>
                </w:tcPr>
                <w:p>
                  <w:pPr>
                    <w:jc w:val="center"/>
                    <w:rPr>
                      <w:rFonts w:asciiTheme="majorBidi" w:hAnsiTheme="majorBidi" w:cstheme="majorBidi"/>
                      <w:szCs w:val="21"/>
                    </w:rPr>
                  </w:pPr>
                </w:p>
              </w:tc>
              <w:tc>
                <w:tcPr>
                  <w:tcW w:w="1552" w:type="dxa"/>
                  <w:vAlign w:val="center"/>
                </w:tcPr>
                <w:p>
                  <w:pPr>
                    <w:jc w:val="center"/>
                    <w:rPr>
                      <w:rFonts w:asciiTheme="majorBidi" w:hAnsiTheme="majorBidi" w:cstheme="majorBidi"/>
                      <w:szCs w:val="21"/>
                    </w:rPr>
                  </w:pPr>
                  <w:r>
                    <w:rPr>
                      <w:rFonts w:hint="eastAsia" w:asciiTheme="majorBidi" w:hAnsiTheme="majorBidi" w:cstheme="majorBidi"/>
                      <w:szCs w:val="21"/>
                      <w:lang w:val="en-US" w:eastAsia="zh-CN"/>
                    </w:rPr>
                    <w:t>1</w:t>
                  </w:r>
                  <w:r>
                    <w:rPr>
                      <w:rFonts w:asciiTheme="majorBidi" w:hAnsiTheme="majorBidi" w:cstheme="majorBidi"/>
                      <w:szCs w:val="21"/>
                    </w:rPr>
                    <w:t>月7日</w:t>
                  </w:r>
                </w:p>
              </w:tc>
              <w:tc>
                <w:tcPr>
                  <w:tcW w:w="1876" w:type="dxa"/>
                  <w:vAlign w:val="center"/>
                </w:tcPr>
                <w:p>
                  <w:pPr>
                    <w:jc w:val="center"/>
                    <w:rPr>
                      <w:rFonts w:asciiTheme="majorBidi" w:hAnsiTheme="majorBidi" w:cstheme="majorBidi"/>
                      <w:szCs w:val="21"/>
                    </w:rPr>
                  </w:pPr>
                  <w:r>
                    <w:rPr>
                      <w:rFonts w:hint="eastAsia" w:asciiTheme="majorBidi" w:hAnsiTheme="majorBidi" w:cstheme="majorBidi"/>
                      <w:szCs w:val="21"/>
                      <w:lang w:val="en-US" w:eastAsia="zh-CN"/>
                    </w:rPr>
                    <w:t>4.22</w:t>
                  </w:r>
                </w:p>
              </w:tc>
              <w:tc>
                <w:tcPr>
                  <w:tcW w:w="1877" w:type="dxa"/>
                  <w:vAlign w:val="center"/>
                </w:tcPr>
                <w:p>
                  <w:pPr>
                    <w:jc w:val="center"/>
                    <w:rPr>
                      <w:rFonts w:hint="default" w:eastAsia="宋体" w:asciiTheme="majorBidi" w:hAnsiTheme="majorBidi" w:cstheme="majorBidi"/>
                      <w:szCs w:val="21"/>
                      <w:lang w:val="en-US" w:eastAsia="zh-CN"/>
                    </w:rPr>
                  </w:pPr>
                  <w:r>
                    <w:rPr>
                      <w:rFonts w:hint="eastAsia" w:asciiTheme="majorBidi" w:hAnsiTheme="majorBidi" w:cstheme="majorBidi"/>
                      <w:szCs w:val="21"/>
                      <w:lang w:val="en-US" w:eastAsia="zh-CN"/>
                    </w:rPr>
                    <w:t>3.29</w:t>
                  </w:r>
                </w:p>
              </w:tc>
              <w:tc>
                <w:tcPr>
                  <w:tcW w:w="1878" w:type="dxa"/>
                  <w:vAlign w:val="center"/>
                </w:tcPr>
                <w:p>
                  <w:pPr>
                    <w:jc w:val="center"/>
                    <w:rPr>
                      <w:rFonts w:hint="eastAsia" w:eastAsia="宋体" w:asciiTheme="majorBidi" w:hAnsiTheme="majorBidi" w:cstheme="majorBidi"/>
                      <w:szCs w:val="21"/>
                      <w:lang w:val="en-US" w:eastAsia="zh-CN"/>
                    </w:rPr>
                  </w:pPr>
                  <w:r>
                    <w:rPr>
                      <w:rFonts w:asciiTheme="majorBidi" w:hAnsiTheme="majorBidi" w:cstheme="majorBidi"/>
                      <w:szCs w:val="21"/>
                    </w:rPr>
                    <w:t>7</w:t>
                  </w:r>
                  <w:r>
                    <w:rPr>
                      <w:rFonts w:hint="eastAsia" w:asciiTheme="majorBidi" w:hAnsiTheme="majorBidi" w:cstheme="majorBidi"/>
                      <w:szCs w:val="21"/>
                      <w:lang w:val="en-US" w:eastAsia="zh-CN"/>
                    </w:rPr>
                    <w:t>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0" w:type="dxa"/>
                  <w:vMerge w:val="restart"/>
                  <w:vAlign w:val="center"/>
                </w:tcPr>
                <w:p>
                  <w:pPr>
                    <w:jc w:val="center"/>
                    <w:rPr>
                      <w:rFonts w:asciiTheme="majorBidi" w:hAnsiTheme="majorBidi" w:cstheme="majorBidi"/>
                      <w:szCs w:val="21"/>
                    </w:rPr>
                  </w:pPr>
                  <w:r>
                    <w:rPr>
                      <w:rFonts w:asciiTheme="majorBidi" w:hAnsiTheme="majorBidi" w:cstheme="majorBidi"/>
                      <w:szCs w:val="21"/>
                    </w:rPr>
                    <w:t>柴油</w:t>
                  </w:r>
                </w:p>
              </w:tc>
              <w:tc>
                <w:tcPr>
                  <w:tcW w:w="1552" w:type="dxa"/>
                  <w:vAlign w:val="center"/>
                </w:tcPr>
                <w:p>
                  <w:pPr>
                    <w:jc w:val="center"/>
                    <w:rPr>
                      <w:rFonts w:asciiTheme="majorBidi" w:hAnsiTheme="majorBidi" w:cstheme="majorBidi"/>
                      <w:szCs w:val="21"/>
                    </w:rPr>
                  </w:pPr>
                  <w:r>
                    <w:rPr>
                      <w:rFonts w:hint="eastAsia" w:asciiTheme="majorBidi" w:hAnsiTheme="majorBidi" w:cstheme="majorBidi"/>
                      <w:szCs w:val="21"/>
                      <w:lang w:val="en-US" w:eastAsia="zh-CN"/>
                    </w:rPr>
                    <w:t>1</w:t>
                  </w:r>
                  <w:r>
                    <w:rPr>
                      <w:rFonts w:asciiTheme="majorBidi" w:hAnsiTheme="majorBidi" w:cstheme="majorBidi"/>
                      <w:szCs w:val="21"/>
                    </w:rPr>
                    <w:t>月6日</w:t>
                  </w:r>
                </w:p>
              </w:tc>
              <w:tc>
                <w:tcPr>
                  <w:tcW w:w="1876" w:type="dxa"/>
                  <w:vAlign w:val="center"/>
                </w:tcPr>
                <w:p>
                  <w:pPr>
                    <w:jc w:val="center"/>
                    <w:rPr>
                      <w:rFonts w:hint="default" w:eastAsia="宋体" w:asciiTheme="majorBidi" w:hAnsiTheme="majorBidi" w:cstheme="majorBidi"/>
                      <w:szCs w:val="21"/>
                      <w:lang w:val="en-US" w:eastAsia="zh-CN"/>
                    </w:rPr>
                  </w:pPr>
                  <w:r>
                    <w:rPr>
                      <w:rFonts w:hint="eastAsia" w:asciiTheme="majorBidi" w:hAnsiTheme="majorBidi" w:cstheme="majorBidi"/>
                      <w:szCs w:val="21"/>
                      <w:lang w:val="en-US" w:eastAsia="zh-CN"/>
                    </w:rPr>
                    <w:t>1.81</w:t>
                  </w:r>
                </w:p>
              </w:tc>
              <w:tc>
                <w:tcPr>
                  <w:tcW w:w="1877" w:type="dxa"/>
                  <w:vAlign w:val="center"/>
                </w:tcPr>
                <w:p>
                  <w:pPr>
                    <w:jc w:val="center"/>
                    <w:rPr>
                      <w:rFonts w:hint="default" w:eastAsia="宋体" w:asciiTheme="majorBidi" w:hAnsiTheme="majorBidi" w:cstheme="majorBidi"/>
                      <w:szCs w:val="21"/>
                      <w:lang w:val="en-US" w:eastAsia="zh-CN"/>
                    </w:rPr>
                  </w:pPr>
                  <w:r>
                    <w:rPr>
                      <w:rFonts w:hint="eastAsia" w:asciiTheme="majorBidi" w:hAnsiTheme="majorBidi" w:cstheme="majorBidi"/>
                      <w:szCs w:val="21"/>
                      <w:lang w:val="en-US" w:eastAsia="zh-CN"/>
                    </w:rPr>
                    <w:t>1.39</w:t>
                  </w:r>
                </w:p>
              </w:tc>
              <w:tc>
                <w:tcPr>
                  <w:tcW w:w="1878" w:type="dxa"/>
                  <w:vAlign w:val="center"/>
                </w:tcPr>
                <w:p>
                  <w:pPr>
                    <w:jc w:val="center"/>
                    <w:rPr>
                      <w:rFonts w:hint="eastAsia" w:eastAsia="宋体" w:asciiTheme="majorBidi" w:hAnsiTheme="majorBidi" w:cstheme="majorBidi"/>
                      <w:szCs w:val="21"/>
                      <w:lang w:eastAsia="zh-CN"/>
                    </w:rPr>
                  </w:pPr>
                  <w:r>
                    <w:rPr>
                      <w:rFonts w:asciiTheme="majorBidi" w:hAnsiTheme="majorBidi" w:cstheme="majorBidi"/>
                      <w:szCs w:val="21"/>
                    </w:rPr>
                    <w:t>7</w:t>
                  </w:r>
                  <w:r>
                    <w:rPr>
                      <w:rFonts w:hint="eastAsia" w:asciiTheme="majorBidi" w:hAnsiTheme="majorBidi" w:cstheme="majorBidi"/>
                      <w:szCs w:val="21"/>
                      <w:lang w:val="en-US" w:eastAsia="zh-CN"/>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30" w:type="dxa"/>
                  <w:vMerge w:val="continue"/>
                  <w:vAlign w:val="center"/>
                </w:tcPr>
                <w:p>
                  <w:pPr>
                    <w:jc w:val="center"/>
                    <w:rPr>
                      <w:rFonts w:asciiTheme="majorBidi" w:hAnsiTheme="majorBidi" w:cstheme="majorBidi"/>
                      <w:szCs w:val="21"/>
                    </w:rPr>
                  </w:pPr>
                </w:p>
              </w:tc>
              <w:tc>
                <w:tcPr>
                  <w:tcW w:w="1552" w:type="dxa"/>
                  <w:vAlign w:val="center"/>
                </w:tcPr>
                <w:p>
                  <w:pPr>
                    <w:jc w:val="center"/>
                    <w:rPr>
                      <w:rFonts w:asciiTheme="majorBidi" w:hAnsiTheme="majorBidi" w:cstheme="majorBidi"/>
                      <w:szCs w:val="21"/>
                    </w:rPr>
                  </w:pPr>
                  <w:r>
                    <w:rPr>
                      <w:rFonts w:hint="eastAsia" w:asciiTheme="majorBidi" w:hAnsiTheme="majorBidi" w:cstheme="majorBidi"/>
                      <w:szCs w:val="21"/>
                      <w:lang w:val="en-US" w:eastAsia="zh-CN"/>
                    </w:rPr>
                    <w:t>1</w:t>
                  </w:r>
                  <w:r>
                    <w:rPr>
                      <w:rFonts w:asciiTheme="majorBidi" w:hAnsiTheme="majorBidi" w:cstheme="majorBidi"/>
                      <w:szCs w:val="21"/>
                    </w:rPr>
                    <w:t>月7日</w:t>
                  </w:r>
                </w:p>
              </w:tc>
              <w:tc>
                <w:tcPr>
                  <w:tcW w:w="1876" w:type="dxa"/>
                  <w:vAlign w:val="center"/>
                </w:tcPr>
                <w:p>
                  <w:pPr>
                    <w:jc w:val="center"/>
                    <w:rPr>
                      <w:rFonts w:asciiTheme="majorBidi" w:hAnsiTheme="majorBidi" w:cstheme="majorBidi"/>
                      <w:szCs w:val="21"/>
                    </w:rPr>
                  </w:pPr>
                  <w:r>
                    <w:rPr>
                      <w:rFonts w:hint="eastAsia" w:asciiTheme="majorBidi" w:hAnsiTheme="majorBidi" w:cstheme="majorBidi"/>
                      <w:szCs w:val="21"/>
                      <w:lang w:val="en-US" w:eastAsia="zh-CN"/>
                    </w:rPr>
                    <w:t>1.81</w:t>
                  </w:r>
                </w:p>
              </w:tc>
              <w:tc>
                <w:tcPr>
                  <w:tcW w:w="1877" w:type="dxa"/>
                  <w:vAlign w:val="center"/>
                </w:tcPr>
                <w:p>
                  <w:pPr>
                    <w:jc w:val="center"/>
                    <w:rPr>
                      <w:rFonts w:hint="default" w:eastAsia="宋体" w:asciiTheme="majorBidi" w:hAnsiTheme="majorBidi" w:cstheme="majorBidi"/>
                      <w:szCs w:val="21"/>
                      <w:lang w:val="en-US" w:eastAsia="zh-CN"/>
                    </w:rPr>
                  </w:pPr>
                  <w:r>
                    <w:rPr>
                      <w:rFonts w:hint="eastAsia" w:asciiTheme="majorBidi" w:hAnsiTheme="majorBidi" w:cstheme="majorBidi"/>
                      <w:szCs w:val="21"/>
                      <w:lang w:val="en-US" w:eastAsia="zh-CN"/>
                    </w:rPr>
                    <w:t>1.41</w:t>
                  </w:r>
                </w:p>
              </w:tc>
              <w:tc>
                <w:tcPr>
                  <w:tcW w:w="1878" w:type="dxa"/>
                  <w:vAlign w:val="center"/>
                </w:tcPr>
                <w:p>
                  <w:pPr>
                    <w:jc w:val="center"/>
                    <w:rPr>
                      <w:rFonts w:asciiTheme="majorBidi" w:hAnsiTheme="majorBidi" w:cstheme="majorBidi"/>
                      <w:szCs w:val="21"/>
                    </w:rPr>
                  </w:pPr>
                  <w:r>
                    <w:rPr>
                      <w:rFonts w:asciiTheme="majorBidi" w:hAnsiTheme="majorBidi" w:cstheme="majorBidi"/>
                      <w:szCs w:val="21"/>
                    </w:rPr>
                    <w:t>78</w:t>
                  </w:r>
                </w:p>
              </w:tc>
            </w:tr>
          </w:tbl>
          <w:p>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在20</w:t>
            </w:r>
            <w:r>
              <w:rPr>
                <w:rFonts w:hint="eastAsia"/>
                <w:color w:val="000000" w:themeColor="text1"/>
                <w:sz w:val="24"/>
                <w14:textFill>
                  <w14:solidFill>
                    <w14:schemeClr w14:val="tx1"/>
                  </w14:solidFill>
                </w14:textFill>
              </w:rPr>
              <w:t>2</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年</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月6~7日</w:t>
            </w:r>
            <w:r>
              <w:rPr>
                <w:color w:val="000000" w:themeColor="text1"/>
                <w:sz w:val="24"/>
                <w14:textFill>
                  <w14:solidFill>
                    <w14:schemeClr w14:val="tx1"/>
                  </w14:solidFill>
                </w14:textFill>
              </w:rPr>
              <w:t>监测期间内，</w:t>
            </w:r>
            <w:r>
              <w:rPr>
                <w:rFonts w:hint="eastAsia"/>
                <w:bCs/>
                <w:color w:val="000000" w:themeColor="text1"/>
                <w:sz w:val="24"/>
                <w14:textFill>
                  <w14:solidFill>
                    <w14:schemeClr w14:val="tx1"/>
                  </w14:solidFill>
                </w14:textFill>
              </w:rPr>
              <w:t>汽油销售量为</w:t>
            </w:r>
            <w:r>
              <w:rPr>
                <w:rFonts w:hint="eastAsia"/>
                <w:bCs/>
                <w:color w:val="000000" w:themeColor="text1"/>
                <w:sz w:val="24"/>
                <w:lang w:val="en-US" w:eastAsia="zh-CN"/>
                <w14:textFill>
                  <w14:solidFill>
                    <w14:schemeClr w14:val="tx1"/>
                  </w14:solidFill>
                </w14:textFill>
              </w:rPr>
              <w:t>3.21</w:t>
            </w:r>
            <w:r>
              <w:rPr>
                <w:rFonts w:hint="eastAsia"/>
                <w:bCs/>
                <w:color w:val="000000" w:themeColor="text1"/>
                <w:sz w:val="24"/>
                <w14:textFill>
                  <w14:solidFill>
                    <w14:schemeClr w14:val="tx1"/>
                  </w14:solidFill>
                </w14:textFill>
              </w:rPr>
              <w:t>~</w:t>
            </w:r>
            <w:r>
              <w:rPr>
                <w:rFonts w:hint="eastAsia"/>
                <w:bCs/>
                <w:color w:val="000000" w:themeColor="text1"/>
                <w:sz w:val="24"/>
                <w:lang w:val="en-US" w:eastAsia="zh-CN"/>
                <w14:textFill>
                  <w14:solidFill>
                    <w14:schemeClr w14:val="tx1"/>
                  </w14:solidFill>
                </w14:textFill>
              </w:rPr>
              <w:t>3.29</w:t>
            </w:r>
            <w:r>
              <w:rPr>
                <w:rFonts w:hint="eastAsia"/>
                <w:bCs/>
                <w:color w:val="000000" w:themeColor="text1"/>
                <w:sz w:val="24"/>
                <w14:textFill>
                  <w14:solidFill>
                    <w14:schemeClr w14:val="tx1"/>
                  </w14:solidFill>
                </w14:textFill>
              </w:rPr>
              <w:t>t/d，</w:t>
            </w:r>
            <w:r>
              <w:rPr>
                <w:color w:val="000000" w:themeColor="text1"/>
                <w:sz w:val="24"/>
                <w14:textFill>
                  <w14:solidFill>
                    <w14:schemeClr w14:val="tx1"/>
                  </w14:solidFill>
                </w14:textFill>
              </w:rPr>
              <w:t>占设计</w:t>
            </w:r>
            <w:r>
              <w:rPr>
                <w:rFonts w:hint="eastAsia"/>
                <w:color w:val="000000" w:themeColor="text1"/>
                <w:sz w:val="24"/>
                <w14:textFill>
                  <w14:solidFill>
                    <w14:schemeClr w14:val="tx1"/>
                  </w14:solidFill>
                </w14:textFill>
              </w:rPr>
              <w:t>销售量</w:t>
            </w:r>
            <w:r>
              <w:rPr>
                <w:color w:val="000000" w:themeColor="text1"/>
                <w:sz w:val="24"/>
                <w14:textFill>
                  <w14:solidFill>
                    <w14:schemeClr w14:val="tx1"/>
                  </w14:solidFill>
                </w14:textFill>
              </w:rPr>
              <w:t>的</w:t>
            </w:r>
            <w:r>
              <w:rPr>
                <w:rFonts w:hint="eastAsia"/>
                <w:color w:val="000000" w:themeColor="text1"/>
                <w:sz w:val="24"/>
                <w14:textFill>
                  <w14:solidFill>
                    <w14:schemeClr w14:val="tx1"/>
                  </w14:solidFill>
                </w14:textFill>
              </w:rPr>
              <w:t>76~7</w:t>
            </w:r>
            <w:r>
              <w:rPr>
                <w:rFonts w:hint="eastAsia"/>
                <w:color w:val="000000" w:themeColor="text1"/>
                <w:sz w:val="24"/>
                <w:lang w:val="en-US" w:eastAsia="zh-CN"/>
                <w14:textFill>
                  <w14:solidFill>
                    <w14:schemeClr w14:val="tx1"/>
                  </w14:solidFill>
                </w14:textFill>
              </w:rPr>
              <w:t>8</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柴油销售量为</w:t>
            </w:r>
            <w:r>
              <w:rPr>
                <w:rFonts w:hint="eastAsia"/>
                <w:bCs/>
                <w:color w:val="000000" w:themeColor="text1"/>
                <w:sz w:val="24"/>
                <w:lang w:val="en-US" w:eastAsia="zh-CN"/>
                <w14:textFill>
                  <w14:solidFill>
                    <w14:schemeClr w14:val="tx1"/>
                  </w14:solidFill>
                </w14:textFill>
              </w:rPr>
              <w:t>1.39</w:t>
            </w:r>
            <w:r>
              <w:rPr>
                <w:rFonts w:hint="eastAsia"/>
                <w:bCs/>
                <w:color w:val="000000" w:themeColor="text1"/>
                <w:sz w:val="24"/>
                <w14:textFill>
                  <w14:solidFill>
                    <w14:schemeClr w14:val="tx1"/>
                  </w14:solidFill>
                </w14:textFill>
              </w:rPr>
              <w:t>~</w:t>
            </w:r>
            <w:r>
              <w:rPr>
                <w:rFonts w:hint="eastAsia"/>
                <w:bCs/>
                <w:color w:val="000000" w:themeColor="text1"/>
                <w:sz w:val="24"/>
                <w:lang w:val="en-US" w:eastAsia="zh-CN"/>
                <w14:textFill>
                  <w14:solidFill>
                    <w14:schemeClr w14:val="tx1"/>
                  </w14:solidFill>
                </w14:textFill>
              </w:rPr>
              <w:t>1.41</w:t>
            </w:r>
            <w:r>
              <w:rPr>
                <w:rFonts w:hint="eastAsia"/>
                <w:bCs/>
                <w:color w:val="000000" w:themeColor="text1"/>
                <w:sz w:val="24"/>
                <w14:textFill>
                  <w14:solidFill>
                    <w14:schemeClr w14:val="tx1"/>
                  </w14:solidFill>
                </w14:textFill>
              </w:rPr>
              <w:t>t/d，</w:t>
            </w:r>
            <w:r>
              <w:rPr>
                <w:color w:val="000000" w:themeColor="text1"/>
                <w:sz w:val="24"/>
                <w14:textFill>
                  <w14:solidFill>
                    <w14:schemeClr w14:val="tx1"/>
                  </w14:solidFill>
                </w14:textFill>
              </w:rPr>
              <w:t>占设计</w:t>
            </w:r>
            <w:r>
              <w:rPr>
                <w:rFonts w:hint="eastAsia"/>
                <w:color w:val="000000" w:themeColor="text1"/>
                <w:sz w:val="24"/>
                <w14:textFill>
                  <w14:solidFill>
                    <w14:schemeClr w14:val="tx1"/>
                  </w14:solidFill>
                </w14:textFill>
              </w:rPr>
              <w:t>销售量</w:t>
            </w:r>
            <w:r>
              <w:rPr>
                <w:color w:val="000000" w:themeColor="text1"/>
                <w:sz w:val="24"/>
                <w14:textFill>
                  <w14:solidFill>
                    <w14:schemeClr w14:val="tx1"/>
                  </w14:solidFill>
                </w14:textFill>
              </w:rPr>
              <w:t>的</w:t>
            </w:r>
            <w:r>
              <w:rPr>
                <w:rFonts w:hint="eastAsia"/>
                <w:color w:val="000000" w:themeColor="text1"/>
                <w:sz w:val="24"/>
                <w14:textFill>
                  <w14:solidFill>
                    <w14:schemeClr w14:val="tx1"/>
                  </w14:solidFill>
                </w14:textFill>
              </w:rPr>
              <w:t>76~78</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验收期间工况达到国家对工程竣工验收监测中工况大于75%的要求</w:t>
            </w:r>
            <w:r>
              <w:rPr>
                <w:rFonts w:hint="eastAsia"/>
                <w:bCs/>
                <w:color w:val="000000" w:themeColor="text1"/>
                <w:sz w:val="24"/>
                <w14:textFill>
                  <w14:solidFill>
                    <w14:schemeClr w14:val="tx1"/>
                  </w14:solidFill>
                </w14:textFill>
              </w:rPr>
              <w:t>且生产及环保设施运行正常，</w:t>
            </w:r>
            <w:r>
              <w:rPr>
                <w:color w:val="000000" w:themeColor="text1"/>
                <w:sz w:val="24"/>
                <w14:textFill>
                  <w14:solidFill>
                    <w14:schemeClr w14:val="tx1"/>
                  </w14:solidFill>
                </w14:textFill>
              </w:rPr>
              <w:t>监测结果有效</w:t>
            </w:r>
            <w:r>
              <w:rPr>
                <w:rFonts w:hint="eastAsia"/>
                <w:bCs/>
                <w:color w:val="000000" w:themeColor="text1"/>
                <w:sz w:val="24"/>
                <w14:textFill>
                  <w14:solidFill>
                    <w14:schemeClr w14:val="tx1"/>
                  </w14:solidFill>
                </w14:textFill>
              </w:rPr>
              <w:t>。</w:t>
            </w:r>
          </w:p>
          <w:p>
            <w:pPr>
              <w:spacing w:line="360" w:lineRule="auto"/>
              <w:ind w:firstLine="480" w:firstLineChars="200"/>
              <w:rPr>
                <w:sz w:val="24"/>
              </w:rPr>
            </w:pPr>
            <w:bookmarkStart w:id="29" w:name="_Toc3846"/>
            <w:r>
              <w:rPr>
                <w:sz w:val="24"/>
              </w:rPr>
              <w:t>监测当天气象参数</w:t>
            </w:r>
            <w:r>
              <w:rPr>
                <w:rFonts w:hint="eastAsia"/>
                <w:sz w:val="24"/>
              </w:rPr>
              <w:t>见表7-2：</w:t>
            </w:r>
            <w:bookmarkEnd w:id="29"/>
          </w:p>
          <w:p>
            <w:pPr>
              <w:pStyle w:val="6"/>
              <w:ind w:firstLine="0" w:firstLineChars="0"/>
              <w:jc w:val="center"/>
              <w:rPr>
                <w:b/>
                <w:color w:val="000000"/>
                <w:szCs w:val="21"/>
              </w:rPr>
            </w:pPr>
            <w:r>
              <w:rPr>
                <w:b/>
                <w:color w:val="000000"/>
                <w:szCs w:val="21"/>
              </w:rPr>
              <w:t>表</w:t>
            </w:r>
            <w:r>
              <w:rPr>
                <w:rFonts w:hint="eastAsia"/>
                <w:b/>
                <w:color w:val="000000"/>
                <w:szCs w:val="21"/>
              </w:rPr>
              <w:t>7-2</w:t>
            </w:r>
            <w:r>
              <w:rPr>
                <w:b/>
                <w:color w:val="000000"/>
                <w:szCs w:val="21"/>
              </w:rPr>
              <w:t>监测期间天气气象参数</w:t>
            </w:r>
          </w:p>
          <w:tbl>
            <w:tblPr>
              <w:tblStyle w:val="24"/>
              <w:tblW w:w="907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03"/>
              <w:gridCol w:w="1100"/>
              <w:gridCol w:w="1075"/>
              <w:gridCol w:w="1665"/>
              <w:gridCol w:w="1511"/>
              <w:gridCol w:w="1258"/>
              <w:gridCol w:w="12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3" w:type="dxa"/>
                  <w:vAlign w:val="center"/>
                </w:tcPr>
                <w:p>
                  <w:pPr>
                    <w:widowControl/>
                    <w:jc w:val="center"/>
                    <w:rPr>
                      <w:rFonts w:cs="宋体"/>
                      <w:b/>
                      <w:bCs/>
                      <w:color w:val="000000" w:themeColor="text1"/>
                      <w:kern w:val="0"/>
                      <w:szCs w:val="21"/>
                      <w14:textFill>
                        <w14:solidFill>
                          <w14:schemeClr w14:val="tx1"/>
                        </w14:solidFill>
                      </w14:textFill>
                    </w:rPr>
                  </w:pPr>
                  <w:r>
                    <w:rPr>
                      <w:rFonts w:hint="eastAsia" w:cs="宋体"/>
                      <w:b/>
                      <w:bCs/>
                      <w:color w:val="000000" w:themeColor="text1"/>
                      <w:kern w:val="0"/>
                      <w:szCs w:val="21"/>
                      <w14:textFill>
                        <w14:solidFill>
                          <w14:schemeClr w14:val="tx1"/>
                        </w14:solidFill>
                      </w14:textFill>
                    </w:rPr>
                    <w:t>监测日期</w:t>
                  </w:r>
                </w:p>
              </w:tc>
              <w:tc>
                <w:tcPr>
                  <w:tcW w:w="1100" w:type="dxa"/>
                  <w:vAlign w:val="center"/>
                </w:tcPr>
                <w:p>
                  <w:pPr>
                    <w:widowControl/>
                    <w:jc w:val="center"/>
                    <w:rPr>
                      <w:rFonts w:cs="宋体"/>
                      <w:b/>
                      <w:bCs/>
                      <w:color w:val="000000" w:themeColor="text1"/>
                      <w:kern w:val="0"/>
                      <w:szCs w:val="21"/>
                      <w14:textFill>
                        <w14:solidFill>
                          <w14:schemeClr w14:val="tx1"/>
                        </w14:solidFill>
                      </w14:textFill>
                    </w:rPr>
                  </w:pPr>
                  <w:r>
                    <w:rPr>
                      <w:rFonts w:hint="eastAsia" w:cs="宋体"/>
                      <w:b/>
                      <w:bCs/>
                      <w:color w:val="000000" w:themeColor="text1"/>
                      <w:kern w:val="0"/>
                      <w:szCs w:val="21"/>
                      <w14:textFill>
                        <w14:solidFill>
                          <w14:schemeClr w14:val="tx1"/>
                        </w14:solidFill>
                      </w14:textFill>
                    </w:rPr>
                    <w:t>天气情况</w:t>
                  </w:r>
                </w:p>
              </w:tc>
              <w:tc>
                <w:tcPr>
                  <w:tcW w:w="1075" w:type="dxa"/>
                  <w:vAlign w:val="center"/>
                </w:tcPr>
                <w:p>
                  <w:pPr>
                    <w:widowControl/>
                    <w:rPr>
                      <w:rFonts w:cs="宋体"/>
                      <w:b/>
                      <w:bCs/>
                      <w:color w:val="000000" w:themeColor="text1"/>
                      <w:kern w:val="0"/>
                      <w:szCs w:val="21"/>
                      <w14:textFill>
                        <w14:solidFill>
                          <w14:schemeClr w14:val="tx1"/>
                        </w14:solidFill>
                      </w14:textFill>
                    </w:rPr>
                  </w:pPr>
                  <w:r>
                    <w:rPr>
                      <w:rFonts w:hint="eastAsia" w:cs="宋体"/>
                      <w:b/>
                      <w:bCs/>
                      <w:color w:val="000000" w:themeColor="text1"/>
                      <w:kern w:val="0"/>
                      <w:szCs w:val="21"/>
                      <w14:textFill>
                        <w14:solidFill>
                          <w14:schemeClr w14:val="tx1"/>
                        </w14:solidFill>
                      </w14:textFill>
                    </w:rPr>
                    <w:t>温度（℃）</w:t>
                  </w:r>
                </w:p>
              </w:tc>
              <w:tc>
                <w:tcPr>
                  <w:tcW w:w="1665" w:type="dxa"/>
                  <w:vAlign w:val="center"/>
                </w:tcPr>
                <w:p>
                  <w:pPr>
                    <w:widowControl/>
                    <w:rPr>
                      <w:rFonts w:cs="宋体"/>
                      <w:b/>
                      <w:bCs/>
                      <w:color w:val="000000" w:themeColor="text1"/>
                      <w:kern w:val="0"/>
                      <w:szCs w:val="21"/>
                      <w14:textFill>
                        <w14:solidFill>
                          <w14:schemeClr w14:val="tx1"/>
                        </w14:solidFill>
                      </w14:textFill>
                    </w:rPr>
                  </w:pPr>
                  <w:r>
                    <w:rPr>
                      <w:rFonts w:hint="eastAsia" w:cs="宋体"/>
                      <w:b/>
                      <w:bCs/>
                      <w:color w:val="000000" w:themeColor="text1"/>
                      <w:kern w:val="0"/>
                      <w:szCs w:val="21"/>
                      <w14:textFill>
                        <w14:solidFill>
                          <w14:schemeClr w14:val="tx1"/>
                        </w14:solidFill>
                      </w14:textFill>
                    </w:rPr>
                    <w:t>大气压强（kpa）</w:t>
                  </w:r>
                </w:p>
              </w:tc>
              <w:tc>
                <w:tcPr>
                  <w:tcW w:w="1511" w:type="dxa"/>
                  <w:vAlign w:val="center"/>
                </w:tcPr>
                <w:p>
                  <w:pPr>
                    <w:widowControl/>
                    <w:rPr>
                      <w:rFonts w:cs="宋体"/>
                      <w:b/>
                      <w:bCs/>
                      <w:color w:val="000000" w:themeColor="text1"/>
                      <w:kern w:val="0"/>
                      <w:szCs w:val="21"/>
                      <w14:textFill>
                        <w14:solidFill>
                          <w14:schemeClr w14:val="tx1"/>
                        </w14:solidFill>
                      </w14:textFill>
                    </w:rPr>
                  </w:pPr>
                  <w:r>
                    <w:rPr>
                      <w:rFonts w:hint="eastAsia" w:cs="宋体"/>
                      <w:b/>
                      <w:bCs/>
                      <w:color w:val="000000" w:themeColor="text1"/>
                      <w:kern w:val="0"/>
                      <w:szCs w:val="21"/>
                      <w14:textFill>
                        <w14:solidFill>
                          <w14:schemeClr w14:val="tx1"/>
                        </w14:solidFill>
                      </w14:textFill>
                    </w:rPr>
                    <w:t>相对湿度（%）</w:t>
                  </w:r>
                </w:p>
              </w:tc>
              <w:tc>
                <w:tcPr>
                  <w:tcW w:w="1258" w:type="dxa"/>
                  <w:vAlign w:val="center"/>
                </w:tcPr>
                <w:p>
                  <w:pPr>
                    <w:widowControl/>
                    <w:jc w:val="center"/>
                    <w:rPr>
                      <w:rFonts w:cs="宋体"/>
                      <w:b/>
                      <w:bCs/>
                      <w:color w:val="000000" w:themeColor="text1"/>
                      <w:kern w:val="0"/>
                      <w:szCs w:val="21"/>
                      <w14:textFill>
                        <w14:solidFill>
                          <w14:schemeClr w14:val="tx1"/>
                        </w14:solidFill>
                      </w14:textFill>
                    </w:rPr>
                  </w:pPr>
                  <w:r>
                    <w:rPr>
                      <w:rFonts w:hint="eastAsia" w:cs="宋体"/>
                      <w:b/>
                      <w:bCs/>
                      <w:color w:val="000000" w:themeColor="text1"/>
                      <w:kern w:val="0"/>
                      <w:szCs w:val="21"/>
                      <w14:textFill>
                        <w14:solidFill>
                          <w14:schemeClr w14:val="tx1"/>
                        </w14:solidFill>
                      </w14:textFill>
                    </w:rPr>
                    <w:t>风速（m/s）</w:t>
                  </w:r>
                </w:p>
              </w:tc>
              <w:tc>
                <w:tcPr>
                  <w:tcW w:w="1259" w:type="dxa"/>
                  <w:vAlign w:val="center"/>
                </w:tcPr>
                <w:p>
                  <w:pPr>
                    <w:widowControl/>
                    <w:jc w:val="center"/>
                    <w:rPr>
                      <w:rFonts w:cs="宋体"/>
                      <w:b/>
                      <w:bCs/>
                      <w:color w:val="000000" w:themeColor="text1"/>
                      <w:kern w:val="0"/>
                      <w:szCs w:val="21"/>
                      <w14:textFill>
                        <w14:solidFill>
                          <w14:schemeClr w14:val="tx1"/>
                        </w14:solidFill>
                      </w14:textFill>
                    </w:rPr>
                  </w:pPr>
                  <w:r>
                    <w:rPr>
                      <w:rFonts w:hint="eastAsia" w:cs="宋体"/>
                      <w:b/>
                      <w:bCs/>
                      <w:color w:val="000000" w:themeColor="text1"/>
                      <w:kern w:val="0"/>
                      <w:szCs w:val="21"/>
                      <w14:textFill>
                        <w14:solidFill>
                          <w14:schemeClr w14:val="tx1"/>
                        </w14:solidFill>
                      </w14:textFill>
                    </w:rPr>
                    <w:t>风向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3" w:type="dxa"/>
                  <w:vAlign w:val="center"/>
                </w:tcPr>
                <w:p>
                  <w:pPr>
                    <w:jc w:val="center"/>
                    <w:rPr>
                      <w:rFonts w:asciiTheme="majorBidi" w:hAnsiTheme="majorBidi" w:cstheme="majorBidi"/>
                      <w:color w:val="000000" w:themeColor="text1"/>
                      <w:szCs w:val="21"/>
                      <w14:textFill>
                        <w14:solidFill>
                          <w14:schemeClr w14:val="tx1"/>
                        </w14:solidFill>
                      </w14:textFill>
                    </w:rPr>
                  </w:pPr>
                  <w:r>
                    <w:rPr>
                      <w:rFonts w:hint="eastAsia" w:asciiTheme="majorBidi" w:hAnsiTheme="majorBidi" w:cstheme="majorBidi"/>
                      <w:color w:val="000000" w:themeColor="text1"/>
                      <w:szCs w:val="21"/>
                      <w:lang w:val="en-US" w:eastAsia="zh-CN"/>
                      <w14:textFill>
                        <w14:solidFill>
                          <w14:schemeClr w14:val="tx1"/>
                        </w14:solidFill>
                      </w14:textFill>
                    </w:rPr>
                    <w:t>1</w:t>
                  </w:r>
                  <w:r>
                    <w:rPr>
                      <w:rFonts w:asciiTheme="majorBidi" w:hAnsiTheme="majorBidi" w:cstheme="majorBidi"/>
                      <w:color w:val="000000" w:themeColor="text1"/>
                      <w:szCs w:val="21"/>
                      <w14:textFill>
                        <w14:solidFill>
                          <w14:schemeClr w14:val="tx1"/>
                        </w14:solidFill>
                      </w14:textFill>
                    </w:rPr>
                    <w:t>月6日</w:t>
                  </w:r>
                </w:p>
              </w:tc>
              <w:tc>
                <w:tcPr>
                  <w:tcW w:w="1100" w:type="dxa"/>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阴</w:t>
                  </w:r>
                </w:p>
              </w:tc>
              <w:tc>
                <w:tcPr>
                  <w:tcW w:w="1075" w:type="dxa"/>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5.4</w:t>
                  </w:r>
                  <w:r>
                    <w:rPr>
                      <w:rFonts w:hint="eastAsia"/>
                      <w:color w:val="000000" w:themeColor="text1"/>
                      <w:kern w:val="0"/>
                      <w:szCs w:val="21"/>
                      <w14:textFill>
                        <w14:solidFill>
                          <w14:schemeClr w14:val="tx1"/>
                        </w14:solidFill>
                      </w14:textFill>
                    </w:rPr>
                    <w:t>-</w:t>
                  </w:r>
                  <w:r>
                    <w:rPr>
                      <w:rFonts w:hint="eastAsia"/>
                      <w:color w:val="000000" w:themeColor="text1"/>
                      <w:kern w:val="0"/>
                      <w:szCs w:val="21"/>
                      <w:lang w:val="en-US" w:eastAsia="zh-CN"/>
                      <w14:textFill>
                        <w14:solidFill>
                          <w14:schemeClr w14:val="tx1"/>
                        </w14:solidFill>
                      </w14:textFill>
                    </w:rPr>
                    <w:t>6.5</w:t>
                  </w:r>
                </w:p>
              </w:tc>
              <w:tc>
                <w:tcPr>
                  <w:tcW w:w="1665" w:type="dxa"/>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14:textFill>
                        <w14:solidFill>
                          <w14:schemeClr w14:val="tx1"/>
                        </w14:solidFill>
                      </w14:textFill>
                    </w:rPr>
                    <w:t>100.</w:t>
                  </w:r>
                  <w:r>
                    <w:rPr>
                      <w:rFonts w:hint="eastAsia"/>
                      <w:color w:val="000000" w:themeColor="text1"/>
                      <w:kern w:val="0"/>
                      <w:szCs w:val="21"/>
                      <w:lang w:val="en-US" w:eastAsia="zh-CN"/>
                      <w14:textFill>
                        <w14:solidFill>
                          <w14:schemeClr w14:val="tx1"/>
                        </w14:solidFill>
                      </w14:textFill>
                    </w:rPr>
                    <w:t>3</w:t>
                  </w:r>
                  <w:r>
                    <w:rPr>
                      <w:rFonts w:hint="eastAsia"/>
                      <w:color w:val="000000" w:themeColor="text1"/>
                      <w:kern w:val="0"/>
                      <w:szCs w:val="21"/>
                      <w14:textFill>
                        <w14:solidFill>
                          <w14:schemeClr w14:val="tx1"/>
                        </w14:solidFill>
                      </w14:textFill>
                    </w:rPr>
                    <w:t>-10</w:t>
                  </w:r>
                  <w:r>
                    <w:rPr>
                      <w:rFonts w:hint="eastAsia"/>
                      <w:color w:val="000000" w:themeColor="text1"/>
                      <w:kern w:val="0"/>
                      <w:szCs w:val="21"/>
                      <w:lang w:val="en-US" w:eastAsia="zh-CN"/>
                      <w14:textFill>
                        <w14:solidFill>
                          <w14:schemeClr w14:val="tx1"/>
                        </w14:solidFill>
                      </w14:textFill>
                    </w:rPr>
                    <w:t>0.6</w:t>
                  </w:r>
                </w:p>
              </w:tc>
              <w:tc>
                <w:tcPr>
                  <w:tcW w:w="1511" w:type="dxa"/>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14:textFill>
                        <w14:solidFill>
                          <w14:schemeClr w14:val="tx1"/>
                        </w14:solidFill>
                      </w14:textFill>
                    </w:rPr>
                    <w:t>6</w:t>
                  </w:r>
                  <w:r>
                    <w:rPr>
                      <w:rFonts w:hint="eastAsia"/>
                      <w:color w:val="000000" w:themeColor="text1"/>
                      <w:kern w:val="0"/>
                      <w:szCs w:val="21"/>
                      <w:lang w:val="en-US" w:eastAsia="zh-CN"/>
                      <w14:textFill>
                        <w14:solidFill>
                          <w14:schemeClr w14:val="tx1"/>
                        </w14:solidFill>
                      </w14:textFill>
                    </w:rPr>
                    <w:t>8</w:t>
                  </w:r>
                  <w:r>
                    <w:rPr>
                      <w:rFonts w:hint="eastAsia"/>
                      <w:color w:val="000000" w:themeColor="text1"/>
                      <w:kern w:val="0"/>
                      <w:szCs w:val="21"/>
                      <w14:textFill>
                        <w14:solidFill>
                          <w14:schemeClr w14:val="tx1"/>
                        </w14:solidFill>
                      </w14:textFill>
                    </w:rPr>
                    <w:t>-</w:t>
                  </w:r>
                  <w:r>
                    <w:rPr>
                      <w:rFonts w:hint="eastAsia"/>
                      <w:color w:val="000000" w:themeColor="text1"/>
                      <w:kern w:val="0"/>
                      <w:szCs w:val="21"/>
                      <w:lang w:val="en-US" w:eastAsia="zh-CN"/>
                      <w14:textFill>
                        <w14:solidFill>
                          <w14:schemeClr w14:val="tx1"/>
                        </w14:solidFill>
                      </w14:textFill>
                    </w:rPr>
                    <w:t>70</w:t>
                  </w:r>
                </w:p>
              </w:tc>
              <w:tc>
                <w:tcPr>
                  <w:tcW w:w="1258" w:type="dxa"/>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2.0</w:t>
                  </w:r>
                </w:p>
              </w:tc>
              <w:tc>
                <w:tcPr>
                  <w:tcW w:w="1259" w:type="dxa"/>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3" w:type="dxa"/>
                  <w:vAlign w:val="center"/>
                </w:tcPr>
                <w:p>
                  <w:pPr>
                    <w:jc w:val="center"/>
                    <w:rPr>
                      <w:rFonts w:asciiTheme="majorBidi" w:hAnsiTheme="majorBidi" w:cstheme="majorBidi"/>
                      <w:color w:val="000000" w:themeColor="text1"/>
                      <w:szCs w:val="21"/>
                      <w14:textFill>
                        <w14:solidFill>
                          <w14:schemeClr w14:val="tx1"/>
                        </w14:solidFill>
                      </w14:textFill>
                    </w:rPr>
                  </w:pPr>
                  <w:r>
                    <w:rPr>
                      <w:rFonts w:hint="eastAsia" w:asciiTheme="majorBidi" w:hAnsiTheme="majorBidi" w:cstheme="majorBidi"/>
                      <w:color w:val="000000" w:themeColor="text1"/>
                      <w:szCs w:val="21"/>
                      <w:lang w:val="en-US" w:eastAsia="zh-CN"/>
                      <w14:textFill>
                        <w14:solidFill>
                          <w14:schemeClr w14:val="tx1"/>
                        </w14:solidFill>
                      </w14:textFill>
                    </w:rPr>
                    <w:t>1</w:t>
                  </w:r>
                  <w:r>
                    <w:rPr>
                      <w:rFonts w:asciiTheme="majorBidi" w:hAnsiTheme="majorBidi" w:cstheme="majorBidi"/>
                      <w:color w:val="000000" w:themeColor="text1"/>
                      <w:szCs w:val="21"/>
                      <w14:textFill>
                        <w14:solidFill>
                          <w14:schemeClr w14:val="tx1"/>
                        </w14:solidFill>
                      </w14:textFill>
                    </w:rPr>
                    <w:t>月7日</w:t>
                  </w:r>
                </w:p>
              </w:tc>
              <w:tc>
                <w:tcPr>
                  <w:tcW w:w="1100" w:type="dxa"/>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阴</w:t>
                  </w:r>
                </w:p>
              </w:tc>
              <w:tc>
                <w:tcPr>
                  <w:tcW w:w="1075" w:type="dxa"/>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3.1-5.1</w:t>
                  </w:r>
                </w:p>
              </w:tc>
              <w:tc>
                <w:tcPr>
                  <w:tcW w:w="1665" w:type="dxa"/>
                  <w:vAlign w:val="center"/>
                </w:tcPr>
                <w:p>
                  <w:pPr>
                    <w:widowControl/>
                    <w:jc w:val="center"/>
                    <w:rPr>
                      <w:rFonts w:hint="eastAsia" w:eastAsia="宋体"/>
                      <w:color w:val="000000" w:themeColor="text1"/>
                      <w:kern w:val="0"/>
                      <w:szCs w:val="21"/>
                      <w:lang w:eastAsia="zh-CN"/>
                      <w14:textFill>
                        <w14:solidFill>
                          <w14:schemeClr w14:val="tx1"/>
                        </w14:solidFill>
                      </w14:textFill>
                    </w:rPr>
                  </w:pPr>
                  <w:r>
                    <w:rPr>
                      <w:rFonts w:hint="eastAsia"/>
                      <w:color w:val="000000" w:themeColor="text1"/>
                      <w:kern w:val="0"/>
                      <w:szCs w:val="21"/>
                      <w14:textFill>
                        <w14:solidFill>
                          <w14:schemeClr w14:val="tx1"/>
                        </w14:solidFill>
                      </w14:textFill>
                    </w:rPr>
                    <w:t>10</w:t>
                  </w:r>
                  <w:r>
                    <w:rPr>
                      <w:rFonts w:hint="eastAsia"/>
                      <w:color w:val="000000" w:themeColor="text1"/>
                      <w:kern w:val="0"/>
                      <w:szCs w:val="21"/>
                      <w:lang w:val="en-US" w:eastAsia="zh-CN"/>
                      <w14:textFill>
                        <w14:solidFill>
                          <w14:schemeClr w14:val="tx1"/>
                        </w14:solidFill>
                      </w14:textFill>
                    </w:rPr>
                    <w:t>0.5</w:t>
                  </w:r>
                  <w:r>
                    <w:rPr>
                      <w:rFonts w:hint="eastAsia"/>
                      <w:color w:val="000000" w:themeColor="text1"/>
                      <w:kern w:val="0"/>
                      <w:szCs w:val="21"/>
                      <w14:textFill>
                        <w14:solidFill>
                          <w14:schemeClr w14:val="tx1"/>
                        </w14:solidFill>
                      </w14:textFill>
                    </w:rPr>
                    <w:t>-101.</w:t>
                  </w:r>
                  <w:r>
                    <w:rPr>
                      <w:rFonts w:hint="eastAsia"/>
                      <w:color w:val="000000" w:themeColor="text1"/>
                      <w:kern w:val="0"/>
                      <w:szCs w:val="21"/>
                      <w:lang w:val="en-US" w:eastAsia="zh-CN"/>
                      <w14:textFill>
                        <w14:solidFill>
                          <w14:schemeClr w14:val="tx1"/>
                        </w14:solidFill>
                      </w14:textFill>
                    </w:rPr>
                    <w:t>2</w:t>
                  </w:r>
                </w:p>
              </w:tc>
              <w:tc>
                <w:tcPr>
                  <w:tcW w:w="1511" w:type="dxa"/>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6</w:t>
                  </w:r>
                  <w:r>
                    <w:rPr>
                      <w:rFonts w:hint="eastAsia"/>
                      <w:color w:val="000000" w:themeColor="text1"/>
                      <w:kern w:val="0"/>
                      <w:szCs w:val="21"/>
                      <w:lang w:val="en-US" w:eastAsia="zh-CN"/>
                      <w14:textFill>
                        <w14:solidFill>
                          <w14:schemeClr w14:val="tx1"/>
                        </w14:solidFill>
                      </w14:textFill>
                    </w:rPr>
                    <w:t>8</w:t>
                  </w:r>
                  <w:r>
                    <w:rPr>
                      <w:rFonts w:hint="eastAsia"/>
                      <w:color w:val="000000" w:themeColor="text1"/>
                      <w:kern w:val="0"/>
                      <w:szCs w:val="21"/>
                      <w14:textFill>
                        <w14:solidFill>
                          <w14:schemeClr w14:val="tx1"/>
                        </w14:solidFill>
                      </w14:textFill>
                    </w:rPr>
                    <w:t>-70</w:t>
                  </w:r>
                </w:p>
              </w:tc>
              <w:tc>
                <w:tcPr>
                  <w:tcW w:w="1258" w:type="dxa"/>
                  <w:vAlign w:val="center"/>
                </w:tcPr>
                <w:p>
                  <w:pPr>
                    <w:widowControl/>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1.9</w:t>
                  </w:r>
                </w:p>
              </w:tc>
              <w:tc>
                <w:tcPr>
                  <w:tcW w:w="1259" w:type="dxa"/>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北</w:t>
                  </w:r>
                </w:p>
              </w:tc>
            </w:tr>
          </w:tbl>
          <w:p>
            <w:pPr>
              <w:pStyle w:val="2"/>
              <w:spacing w:line="360" w:lineRule="auto"/>
              <w:ind w:left="0" w:leftChars="0"/>
              <w:rPr>
                <w:color w:val="000000" w:themeColor="text1"/>
                <w:sz w:val="24"/>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1" w:hRule="atLeast"/>
          <w:jc w:val="center"/>
        </w:trPr>
        <w:tc>
          <w:tcPr>
            <w:tcW w:w="9354" w:type="dxa"/>
          </w:tcPr>
          <w:p>
            <w:pPr>
              <w:autoSpaceDE w:val="0"/>
              <w:autoSpaceDN w:val="0"/>
              <w:adjustRightInd w:val="0"/>
              <w:spacing w:line="360" w:lineRule="auto"/>
              <w:jc w:val="left"/>
              <w:rPr>
                <w:b/>
                <w:color w:val="000000"/>
                <w:sz w:val="24"/>
                <w:highlight w:val="none"/>
              </w:rPr>
            </w:pPr>
            <w:r>
              <w:rPr>
                <w:rFonts w:hint="eastAsia"/>
                <w:b/>
                <w:color w:val="000000"/>
                <w:sz w:val="24"/>
                <w:highlight w:val="none"/>
              </w:rPr>
              <w:t>验收监测结果：</w:t>
            </w:r>
          </w:p>
          <w:p>
            <w:pPr>
              <w:autoSpaceDE w:val="0"/>
              <w:autoSpaceDN w:val="0"/>
              <w:adjustRightInd w:val="0"/>
              <w:spacing w:line="360" w:lineRule="auto"/>
              <w:jc w:val="left"/>
              <w:rPr>
                <w:b/>
                <w:color w:val="000000"/>
                <w:sz w:val="24"/>
                <w:highlight w:val="none"/>
              </w:rPr>
            </w:pPr>
            <w:r>
              <w:rPr>
                <w:rFonts w:hint="eastAsia"/>
                <w:b/>
                <w:color w:val="000000"/>
                <w:sz w:val="24"/>
                <w:highlight w:val="none"/>
              </w:rPr>
              <w:t>1、废水监测结果见下表：</w:t>
            </w:r>
          </w:p>
          <w:p>
            <w:pPr>
              <w:spacing w:line="360" w:lineRule="auto"/>
              <w:jc w:val="center"/>
              <w:rPr>
                <w:b/>
                <w:szCs w:val="21"/>
                <w:highlight w:val="none"/>
              </w:rPr>
            </w:pPr>
            <w:r>
              <w:rPr>
                <w:b/>
                <w:szCs w:val="21"/>
                <w:highlight w:val="none"/>
              </w:rPr>
              <w:t>表</w:t>
            </w:r>
            <w:r>
              <w:rPr>
                <w:rFonts w:hint="eastAsia"/>
                <w:b/>
                <w:szCs w:val="21"/>
                <w:highlight w:val="none"/>
              </w:rPr>
              <w:t>7-3</w:t>
            </w:r>
            <w:r>
              <w:rPr>
                <w:b/>
                <w:szCs w:val="21"/>
                <w:highlight w:val="none"/>
              </w:rPr>
              <w:t xml:space="preserve"> </w:t>
            </w:r>
            <w:r>
              <w:rPr>
                <w:rFonts w:hint="eastAsia"/>
                <w:b/>
                <w:szCs w:val="21"/>
                <w:highlight w:val="none"/>
              </w:rPr>
              <w:t xml:space="preserve"> 废水</w:t>
            </w:r>
            <w:r>
              <w:rPr>
                <w:b/>
                <w:szCs w:val="21"/>
                <w:highlight w:val="none"/>
              </w:rPr>
              <w:t>监测结果表</w:t>
            </w:r>
          </w:p>
          <w:tbl>
            <w:tblPr>
              <w:tblStyle w:val="2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0"/>
              <w:gridCol w:w="1037"/>
              <w:gridCol w:w="773"/>
              <w:gridCol w:w="938"/>
              <w:gridCol w:w="1007"/>
              <w:gridCol w:w="907"/>
              <w:gridCol w:w="907"/>
              <w:gridCol w:w="1167"/>
              <w:gridCol w:w="11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970" w:type="dxa"/>
                  <w:vMerge w:val="restart"/>
                  <w:vAlign w:val="center"/>
                </w:tcPr>
                <w:p>
                  <w:pPr>
                    <w:widowControl/>
                    <w:jc w:val="center"/>
                    <w:rPr>
                      <w:color w:val="000000"/>
                      <w:kern w:val="0"/>
                      <w:szCs w:val="21"/>
                      <w:highlight w:val="none"/>
                    </w:rPr>
                  </w:pPr>
                  <w:r>
                    <w:rPr>
                      <w:color w:val="000000"/>
                      <w:kern w:val="0"/>
                      <w:szCs w:val="21"/>
                      <w:highlight w:val="none"/>
                    </w:rPr>
                    <w:t>采样点位</w:t>
                  </w:r>
                </w:p>
              </w:tc>
              <w:tc>
                <w:tcPr>
                  <w:tcW w:w="1037" w:type="dxa"/>
                  <w:vMerge w:val="restart"/>
                  <w:vAlign w:val="center"/>
                </w:tcPr>
                <w:p>
                  <w:pPr>
                    <w:widowControl/>
                    <w:jc w:val="center"/>
                    <w:rPr>
                      <w:color w:val="000000"/>
                      <w:kern w:val="0"/>
                      <w:szCs w:val="21"/>
                      <w:highlight w:val="none"/>
                    </w:rPr>
                  </w:pPr>
                  <w:r>
                    <w:rPr>
                      <w:color w:val="000000"/>
                      <w:kern w:val="0"/>
                      <w:szCs w:val="21"/>
                      <w:highlight w:val="none"/>
                    </w:rPr>
                    <w:t>监测项目</w:t>
                  </w:r>
                </w:p>
              </w:tc>
              <w:tc>
                <w:tcPr>
                  <w:tcW w:w="773" w:type="dxa"/>
                  <w:vMerge w:val="restart"/>
                  <w:vAlign w:val="center"/>
                </w:tcPr>
                <w:p>
                  <w:pPr>
                    <w:widowControl/>
                    <w:jc w:val="center"/>
                    <w:rPr>
                      <w:color w:val="000000"/>
                      <w:kern w:val="0"/>
                      <w:szCs w:val="21"/>
                      <w:highlight w:val="none"/>
                    </w:rPr>
                  </w:pPr>
                  <w:r>
                    <w:rPr>
                      <w:color w:val="000000"/>
                      <w:kern w:val="0"/>
                      <w:szCs w:val="21"/>
                      <w:highlight w:val="none"/>
                    </w:rPr>
                    <w:t>采样日期</w:t>
                  </w:r>
                </w:p>
              </w:tc>
              <w:tc>
                <w:tcPr>
                  <w:tcW w:w="6072" w:type="dxa"/>
                  <w:gridSpan w:val="6"/>
                  <w:vAlign w:val="center"/>
                </w:tcPr>
                <w:p>
                  <w:pPr>
                    <w:widowControl/>
                    <w:jc w:val="center"/>
                    <w:rPr>
                      <w:color w:val="000000"/>
                      <w:kern w:val="0"/>
                      <w:szCs w:val="21"/>
                      <w:highlight w:val="none"/>
                    </w:rPr>
                  </w:pPr>
                  <w:r>
                    <w:rPr>
                      <w:color w:val="000000"/>
                      <w:kern w:val="0"/>
                      <w:szCs w:val="21"/>
                      <w:highlight w:val="none"/>
                    </w:rPr>
                    <w:t>监测结果（mg/L，pH无量纲）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970" w:type="dxa"/>
                  <w:vMerge w:val="continue"/>
                  <w:vAlign w:val="center"/>
                </w:tcPr>
                <w:p>
                  <w:pPr>
                    <w:widowControl/>
                    <w:jc w:val="center"/>
                    <w:rPr>
                      <w:color w:val="000000"/>
                      <w:kern w:val="0"/>
                      <w:szCs w:val="21"/>
                      <w:highlight w:val="none"/>
                    </w:rPr>
                  </w:pPr>
                </w:p>
              </w:tc>
              <w:tc>
                <w:tcPr>
                  <w:tcW w:w="1037" w:type="dxa"/>
                  <w:vMerge w:val="continue"/>
                  <w:vAlign w:val="center"/>
                </w:tcPr>
                <w:p>
                  <w:pPr>
                    <w:widowControl/>
                    <w:jc w:val="center"/>
                    <w:rPr>
                      <w:color w:val="000000"/>
                      <w:kern w:val="0"/>
                      <w:szCs w:val="21"/>
                      <w:highlight w:val="none"/>
                    </w:rPr>
                  </w:pPr>
                </w:p>
              </w:tc>
              <w:tc>
                <w:tcPr>
                  <w:tcW w:w="773" w:type="dxa"/>
                  <w:vMerge w:val="continue"/>
                  <w:vAlign w:val="center"/>
                </w:tcPr>
                <w:p>
                  <w:pPr>
                    <w:widowControl/>
                    <w:jc w:val="center"/>
                    <w:rPr>
                      <w:color w:val="000000"/>
                      <w:kern w:val="0"/>
                      <w:szCs w:val="21"/>
                      <w:highlight w:val="none"/>
                    </w:rPr>
                  </w:pPr>
                </w:p>
              </w:tc>
              <w:tc>
                <w:tcPr>
                  <w:tcW w:w="938" w:type="dxa"/>
                  <w:vAlign w:val="center"/>
                </w:tcPr>
                <w:p>
                  <w:pPr>
                    <w:widowControl/>
                    <w:jc w:val="center"/>
                    <w:rPr>
                      <w:color w:val="000000"/>
                      <w:kern w:val="0"/>
                      <w:szCs w:val="21"/>
                      <w:highlight w:val="none"/>
                    </w:rPr>
                  </w:pPr>
                  <w:r>
                    <w:rPr>
                      <w:color w:val="000000"/>
                      <w:kern w:val="0"/>
                      <w:szCs w:val="21"/>
                      <w:highlight w:val="none"/>
                    </w:rPr>
                    <w:t>第一次</w:t>
                  </w:r>
                </w:p>
              </w:tc>
              <w:tc>
                <w:tcPr>
                  <w:tcW w:w="1007" w:type="dxa"/>
                  <w:vAlign w:val="center"/>
                </w:tcPr>
                <w:p>
                  <w:pPr>
                    <w:widowControl/>
                    <w:jc w:val="center"/>
                    <w:rPr>
                      <w:color w:val="000000"/>
                      <w:kern w:val="0"/>
                      <w:szCs w:val="21"/>
                      <w:highlight w:val="none"/>
                    </w:rPr>
                  </w:pPr>
                  <w:r>
                    <w:rPr>
                      <w:color w:val="000000"/>
                      <w:kern w:val="0"/>
                      <w:szCs w:val="21"/>
                      <w:highlight w:val="none"/>
                    </w:rPr>
                    <w:t>第二次</w:t>
                  </w:r>
                </w:p>
              </w:tc>
              <w:tc>
                <w:tcPr>
                  <w:tcW w:w="907" w:type="dxa"/>
                  <w:vAlign w:val="center"/>
                </w:tcPr>
                <w:p>
                  <w:pPr>
                    <w:widowControl/>
                    <w:jc w:val="center"/>
                    <w:rPr>
                      <w:color w:val="000000"/>
                      <w:kern w:val="0"/>
                      <w:szCs w:val="21"/>
                      <w:highlight w:val="none"/>
                    </w:rPr>
                  </w:pPr>
                  <w:r>
                    <w:rPr>
                      <w:color w:val="000000"/>
                      <w:kern w:val="0"/>
                      <w:szCs w:val="21"/>
                      <w:highlight w:val="none"/>
                    </w:rPr>
                    <w:t>第三次</w:t>
                  </w:r>
                </w:p>
              </w:tc>
              <w:tc>
                <w:tcPr>
                  <w:tcW w:w="907" w:type="dxa"/>
                  <w:vAlign w:val="center"/>
                </w:tcPr>
                <w:p>
                  <w:pPr>
                    <w:widowControl/>
                    <w:jc w:val="center"/>
                    <w:rPr>
                      <w:color w:val="000000"/>
                      <w:kern w:val="0"/>
                      <w:szCs w:val="21"/>
                      <w:highlight w:val="none"/>
                    </w:rPr>
                  </w:pPr>
                  <w:r>
                    <w:rPr>
                      <w:color w:val="000000"/>
                      <w:kern w:val="0"/>
                      <w:szCs w:val="21"/>
                      <w:highlight w:val="none"/>
                    </w:rPr>
                    <w:t>第四次</w:t>
                  </w:r>
                </w:p>
              </w:tc>
              <w:tc>
                <w:tcPr>
                  <w:tcW w:w="1167" w:type="dxa"/>
                  <w:vAlign w:val="center"/>
                </w:tcPr>
                <w:p>
                  <w:pPr>
                    <w:widowControl/>
                    <w:jc w:val="center"/>
                    <w:rPr>
                      <w:color w:val="000000"/>
                      <w:kern w:val="0"/>
                      <w:szCs w:val="21"/>
                      <w:highlight w:val="none"/>
                    </w:rPr>
                  </w:pPr>
                  <w:r>
                    <w:rPr>
                      <w:color w:val="000000"/>
                      <w:kern w:val="0"/>
                      <w:szCs w:val="21"/>
                      <w:highlight w:val="none"/>
                    </w:rPr>
                    <w:t>日均值/范围</w:t>
                  </w:r>
                </w:p>
              </w:tc>
              <w:tc>
                <w:tcPr>
                  <w:tcW w:w="1146" w:type="dxa"/>
                  <w:vAlign w:val="center"/>
                </w:tcPr>
                <w:p>
                  <w:pPr>
                    <w:widowControl/>
                    <w:jc w:val="center"/>
                    <w:rPr>
                      <w:color w:val="000000"/>
                      <w:kern w:val="0"/>
                      <w:szCs w:val="21"/>
                      <w:highlight w:val="none"/>
                    </w:rPr>
                  </w:pPr>
                  <w:r>
                    <w:rPr>
                      <w:color w:val="000000"/>
                      <w:kern w:val="0"/>
                      <w:szCs w:val="21"/>
                      <w:highlight w:val="none"/>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970" w:type="dxa"/>
                  <w:vMerge w:val="restart"/>
                  <w:vAlign w:val="center"/>
                </w:tcPr>
                <w:p>
                  <w:pPr>
                    <w:jc w:val="center"/>
                    <w:rPr>
                      <w:color w:val="000000"/>
                      <w:kern w:val="0"/>
                      <w:szCs w:val="21"/>
                      <w:highlight w:val="none"/>
                    </w:rPr>
                  </w:pPr>
                  <w:r>
                    <w:rPr>
                      <w:bCs/>
                      <w:color w:val="000000"/>
                      <w:kern w:val="0"/>
                      <w:szCs w:val="21"/>
                      <w:highlight w:val="none"/>
                    </w:rPr>
                    <w:t>废水处理后排口</w:t>
                  </w:r>
                  <w:r>
                    <w:rPr>
                      <w:rFonts w:hint="eastAsia"/>
                      <w:bCs/>
                      <w:color w:val="000000"/>
                      <w:kern w:val="0"/>
                      <w:szCs w:val="21"/>
                      <w:highlight w:val="none"/>
                    </w:rPr>
                    <w:t>★1</w:t>
                  </w:r>
                </w:p>
              </w:tc>
              <w:tc>
                <w:tcPr>
                  <w:tcW w:w="1037" w:type="dxa"/>
                  <w:vMerge w:val="restart"/>
                  <w:vAlign w:val="center"/>
                </w:tcPr>
                <w:p>
                  <w:pPr>
                    <w:snapToGrid w:val="0"/>
                    <w:jc w:val="center"/>
                    <w:rPr>
                      <w:szCs w:val="21"/>
                      <w:highlight w:val="none"/>
                    </w:rPr>
                  </w:pPr>
                  <w:r>
                    <w:rPr>
                      <w:szCs w:val="21"/>
                      <w:highlight w:val="none"/>
                    </w:rPr>
                    <w:t>pH</w:t>
                  </w:r>
                </w:p>
              </w:tc>
              <w:tc>
                <w:tcPr>
                  <w:tcW w:w="773" w:type="dxa"/>
                  <w:vAlign w:val="center"/>
                </w:tcPr>
                <w:p>
                  <w:pPr>
                    <w:snapToGrid w:val="0"/>
                    <w:jc w:val="center"/>
                    <w:rPr>
                      <w:szCs w:val="21"/>
                      <w:highlight w:val="none"/>
                    </w:rPr>
                  </w:pPr>
                  <w:r>
                    <w:rPr>
                      <w:rFonts w:hint="eastAsia"/>
                      <w:szCs w:val="21"/>
                      <w:highlight w:val="none"/>
                      <w:lang w:val="en-US" w:eastAsia="zh-CN"/>
                    </w:rPr>
                    <w:t>01.06</w:t>
                  </w:r>
                </w:p>
              </w:tc>
              <w:tc>
                <w:tcPr>
                  <w:tcW w:w="938"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7.48</w:t>
                  </w:r>
                </w:p>
              </w:tc>
              <w:tc>
                <w:tcPr>
                  <w:tcW w:w="10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7.52</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7.53</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7.59</w:t>
                  </w:r>
                </w:p>
              </w:tc>
              <w:tc>
                <w:tcPr>
                  <w:tcW w:w="116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7.48-7.59</w:t>
                  </w:r>
                </w:p>
              </w:tc>
              <w:tc>
                <w:tcPr>
                  <w:tcW w:w="1146" w:type="dxa"/>
                  <w:vMerge w:val="restart"/>
                  <w:vAlign w:val="center"/>
                </w:tcPr>
                <w:p>
                  <w:pPr>
                    <w:widowControl/>
                    <w:jc w:val="center"/>
                    <w:rPr>
                      <w:color w:val="000000"/>
                      <w:kern w:val="0"/>
                      <w:szCs w:val="21"/>
                      <w:highlight w:val="none"/>
                    </w:rPr>
                  </w:pPr>
                  <w:r>
                    <w:rPr>
                      <w:color w:val="000000"/>
                      <w:kern w:val="0"/>
                      <w:szCs w:val="21"/>
                      <w:highlight w:val="none"/>
                    </w:rP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970" w:type="dxa"/>
                  <w:vMerge w:val="continue"/>
                  <w:vAlign w:val="center"/>
                </w:tcPr>
                <w:p>
                  <w:pPr>
                    <w:jc w:val="center"/>
                    <w:rPr>
                      <w:color w:val="000000"/>
                      <w:kern w:val="0"/>
                      <w:szCs w:val="21"/>
                      <w:highlight w:val="none"/>
                    </w:rPr>
                  </w:pPr>
                </w:p>
              </w:tc>
              <w:tc>
                <w:tcPr>
                  <w:tcW w:w="1037" w:type="dxa"/>
                  <w:vMerge w:val="continue"/>
                  <w:vAlign w:val="center"/>
                </w:tcPr>
                <w:p>
                  <w:pPr>
                    <w:widowControl/>
                    <w:jc w:val="center"/>
                    <w:rPr>
                      <w:color w:val="000000"/>
                      <w:kern w:val="0"/>
                      <w:szCs w:val="21"/>
                      <w:highlight w:val="none"/>
                    </w:rPr>
                  </w:pPr>
                </w:p>
              </w:tc>
              <w:tc>
                <w:tcPr>
                  <w:tcW w:w="773" w:type="dxa"/>
                  <w:vAlign w:val="center"/>
                </w:tcPr>
                <w:p>
                  <w:pPr>
                    <w:snapToGrid w:val="0"/>
                    <w:jc w:val="center"/>
                    <w:rPr>
                      <w:szCs w:val="21"/>
                      <w:highlight w:val="none"/>
                    </w:rPr>
                  </w:pPr>
                  <w:r>
                    <w:rPr>
                      <w:rFonts w:hint="eastAsia"/>
                      <w:szCs w:val="21"/>
                      <w:highlight w:val="none"/>
                    </w:rPr>
                    <w:t>0</w:t>
                  </w:r>
                  <w:r>
                    <w:rPr>
                      <w:rFonts w:hint="eastAsia"/>
                      <w:szCs w:val="21"/>
                      <w:highlight w:val="none"/>
                      <w:lang w:val="en-US" w:eastAsia="zh-CN"/>
                    </w:rPr>
                    <w:t>1</w:t>
                  </w:r>
                  <w:r>
                    <w:rPr>
                      <w:rFonts w:hint="eastAsia"/>
                      <w:szCs w:val="21"/>
                      <w:highlight w:val="none"/>
                    </w:rPr>
                    <w:t>.</w:t>
                  </w:r>
                  <w:r>
                    <w:rPr>
                      <w:rFonts w:hint="eastAsia"/>
                      <w:szCs w:val="21"/>
                      <w:highlight w:val="none"/>
                      <w:lang w:val="en-US" w:eastAsia="zh-CN"/>
                    </w:rPr>
                    <w:t>0</w:t>
                  </w:r>
                  <w:r>
                    <w:rPr>
                      <w:rFonts w:hint="eastAsia"/>
                      <w:szCs w:val="21"/>
                      <w:highlight w:val="none"/>
                    </w:rPr>
                    <w:t>7</w:t>
                  </w:r>
                </w:p>
              </w:tc>
              <w:tc>
                <w:tcPr>
                  <w:tcW w:w="938"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7.56</w:t>
                  </w:r>
                </w:p>
              </w:tc>
              <w:tc>
                <w:tcPr>
                  <w:tcW w:w="10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7.55</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7.60</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7.50</w:t>
                  </w:r>
                </w:p>
              </w:tc>
              <w:tc>
                <w:tcPr>
                  <w:tcW w:w="116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7.50-7.60</w:t>
                  </w:r>
                </w:p>
              </w:tc>
              <w:tc>
                <w:tcPr>
                  <w:tcW w:w="1146" w:type="dxa"/>
                  <w:vMerge w:val="continue"/>
                  <w:vAlign w:val="center"/>
                </w:tcPr>
                <w:p>
                  <w:pPr>
                    <w:widowControl/>
                    <w:jc w:val="center"/>
                    <w:rPr>
                      <w:color w:val="000000"/>
                      <w:kern w:val="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970" w:type="dxa"/>
                  <w:vMerge w:val="continue"/>
                  <w:vAlign w:val="center"/>
                </w:tcPr>
                <w:p>
                  <w:pPr>
                    <w:jc w:val="center"/>
                    <w:rPr>
                      <w:color w:val="000000"/>
                      <w:kern w:val="0"/>
                      <w:szCs w:val="21"/>
                      <w:highlight w:val="none"/>
                    </w:rPr>
                  </w:pPr>
                </w:p>
              </w:tc>
              <w:tc>
                <w:tcPr>
                  <w:tcW w:w="1037" w:type="dxa"/>
                  <w:vMerge w:val="restart"/>
                  <w:vAlign w:val="center"/>
                </w:tcPr>
                <w:p>
                  <w:pPr>
                    <w:snapToGrid w:val="0"/>
                    <w:jc w:val="center"/>
                    <w:rPr>
                      <w:szCs w:val="21"/>
                      <w:highlight w:val="none"/>
                    </w:rPr>
                  </w:pPr>
                  <w:r>
                    <w:rPr>
                      <w:szCs w:val="21"/>
                      <w:highlight w:val="none"/>
                    </w:rPr>
                    <w:t>化学需氧量</w:t>
                  </w:r>
                </w:p>
              </w:tc>
              <w:tc>
                <w:tcPr>
                  <w:tcW w:w="773" w:type="dxa"/>
                  <w:vAlign w:val="center"/>
                </w:tcPr>
                <w:p>
                  <w:pPr>
                    <w:snapToGrid w:val="0"/>
                    <w:jc w:val="center"/>
                    <w:rPr>
                      <w:szCs w:val="21"/>
                      <w:highlight w:val="none"/>
                    </w:rPr>
                  </w:pPr>
                  <w:r>
                    <w:rPr>
                      <w:rFonts w:hint="eastAsia"/>
                      <w:szCs w:val="21"/>
                      <w:highlight w:val="none"/>
                      <w:lang w:val="en-US" w:eastAsia="zh-CN"/>
                    </w:rPr>
                    <w:t>01.06</w:t>
                  </w:r>
                </w:p>
              </w:tc>
              <w:tc>
                <w:tcPr>
                  <w:tcW w:w="938"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42</w:t>
                  </w:r>
                </w:p>
              </w:tc>
              <w:tc>
                <w:tcPr>
                  <w:tcW w:w="10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38</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44</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37</w:t>
                  </w:r>
                </w:p>
              </w:tc>
              <w:tc>
                <w:tcPr>
                  <w:tcW w:w="1167" w:type="dxa"/>
                  <w:vAlign w:val="center"/>
                </w:tcPr>
                <w:p>
                  <w:pPr>
                    <w:autoSpaceDE w:val="0"/>
                    <w:autoSpaceDN w:val="0"/>
                    <w:adjustRightInd w:val="0"/>
                    <w:jc w:val="center"/>
                    <w:rPr>
                      <w:rFonts w:hint="default"/>
                      <w:color w:val="000000"/>
                      <w:kern w:val="0"/>
                      <w:szCs w:val="21"/>
                      <w:highlight w:val="none"/>
                      <w:lang w:val="en-US" w:eastAsia="zh-CN"/>
                    </w:rPr>
                  </w:pPr>
                  <w:r>
                    <w:rPr>
                      <w:rFonts w:hint="eastAsia"/>
                      <w:color w:val="000000"/>
                      <w:kern w:val="0"/>
                      <w:szCs w:val="21"/>
                      <w:highlight w:val="none"/>
                      <w:lang w:val="en-US" w:eastAsia="zh-CN"/>
                    </w:rPr>
                    <w:t>40</w:t>
                  </w:r>
                </w:p>
              </w:tc>
              <w:tc>
                <w:tcPr>
                  <w:tcW w:w="1146" w:type="dxa"/>
                  <w:vMerge w:val="restart"/>
                  <w:vAlign w:val="center"/>
                </w:tcPr>
                <w:p>
                  <w:pPr>
                    <w:widowControl/>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220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970" w:type="dxa"/>
                  <w:vMerge w:val="continue"/>
                  <w:vAlign w:val="center"/>
                </w:tcPr>
                <w:p>
                  <w:pPr>
                    <w:jc w:val="center"/>
                    <w:rPr>
                      <w:color w:val="000000"/>
                      <w:kern w:val="0"/>
                      <w:szCs w:val="21"/>
                      <w:highlight w:val="none"/>
                    </w:rPr>
                  </w:pPr>
                </w:p>
              </w:tc>
              <w:tc>
                <w:tcPr>
                  <w:tcW w:w="1037" w:type="dxa"/>
                  <w:vMerge w:val="continue"/>
                  <w:vAlign w:val="center"/>
                </w:tcPr>
                <w:p>
                  <w:pPr>
                    <w:widowControl/>
                    <w:jc w:val="center"/>
                    <w:rPr>
                      <w:color w:val="000000"/>
                      <w:kern w:val="0"/>
                      <w:szCs w:val="21"/>
                      <w:highlight w:val="none"/>
                    </w:rPr>
                  </w:pPr>
                </w:p>
              </w:tc>
              <w:tc>
                <w:tcPr>
                  <w:tcW w:w="773" w:type="dxa"/>
                  <w:vAlign w:val="center"/>
                </w:tcPr>
                <w:p>
                  <w:pPr>
                    <w:snapToGrid w:val="0"/>
                    <w:jc w:val="center"/>
                    <w:rPr>
                      <w:szCs w:val="21"/>
                      <w:highlight w:val="none"/>
                    </w:rPr>
                  </w:pPr>
                  <w:r>
                    <w:rPr>
                      <w:rFonts w:hint="eastAsia"/>
                      <w:szCs w:val="21"/>
                      <w:highlight w:val="none"/>
                    </w:rPr>
                    <w:t>0</w:t>
                  </w:r>
                  <w:r>
                    <w:rPr>
                      <w:rFonts w:hint="eastAsia"/>
                      <w:szCs w:val="21"/>
                      <w:highlight w:val="none"/>
                      <w:lang w:val="en-US" w:eastAsia="zh-CN"/>
                    </w:rPr>
                    <w:t>1</w:t>
                  </w:r>
                  <w:r>
                    <w:rPr>
                      <w:rFonts w:hint="eastAsia"/>
                      <w:szCs w:val="21"/>
                      <w:highlight w:val="none"/>
                    </w:rPr>
                    <w:t>.</w:t>
                  </w:r>
                  <w:r>
                    <w:rPr>
                      <w:rFonts w:hint="eastAsia"/>
                      <w:szCs w:val="21"/>
                      <w:highlight w:val="none"/>
                      <w:lang w:val="en-US" w:eastAsia="zh-CN"/>
                    </w:rPr>
                    <w:t>0</w:t>
                  </w:r>
                  <w:r>
                    <w:rPr>
                      <w:rFonts w:hint="eastAsia"/>
                      <w:szCs w:val="21"/>
                      <w:highlight w:val="none"/>
                    </w:rPr>
                    <w:t>7</w:t>
                  </w:r>
                </w:p>
              </w:tc>
              <w:tc>
                <w:tcPr>
                  <w:tcW w:w="938"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35</w:t>
                  </w:r>
                </w:p>
              </w:tc>
              <w:tc>
                <w:tcPr>
                  <w:tcW w:w="10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41</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38</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34</w:t>
                  </w:r>
                </w:p>
              </w:tc>
              <w:tc>
                <w:tcPr>
                  <w:tcW w:w="1167" w:type="dxa"/>
                  <w:vAlign w:val="center"/>
                </w:tcPr>
                <w:p>
                  <w:pPr>
                    <w:autoSpaceDE w:val="0"/>
                    <w:autoSpaceDN w:val="0"/>
                    <w:adjustRightInd w:val="0"/>
                    <w:jc w:val="center"/>
                    <w:rPr>
                      <w:rFonts w:hint="default"/>
                      <w:color w:val="000000"/>
                      <w:kern w:val="0"/>
                      <w:szCs w:val="21"/>
                      <w:highlight w:val="none"/>
                      <w:lang w:val="en-US" w:eastAsia="zh-CN"/>
                    </w:rPr>
                  </w:pPr>
                  <w:r>
                    <w:rPr>
                      <w:rFonts w:hint="eastAsia"/>
                      <w:color w:val="000000"/>
                      <w:kern w:val="0"/>
                      <w:szCs w:val="21"/>
                      <w:highlight w:val="none"/>
                      <w:lang w:val="en-US" w:eastAsia="zh-CN"/>
                    </w:rPr>
                    <w:t>37</w:t>
                  </w:r>
                </w:p>
              </w:tc>
              <w:tc>
                <w:tcPr>
                  <w:tcW w:w="1146" w:type="dxa"/>
                  <w:vMerge w:val="continue"/>
                  <w:vAlign w:val="center"/>
                </w:tcPr>
                <w:p>
                  <w:pPr>
                    <w:adjustRightInd w:val="0"/>
                    <w:snapToGrid w:val="0"/>
                    <w:jc w:val="center"/>
                    <w:rPr>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970" w:type="dxa"/>
                  <w:vMerge w:val="continue"/>
                  <w:vAlign w:val="center"/>
                </w:tcPr>
                <w:p>
                  <w:pPr>
                    <w:jc w:val="center"/>
                    <w:rPr>
                      <w:color w:val="000000"/>
                      <w:kern w:val="0"/>
                      <w:szCs w:val="21"/>
                      <w:highlight w:val="none"/>
                    </w:rPr>
                  </w:pPr>
                </w:p>
              </w:tc>
              <w:tc>
                <w:tcPr>
                  <w:tcW w:w="1037" w:type="dxa"/>
                  <w:vMerge w:val="restart"/>
                  <w:vAlign w:val="center"/>
                </w:tcPr>
                <w:p>
                  <w:pPr>
                    <w:snapToGrid w:val="0"/>
                    <w:jc w:val="center"/>
                    <w:rPr>
                      <w:szCs w:val="21"/>
                      <w:highlight w:val="none"/>
                    </w:rPr>
                  </w:pPr>
                  <w:r>
                    <w:rPr>
                      <w:szCs w:val="21"/>
                      <w:highlight w:val="none"/>
                    </w:rPr>
                    <w:t>五日生化需氧量</w:t>
                  </w:r>
                </w:p>
              </w:tc>
              <w:tc>
                <w:tcPr>
                  <w:tcW w:w="773" w:type="dxa"/>
                  <w:vAlign w:val="center"/>
                </w:tcPr>
                <w:p>
                  <w:pPr>
                    <w:snapToGrid w:val="0"/>
                    <w:jc w:val="center"/>
                    <w:rPr>
                      <w:szCs w:val="21"/>
                      <w:highlight w:val="none"/>
                    </w:rPr>
                  </w:pPr>
                  <w:r>
                    <w:rPr>
                      <w:rFonts w:hint="eastAsia"/>
                      <w:szCs w:val="21"/>
                      <w:highlight w:val="none"/>
                      <w:lang w:val="en-US" w:eastAsia="zh-CN"/>
                    </w:rPr>
                    <w:t>01.06</w:t>
                  </w:r>
                </w:p>
              </w:tc>
              <w:tc>
                <w:tcPr>
                  <w:tcW w:w="938"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20.4</w:t>
                  </w:r>
                </w:p>
              </w:tc>
              <w:tc>
                <w:tcPr>
                  <w:tcW w:w="10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21.2</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23.0</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16.9</w:t>
                  </w:r>
                </w:p>
              </w:tc>
              <w:tc>
                <w:tcPr>
                  <w:tcW w:w="1167" w:type="dxa"/>
                  <w:vAlign w:val="center"/>
                </w:tcPr>
                <w:p>
                  <w:pPr>
                    <w:autoSpaceDE w:val="0"/>
                    <w:autoSpaceDN w:val="0"/>
                    <w:adjustRightInd w:val="0"/>
                    <w:jc w:val="center"/>
                    <w:rPr>
                      <w:rFonts w:hint="default"/>
                      <w:color w:val="000000"/>
                      <w:kern w:val="0"/>
                      <w:szCs w:val="21"/>
                      <w:highlight w:val="none"/>
                      <w:lang w:val="en-US" w:eastAsia="zh-CN"/>
                    </w:rPr>
                  </w:pPr>
                  <w:r>
                    <w:rPr>
                      <w:rFonts w:hint="eastAsia"/>
                      <w:color w:val="000000"/>
                      <w:kern w:val="0"/>
                      <w:szCs w:val="21"/>
                      <w:highlight w:val="none"/>
                      <w:lang w:val="en-US" w:eastAsia="zh-CN"/>
                    </w:rPr>
                    <w:t>20.4</w:t>
                  </w:r>
                </w:p>
              </w:tc>
              <w:tc>
                <w:tcPr>
                  <w:tcW w:w="1146" w:type="dxa"/>
                  <w:vMerge w:val="restart"/>
                  <w:vAlign w:val="center"/>
                </w:tcPr>
                <w:p>
                  <w:pPr>
                    <w:widowControl/>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970" w:type="dxa"/>
                  <w:vMerge w:val="continue"/>
                  <w:vAlign w:val="center"/>
                </w:tcPr>
                <w:p>
                  <w:pPr>
                    <w:jc w:val="center"/>
                    <w:rPr>
                      <w:color w:val="000000"/>
                      <w:kern w:val="0"/>
                      <w:szCs w:val="21"/>
                      <w:highlight w:val="none"/>
                    </w:rPr>
                  </w:pPr>
                </w:p>
              </w:tc>
              <w:tc>
                <w:tcPr>
                  <w:tcW w:w="1037" w:type="dxa"/>
                  <w:vMerge w:val="continue"/>
                  <w:vAlign w:val="center"/>
                </w:tcPr>
                <w:p>
                  <w:pPr>
                    <w:widowControl/>
                    <w:jc w:val="center"/>
                    <w:rPr>
                      <w:color w:val="000000"/>
                      <w:kern w:val="0"/>
                      <w:szCs w:val="21"/>
                      <w:highlight w:val="none"/>
                    </w:rPr>
                  </w:pPr>
                </w:p>
              </w:tc>
              <w:tc>
                <w:tcPr>
                  <w:tcW w:w="773" w:type="dxa"/>
                  <w:vAlign w:val="center"/>
                </w:tcPr>
                <w:p>
                  <w:pPr>
                    <w:snapToGrid w:val="0"/>
                    <w:jc w:val="center"/>
                    <w:rPr>
                      <w:szCs w:val="21"/>
                      <w:highlight w:val="none"/>
                    </w:rPr>
                  </w:pPr>
                  <w:r>
                    <w:rPr>
                      <w:rFonts w:hint="eastAsia"/>
                      <w:szCs w:val="21"/>
                      <w:highlight w:val="none"/>
                    </w:rPr>
                    <w:t>0</w:t>
                  </w:r>
                  <w:r>
                    <w:rPr>
                      <w:rFonts w:hint="eastAsia"/>
                      <w:szCs w:val="21"/>
                      <w:highlight w:val="none"/>
                      <w:lang w:val="en-US" w:eastAsia="zh-CN"/>
                    </w:rPr>
                    <w:t>1</w:t>
                  </w:r>
                  <w:r>
                    <w:rPr>
                      <w:rFonts w:hint="eastAsia"/>
                      <w:szCs w:val="21"/>
                      <w:highlight w:val="none"/>
                    </w:rPr>
                    <w:t>.</w:t>
                  </w:r>
                  <w:r>
                    <w:rPr>
                      <w:rFonts w:hint="eastAsia"/>
                      <w:szCs w:val="21"/>
                      <w:highlight w:val="none"/>
                      <w:lang w:val="en-US" w:eastAsia="zh-CN"/>
                    </w:rPr>
                    <w:t>0</w:t>
                  </w:r>
                  <w:r>
                    <w:rPr>
                      <w:rFonts w:hint="eastAsia"/>
                      <w:szCs w:val="21"/>
                      <w:highlight w:val="none"/>
                    </w:rPr>
                    <w:t>7</w:t>
                  </w:r>
                </w:p>
              </w:tc>
              <w:tc>
                <w:tcPr>
                  <w:tcW w:w="938"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14.4</w:t>
                  </w:r>
                </w:p>
              </w:tc>
              <w:tc>
                <w:tcPr>
                  <w:tcW w:w="10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15.3</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13.7</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18.5</w:t>
                  </w:r>
                </w:p>
              </w:tc>
              <w:tc>
                <w:tcPr>
                  <w:tcW w:w="1167" w:type="dxa"/>
                  <w:vAlign w:val="center"/>
                </w:tcPr>
                <w:p>
                  <w:pPr>
                    <w:autoSpaceDE w:val="0"/>
                    <w:autoSpaceDN w:val="0"/>
                    <w:adjustRightInd w:val="0"/>
                    <w:jc w:val="center"/>
                    <w:rPr>
                      <w:rFonts w:hint="default"/>
                      <w:color w:val="000000"/>
                      <w:kern w:val="0"/>
                      <w:szCs w:val="21"/>
                      <w:highlight w:val="none"/>
                      <w:lang w:val="en-US" w:eastAsia="zh-CN"/>
                    </w:rPr>
                  </w:pPr>
                  <w:r>
                    <w:rPr>
                      <w:rFonts w:hint="eastAsia"/>
                      <w:color w:val="000000"/>
                      <w:kern w:val="0"/>
                      <w:szCs w:val="21"/>
                      <w:highlight w:val="none"/>
                      <w:lang w:val="en-US" w:eastAsia="zh-CN"/>
                    </w:rPr>
                    <w:t>15.4</w:t>
                  </w:r>
                </w:p>
              </w:tc>
              <w:tc>
                <w:tcPr>
                  <w:tcW w:w="1146" w:type="dxa"/>
                  <w:vMerge w:val="continue"/>
                  <w:vAlign w:val="center"/>
                </w:tcPr>
                <w:p>
                  <w:pPr>
                    <w:adjustRightInd w:val="0"/>
                    <w:snapToGrid w:val="0"/>
                    <w:jc w:val="center"/>
                    <w:rPr>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970" w:type="dxa"/>
                  <w:vMerge w:val="continue"/>
                  <w:vAlign w:val="center"/>
                </w:tcPr>
                <w:p>
                  <w:pPr>
                    <w:jc w:val="center"/>
                    <w:rPr>
                      <w:color w:val="000000"/>
                      <w:kern w:val="0"/>
                      <w:szCs w:val="21"/>
                      <w:highlight w:val="none"/>
                    </w:rPr>
                  </w:pPr>
                </w:p>
              </w:tc>
              <w:tc>
                <w:tcPr>
                  <w:tcW w:w="1037" w:type="dxa"/>
                  <w:vMerge w:val="restart"/>
                  <w:vAlign w:val="center"/>
                </w:tcPr>
                <w:p>
                  <w:pPr>
                    <w:snapToGrid w:val="0"/>
                    <w:jc w:val="center"/>
                    <w:rPr>
                      <w:szCs w:val="21"/>
                      <w:highlight w:val="none"/>
                    </w:rPr>
                  </w:pPr>
                  <w:r>
                    <w:rPr>
                      <w:szCs w:val="21"/>
                      <w:highlight w:val="none"/>
                    </w:rPr>
                    <w:t>悬浮物</w:t>
                  </w:r>
                </w:p>
              </w:tc>
              <w:tc>
                <w:tcPr>
                  <w:tcW w:w="773" w:type="dxa"/>
                  <w:vAlign w:val="center"/>
                </w:tcPr>
                <w:p>
                  <w:pPr>
                    <w:snapToGrid w:val="0"/>
                    <w:jc w:val="center"/>
                    <w:rPr>
                      <w:szCs w:val="21"/>
                      <w:highlight w:val="none"/>
                    </w:rPr>
                  </w:pPr>
                  <w:r>
                    <w:rPr>
                      <w:rFonts w:hint="eastAsia"/>
                      <w:szCs w:val="21"/>
                      <w:highlight w:val="none"/>
                      <w:lang w:val="en-US" w:eastAsia="zh-CN"/>
                    </w:rPr>
                    <w:t>01.06</w:t>
                  </w:r>
                </w:p>
              </w:tc>
              <w:tc>
                <w:tcPr>
                  <w:tcW w:w="938"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32</w:t>
                  </w:r>
                </w:p>
              </w:tc>
              <w:tc>
                <w:tcPr>
                  <w:tcW w:w="10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35</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34</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38</w:t>
                  </w:r>
                </w:p>
              </w:tc>
              <w:tc>
                <w:tcPr>
                  <w:tcW w:w="1167" w:type="dxa"/>
                  <w:vAlign w:val="center"/>
                </w:tcPr>
                <w:p>
                  <w:pPr>
                    <w:autoSpaceDE w:val="0"/>
                    <w:autoSpaceDN w:val="0"/>
                    <w:adjustRightInd w:val="0"/>
                    <w:jc w:val="center"/>
                    <w:rPr>
                      <w:rFonts w:hint="default"/>
                      <w:color w:val="000000"/>
                      <w:kern w:val="0"/>
                      <w:szCs w:val="21"/>
                      <w:highlight w:val="none"/>
                      <w:lang w:val="en-US" w:eastAsia="zh-CN"/>
                    </w:rPr>
                  </w:pPr>
                  <w:r>
                    <w:rPr>
                      <w:rFonts w:hint="eastAsia"/>
                      <w:color w:val="000000"/>
                      <w:kern w:val="0"/>
                      <w:szCs w:val="21"/>
                      <w:highlight w:val="none"/>
                      <w:lang w:val="en-US" w:eastAsia="zh-CN"/>
                    </w:rPr>
                    <w:t>35</w:t>
                  </w:r>
                </w:p>
              </w:tc>
              <w:tc>
                <w:tcPr>
                  <w:tcW w:w="1146" w:type="dxa"/>
                  <w:vMerge w:val="restart"/>
                  <w:vAlign w:val="center"/>
                </w:tcPr>
                <w:p>
                  <w:pPr>
                    <w:widowControl/>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970" w:type="dxa"/>
                  <w:vMerge w:val="continue"/>
                  <w:vAlign w:val="center"/>
                </w:tcPr>
                <w:p>
                  <w:pPr>
                    <w:jc w:val="center"/>
                    <w:rPr>
                      <w:color w:val="000000"/>
                      <w:kern w:val="0"/>
                      <w:szCs w:val="21"/>
                      <w:highlight w:val="none"/>
                    </w:rPr>
                  </w:pPr>
                </w:p>
              </w:tc>
              <w:tc>
                <w:tcPr>
                  <w:tcW w:w="1037" w:type="dxa"/>
                  <w:vMerge w:val="continue"/>
                  <w:vAlign w:val="center"/>
                </w:tcPr>
                <w:p>
                  <w:pPr>
                    <w:jc w:val="center"/>
                    <w:rPr>
                      <w:szCs w:val="21"/>
                      <w:highlight w:val="none"/>
                    </w:rPr>
                  </w:pPr>
                </w:p>
              </w:tc>
              <w:tc>
                <w:tcPr>
                  <w:tcW w:w="773" w:type="dxa"/>
                  <w:vAlign w:val="center"/>
                </w:tcPr>
                <w:p>
                  <w:pPr>
                    <w:snapToGrid w:val="0"/>
                    <w:jc w:val="center"/>
                    <w:rPr>
                      <w:szCs w:val="21"/>
                      <w:highlight w:val="none"/>
                    </w:rPr>
                  </w:pPr>
                  <w:r>
                    <w:rPr>
                      <w:rFonts w:hint="eastAsia"/>
                      <w:szCs w:val="21"/>
                      <w:highlight w:val="none"/>
                    </w:rPr>
                    <w:t>0</w:t>
                  </w:r>
                  <w:r>
                    <w:rPr>
                      <w:rFonts w:hint="eastAsia"/>
                      <w:szCs w:val="21"/>
                      <w:highlight w:val="none"/>
                      <w:lang w:val="en-US" w:eastAsia="zh-CN"/>
                    </w:rPr>
                    <w:t>1</w:t>
                  </w:r>
                  <w:r>
                    <w:rPr>
                      <w:rFonts w:hint="eastAsia"/>
                      <w:szCs w:val="21"/>
                      <w:highlight w:val="none"/>
                    </w:rPr>
                    <w:t>.</w:t>
                  </w:r>
                  <w:r>
                    <w:rPr>
                      <w:rFonts w:hint="eastAsia"/>
                      <w:szCs w:val="21"/>
                      <w:highlight w:val="none"/>
                      <w:lang w:val="en-US" w:eastAsia="zh-CN"/>
                    </w:rPr>
                    <w:t>0</w:t>
                  </w:r>
                  <w:r>
                    <w:rPr>
                      <w:rFonts w:hint="eastAsia"/>
                      <w:szCs w:val="21"/>
                      <w:highlight w:val="none"/>
                    </w:rPr>
                    <w:t>7</w:t>
                  </w:r>
                </w:p>
              </w:tc>
              <w:tc>
                <w:tcPr>
                  <w:tcW w:w="938"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33</w:t>
                  </w:r>
                </w:p>
              </w:tc>
              <w:tc>
                <w:tcPr>
                  <w:tcW w:w="10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32</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34</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31</w:t>
                  </w:r>
                </w:p>
              </w:tc>
              <w:tc>
                <w:tcPr>
                  <w:tcW w:w="1167" w:type="dxa"/>
                  <w:vAlign w:val="center"/>
                </w:tcPr>
                <w:p>
                  <w:pPr>
                    <w:autoSpaceDE w:val="0"/>
                    <w:autoSpaceDN w:val="0"/>
                    <w:adjustRightInd w:val="0"/>
                    <w:jc w:val="center"/>
                    <w:rPr>
                      <w:rFonts w:hint="default"/>
                      <w:color w:val="000000"/>
                      <w:kern w:val="0"/>
                      <w:szCs w:val="21"/>
                      <w:highlight w:val="none"/>
                      <w:lang w:val="en-US" w:eastAsia="zh-CN"/>
                    </w:rPr>
                  </w:pPr>
                  <w:r>
                    <w:rPr>
                      <w:rFonts w:hint="eastAsia"/>
                      <w:color w:val="000000"/>
                      <w:kern w:val="0"/>
                      <w:szCs w:val="21"/>
                      <w:highlight w:val="none"/>
                      <w:lang w:val="en-US" w:eastAsia="zh-CN"/>
                    </w:rPr>
                    <w:t>33</w:t>
                  </w:r>
                </w:p>
              </w:tc>
              <w:tc>
                <w:tcPr>
                  <w:tcW w:w="1146" w:type="dxa"/>
                  <w:vMerge w:val="continue"/>
                  <w:vAlign w:val="center"/>
                </w:tcPr>
                <w:p>
                  <w:pPr>
                    <w:widowControl/>
                    <w:jc w:val="center"/>
                    <w:rPr>
                      <w:color w:val="000000"/>
                      <w:kern w:val="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970" w:type="dxa"/>
                  <w:vMerge w:val="continue"/>
                  <w:vAlign w:val="center"/>
                </w:tcPr>
                <w:p>
                  <w:pPr>
                    <w:widowControl/>
                    <w:jc w:val="center"/>
                    <w:rPr>
                      <w:color w:val="000000"/>
                      <w:kern w:val="0"/>
                      <w:szCs w:val="21"/>
                      <w:highlight w:val="none"/>
                    </w:rPr>
                  </w:pPr>
                </w:p>
              </w:tc>
              <w:tc>
                <w:tcPr>
                  <w:tcW w:w="1037" w:type="dxa"/>
                  <w:vMerge w:val="restart"/>
                  <w:vAlign w:val="center"/>
                </w:tcPr>
                <w:p>
                  <w:pPr>
                    <w:jc w:val="center"/>
                    <w:rPr>
                      <w:bCs/>
                      <w:szCs w:val="21"/>
                      <w:highlight w:val="none"/>
                    </w:rPr>
                  </w:pPr>
                  <w:r>
                    <w:rPr>
                      <w:szCs w:val="21"/>
                      <w:highlight w:val="none"/>
                    </w:rPr>
                    <w:t>氨氮</w:t>
                  </w:r>
                </w:p>
              </w:tc>
              <w:tc>
                <w:tcPr>
                  <w:tcW w:w="773" w:type="dxa"/>
                  <w:vAlign w:val="center"/>
                </w:tcPr>
                <w:p>
                  <w:pPr>
                    <w:snapToGrid w:val="0"/>
                    <w:jc w:val="center"/>
                    <w:rPr>
                      <w:szCs w:val="21"/>
                      <w:highlight w:val="none"/>
                    </w:rPr>
                  </w:pPr>
                  <w:r>
                    <w:rPr>
                      <w:rFonts w:hint="eastAsia"/>
                      <w:szCs w:val="21"/>
                      <w:highlight w:val="none"/>
                      <w:lang w:val="en-US" w:eastAsia="zh-CN"/>
                    </w:rPr>
                    <w:t>01.06</w:t>
                  </w:r>
                </w:p>
              </w:tc>
              <w:tc>
                <w:tcPr>
                  <w:tcW w:w="938"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0.206</w:t>
                  </w:r>
                </w:p>
              </w:tc>
              <w:tc>
                <w:tcPr>
                  <w:tcW w:w="10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0.255</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0.316</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0.277</w:t>
                  </w:r>
                </w:p>
              </w:tc>
              <w:tc>
                <w:tcPr>
                  <w:tcW w:w="1167" w:type="dxa"/>
                  <w:vAlign w:val="center"/>
                </w:tcPr>
                <w:p>
                  <w:pPr>
                    <w:autoSpaceDE w:val="0"/>
                    <w:autoSpaceDN w:val="0"/>
                    <w:adjustRightInd w:val="0"/>
                    <w:jc w:val="center"/>
                    <w:rPr>
                      <w:rFonts w:hint="default"/>
                      <w:color w:val="000000"/>
                      <w:kern w:val="0"/>
                      <w:szCs w:val="21"/>
                      <w:highlight w:val="none"/>
                      <w:lang w:val="en-US" w:eastAsia="zh-CN"/>
                    </w:rPr>
                  </w:pPr>
                  <w:r>
                    <w:rPr>
                      <w:rFonts w:hint="eastAsia"/>
                      <w:color w:val="000000"/>
                      <w:kern w:val="0"/>
                      <w:szCs w:val="21"/>
                      <w:highlight w:val="none"/>
                      <w:lang w:val="en-US" w:eastAsia="zh-CN"/>
                    </w:rPr>
                    <w:t>0.264</w:t>
                  </w:r>
                </w:p>
              </w:tc>
              <w:tc>
                <w:tcPr>
                  <w:tcW w:w="1146" w:type="dxa"/>
                  <w:vMerge w:val="restart"/>
                  <w:vAlign w:val="center"/>
                </w:tcPr>
                <w:p>
                  <w:pPr>
                    <w:widowControl/>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970" w:type="dxa"/>
                  <w:vMerge w:val="continue"/>
                  <w:vAlign w:val="center"/>
                </w:tcPr>
                <w:p>
                  <w:pPr>
                    <w:widowControl/>
                    <w:jc w:val="center"/>
                    <w:rPr>
                      <w:color w:val="000000"/>
                      <w:kern w:val="0"/>
                      <w:szCs w:val="21"/>
                      <w:highlight w:val="none"/>
                    </w:rPr>
                  </w:pPr>
                </w:p>
              </w:tc>
              <w:tc>
                <w:tcPr>
                  <w:tcW w:w="1037" w:type="dxa"/>
                  <w:vMerge w:val="continue"/>
                  <w:vAlign w:val="center"/>
                </w:tcPr>
                <w:p>
                  <w:pPr>
                    <w:widowControl/>
                    <w:jc w:val="center"/>
                    <w:rPr>
                      <w:color w:val="000000"/>
                      <w:kern w:val="0"/>
                      <w:szCs w:val="21"/>
                      <w:highlight w:val="none"/>
                    </w:rPr>
                  </w:pPr>
                </w:p>
              </w:tc>
              <w:tc>
                <w:tcPr>
                  <w:tcW w:w="773" w:type="dxa"/>
                  <w:vAlign w:val="center"/>
                </w:tcPr>
                <w:p>
                  <w:pPr>
                    <w:snapToGrid w:val="0"/>
                    <w:jc w:val="center"/>
                    <w:rPr>
                      <w:szCs w:val="21"/>
                      <w:highlight w:val="none"/>
                    </w:rPr>
                  </w:pPr>
                  <w:r>
                    <w:rPr>
                      <w:rFonts w:hint="eastAsia"/>
                      <w:szCs w:val="21"/>
                      <w:highlight w:val="none"/>
                    </w:rPr>
                    <w:t>0</w:t>
                  </w:r>
                  <w:r>
                    <w:rPr>
                      <w:rFonts w:hint="eastAsia"/>
                      <w:szCs w:val="21"/>
                      <w:highlight w:val="none"/>
                      <w:lang w:val="en-US" w:eastAsia="zh-CN"/>
                    </w:rPr>
                    <w:t>1</w:t>
                  </w:r>
                  <w:r>
                    <w:rPr>
                      <w:rFonts w:hint="eastAsia"/>
                      <w:szCs w:val="21"/>
                      <w:highlight w:val="none"/>
                    </w:rPr>
                    <w:t>.</w:t>
                  </w:r>
                  <w:r>
                    <w:rPr>
                      <w:rFonts w:hint="eastAsia"/>
                      <w:szCs w:val="21"/>
                      <w:highlight w:val="none"/>
                      <w:lang w:val="en-US" w:eastAsia="zh-CN"/>
                    </w:rPr>
                    <w:t>0</w:t>
                  </w:r>
                  <w:r>
                    <w:rPr>
                      <w:rFonts w:hint="eastAsia"/>
                      <w:szCs w:val="21"/>
                      <w:highlight w:val="none"/>
                    </w:rPr>
                    <w:t>7</w:t>
                  </w:r>
                </w:p>
              </w:tc>
              <w:tc>
                <w:tcPr>
                  <w:tcW w:w="938"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0.237</w:t>
                  </w:r>
                </w:p>
              </w:tc>
              <w:tc>
                <w:tcPr>
                  <w:tcW w:w="10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0.221</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0.298</w:t>
                  </w:r>
                </w:p>
              </w:tc>
              <w:tc>
                <w:tcPr>
                  <w:tcW w:w="907" w:type="dxa"/>
                  <w:vAlign w:val="center"/>
                </w:tcPr>
                <w:p>
                  <w:pPr>
                    <w:autoSpaceDE w:val="0"/>
                    <w:autoSpaceDN w:val="0"/>
                    <w:adjustRightInd w:val="0"/>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0.349</w:t>
                  </w:r>
                </w:p>
              </w:tc>
              <w:tc>
                <w:tcPr>
                  <w:tcW w:w="1167" w:type="dxa"/>
                  <w:vAlign w:val="center"/>
                </w:tcPr>
                <w:p>
                  <w:pPr>
                    <w:autoSpaceDE w:val="0"/>
                    <w:autoSpaceDN w:val="0"/>
                    <w:adjustRightInd w:val="0"/>
                    <w:jc w:val="center"/>
                    <w:rPr>
                      <w:rFonts w:hint="default"/>
                      <w:color w:val="000000"/>
                      <w:kern w:val="0"/>
                      <w:szCs w:val="21"/>
                      <w:highlight w:val="none"/>
                      <w:lang w:val="en-US" w:eastAsia="zh-CN"/>
                    </w:rPr>
                  </w:pPr>
                  <w:r>
                    <w:rPr>
                      <w:rFonts w:hint="eastAsia"/>
                      <w:color w:val="000000"/>
                      <w:kern w:val="0"/>
                      <w:szCs w:val="21"/>
                      <w:highlight w:val="none"/>
                      <w:lang w:val="en-US" w:eastAsia="zh-CN"/>
                    </w:rPr>
                    <w:t>0.273</w:t>
                  </w:r>
                </w:p>
              </w:tc>
              <w:tc>
                <w:tcPr>
                  <w:tcW w:w="1146" w:type="dxa"/>
                  <w:vMerge w:val="continue"/>
                  <w:vAlign w:val="center"/>
                </w:tcPr>
                <w:p>
                  <w:pPr>
                    <w:widowControl/>
                    <w:jc w:val="center"/>
                    <w:rPr>
                      <w:color w:val="000000"/>
                      <w:kern w:val="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970" w:type="dxa"/>
                  <w:vMerge w:val="continue"/>
                  <w:vAlign w:val="center"/>
                </w:tcPr>
                <w:p>
                  <w:pPr>
                    <w:widowControl/>
                    <w:jc w:val="center"/>
                    <w:rPr>
                      <w:color w:val="000000"/>
                      <w:kern w:val="0"/>
                      <w:szCs w:val="21"/>
                      <w:highlight w:val="none"/>
                    </w:rPr>
                  </w:pPr>
                </w:p>
              </w:tc>
              <w:tc>
                <w:tcPr>
                  <w:tcW w:w="1037" w:type="dxa"/>
                  <w:vMerge w:val="restart"/>
                  <w:vAlign w:val="center"/>
                </w:tcPr>
                <w:p>
                  <w:pPr>
                    <w:jc w:val="center"/>
                    <w:rPr>
                      <w:szCs w:val="21"/>
                      <w:highlight w:val="none"/>
                    </w:rPr>
                  </w:pPr>
                  <w:r>
                    <w:rPr>
                      <w:szCs w:val="21"/>
                      <w:highlight w:val="none"/>
                    </w:rPr>
                    <w:t>石油类</w:t>
                  </w:r>
                </w:p>
              </w:tc>
              <w:tc>
                <w:tcPr>
                  <w:tcW w:w="773" w:type="dxa"/>
                  <w:vAlign w:val="center"/>
                </w:tcPr>
                <w:p>
                  <w:pPr>
                    <w:snapToGrid w:val="0"/>
                    <w:jc w:val="center"/>
                    <w:rPr>
                      <w:szCs w:val="21"/>
                      <w:highlight w:val="none"/>
                    </w:rPr>
                  </w:pPr>
                  <w:r>
                    <w:rPr>
                      <w:rFonts w:hint="eastAsia"/>
                      <w:szCs w:val="21"/>
                      <w:highlight w:val="none"/>
                      <w:lang w:val="en-US" w:eastAsia="zh-CN"/>
                    </w:rPr>
                    <w:t>01.06</w:t>
                  </w:r>
                </w:p>
              </w:tc>
              <w:tc>
                <w:tcPr>
                  <w:tcW w:w="938" w:type="dxa"/>
                  <w:vAlign w:val="center"/>
                </w:tcPr>
                <w:p>
                  <w:pPr>
                    <w:autoSpaceDE w:val="0"/>
                    <w:autoSpaceDN w:val="0"/>
                    <w:adjustRightInd w:val="0"/>
                    <w:jc w:val="center"/>
                    <w:rPr>
                      <w:rFonts w:hint="default" w:eastAsia="宋体"/>
                      <w:color w:val="000000"/>
                      <w:kern w:val="0"/>
                      <w:szCs w:val="21"/>
                      <w:highlight w:val="none"/>
                      <w:vertAlign w:val="subscript"/>
                      <w:lang w:val="en-US" w:eastAsia="zh-CN"/>
                    </w:rPr>
                  </w:pPr>
                  <w:r>
                    <w:rPr>
                      <w:rFonts w:hint="eastAsia"/>
                      <w:color w:val="000000"/>
                      <w:kern w:val="0"/>
                      <w:szCs w:val="21"/>
                      <w:highlight w:val="none"/>
                      <w:lang w:val="en-US" w:eastAsia="zh-CN"/>
                    </w:rPr>
                    <w:t>0.06</w:t>
                  </w:r>
                  <w:r>
                    <w:rPr>
                      <w:rFonts w:hint="eastAsia"/>
                      <w:color w:val="000000"/>
                      <w:kern w:val="0"/>
                      <w:szCs w:val="21"/>
                      <w:highlight w:val="none"/>
                      <w:vertAlign w:val="subscript"/>
                      <w:lang w:val="en-US" w:eastAsia="zh-CN"/>
                    </w:rPr>
                    <w:t>L</w:t>
                  </w:r>
                </w:p>
              </w:tc>
              <w:tc>
                <w:tcPr>
                  <w:tcW w:w="1007" w:type="dxa"/>
                  <w:vAlign w:val="center"/>
                </w:tcPr>
                <w:p>
                  <w:pPr>
                    <w:autoSpaceDE w:val="0"/>
                    <w:autoSpaceDN w:val="0"/>
                    <w:adjustRightInd w:val="0"/>
                    <w:jc w:val="center"/>
                    <w:rPr>
                      <w:color w:val="000000"/>
                      <w:kern w:val="0"/>
                      <w:szCs w:val="21"/>
                      <w:highlight w:val="none"/>
                    </w:rPr>
                  </w:pPr>
                  <w:r>
                    <w:rPr>
                      <w:rFonts w:hint="eastAsia"/>
                      <w:color w:val="000000"/>
                      <w:kern w:val="0"/>
                      <w:szCs w:val="21"/>
                      <w:highlight w:val="none"/>
                      <w:lang w:val="en-US" w:eastAsia="zh-CN"/>
                    </w:rPr>
                    <w:t>0.06</w:t>
                  </w:r>
                  <w:r>
                    <w:rPr>
                      <w:rFonts w:hint="eastAsia"/>
                      <w:color w:val="000000"/>
                      <w:kern w:val="0"/>
                      <w:szCs w:val="21"/>
                      <w:highlight w:val="none"/>
                      <w:vertAlign w:val="subscript"/>
                      <w:lang w:val="en-US" w:eastAsia="zh-CN"/>
                    </w:rPr>
                    <w:t>L</w:t>
                  </w:r>
                </w:p>
              </w:tc>
              <w:tc>
                <w:tcPr>
                  <w:tcW w:w="907" w:type="dxa"/>
                  <w:vAlign w:val="center"/>
                </w:tcPr>
                <w:p>
                  <w:pPr>
                    <w:autoSpaceDE w:val="0"/>
                    <w:autoSpaceDN w:val="0"/>
                    <w:adjustRightInd w:val="0"/>
                    <w:jc w:val="center"/>
                    <w:rPr>
                      <w:color w:val="000000"/>
                      <w:kern w:val="0"/>
                      <w:szCs w:val="21"/>
                      <w:highlight w:val="none"/>
                    </w:rPr>
                  </w:pPr>
                  <w:r>
                    <w:rPr>
                      <w:rFonts w:hint="eastAsia"/>
                      <w:color w:val="000000"/>
                      <w:kern w:val="0"/>
                      <w:szCs w:val="21"/>
                      <w:highlight w:val="none"/>
                      <w:lang w:val="en-US" w:eastAsia="zh-CN"/>
                    </w:rPr>
                    <w:t>0.06</w:t>
                  </w:r>
                  <w:r>
                    <w:rPr>
                      <w:rFonts w:hint="eastAsia"/>
                      <w:color w:val="000000"/>
                      <w:kern w:val="0"/>
                      <w:szCs w:val="21"/>
                      <w:highlight w:val="none"/>
                      <w:vertAlign w:val="subscript"/>
                      <w:lang w:val="en-US" w:eastAsia="zh-CN"/>
                    </w:rPr>
                    <w:t>L</w:t>
                  </w:r>
                </w:p>
              </w:tc>
              <w:tc>
                <w:tcPr>
                  <w:tcW w:w="907" w:type="dxa"/>
                  <w:vAlign w:val="center"/>
                </w:tcPr>
                <w:p>
                  <w:pPr>
                    <w:autoSpaceDE w:val="0"/>
                    <w:autoSpaceDN w:val="0"/>
                    <w:adjustRightInd w:val="0"/>
                    <w:jc w:val="center"/>
                    <w:rPr>
                      <w:color w:val="000000"/>
                      <w:kern w:val="0"/>
                      <w:szCs w:val="21"/>
                      <w:highlight w:val="none"/>
                    </w:rPr>
                  </w:pPr>
                  <w:r>
                    <w:rPr>
                      <w:rFonts w:hint="eastAsia"/>
                      <w:color w:val="000000"/>
                      <w:kern w:val="0"/>
                      <w:szCs w:val="21"/>
                      <w:highlight w:val="none"/>
                      <w:lang w:val="en-US" w:eastAsia="zh-CN"/>
                    </w:rPr>
                    <w:t>0.06</w:t>
                  </w:r>
                  <w:r>
                    <w:rPr>
                      <w:rFonts w:hint="eastAsia"/>
                      <w:color w:val="000000"/>
                      <w:kern w:val="0"/>
                      <w:szCs w:val="21"/>
                      <w:highlight w:val="none"/>
                      <w:vertAlign w:val="subscript"/>
                      <w:lang w:val="en-US" w:eastAsia="zh-CN"/>
                    </w:rPr>
                    <w:t>L</w:t>
                  </w:r>
                </w:p>
              </w:tc>
              <w:tc>
                <w:tcPr>
                  <w:tcW w:w="1167" w:type="dxa"/>
                  <w:vAlign w:val="center"/>
                </w:tcPr>
                <w:p>
                  <w:pPr>
                    <w:autoSpaceDE w:val="0"/>
                    <w:autoSpaceDN w:val="0"/>
                    <w:adjustRightInd w:val="0"/>
                    <w:jc w:val="center"/>
                    <w:rPr>
                      <w:color w:val="000000"/>
                      <w:kern w:val="0"/>
                      <w:szCs w:val="21"/>
                      <w:highlight w:val="none"/>
                    </w:rPr>
                  </w:pPr>
                  <w:r>
                    <w:rPr>
                      <w:rFonts w:hint="eastAsia"/>
                      <w:color w:val="000000"/>
                      <w:kern w:val="0"/>
                      <w:szCs w:val="21"/>
                      <w:highlight w:val="none"/>
                      <w:lang w:val="en-US" w:eastAsia="zh-CN"/>
                    </w:rPr>
                    <w:t>0.06</w:t>
                  </w:r>
                  <w:r>
                    <w:rPr>
                      <w:rFonts w:hint="eastAsia"/>
                      <w:color w:val="000000"/>
                      <w:kern w:val="0"/>
                      <w:szCs w:val="21"/>
                      <w:highlight w:val="none"/>
                      <w:vertAlign w:val="subscript"/>
                      <w:lang w:val="en-US" w:eastAsia="zh-CN"/>
                    </w:rPr>
                    <w:t>L</w:t>
                  </w:r>
                </w:p>
              </w:tc>
              <w:tc>
                <w:tcPr>
                  <w:tcW w:w="1146" w:type="dxa"/>
                  <w:vMerge w:val="restart"/>
                  <w:vAlign w:val="center"/>
                </w:tcPr>
                <w:p>
                  <w:pPr>
                    <w:widowControl/>
                    <w:jc w:val="center"/>
                    <w:rPr>
                      <w:rFonts w:hint="default" w:eastAsia="宋体"/>
                      <w:color w:val="000000"/>
                      <w:kern w:val="0"/>
                      <w:szCs w:val="21"/>
                      <w:highlight w:val="none"/>
                      <w:lang w:val="en-US" w:eastAsia="zh-CN"/>
                    </w:rPr>
                  </w:pPr>
                  <w:r>
                    <w:rPr>
                      <w:rFonts w:hint="eastAsia"/>
                      <w:color w:val="000000"/>
                      <w:kern w:val="0"/>
                      <w:szCs w:val="21"/>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61" w:hRule="atLeast"/>
                <w:jc w:val="center"/>
              </w:trPr>
              <w:tc>
                <w:tcPr>
                  <w:tcW w:w="970" w:type="dxa"/>
                  <w:vMerge w:val="continue"/>
                  <w:vAlign w:val="center"/>
                </w:tcPr>
                <w:p>
                  <w:pPr>
                    <w:widowControl/>
                    <w:jc w:val="center"/>
                    <w:rPr>
                      <w:color w:val="000000"/>
                      <w:kern w:val="0"/>
                      <w:szCs w:val="21"/>
                      <w:highlight w:val="none"/>
                    </w:rPr>
                  </w:pPr>
                </w:p>
              </w:tc>
              <w:tc>
                <w:tcPr>
                  <w:tcW w:w="1037" w:type="dxa"/>
                  <w:vMerge w:val="continue"/>
                  <w:vAlign w:val="center"/>
                </w:tcPr>
                <w:p>
                  <w:pPr>
                    <w:widowControl/>
                    <w:jc w:val="center"/>
                    <w:rPr>
                      <w:color w:val="000000"/>
                      <w:kern w:val="0"/>
                      <w:szCs w:val="21"/>
                      <w:highlight w:val="none"/>
                    </w:rPr>
                  </w:pPr>
                </w:p>
              </w:tc>
              <w:tc>
                <w:tcPr>
                  <w:tcW w:w="773" w:type="dxa"/>
                  <w:vAlign w:val="center"/>
                </w:tcPr>
                <w:p>
                  <w:pPr>
                    <w:snapToGrid w:val="0"/>
                    <w:jc w:val="center"/>
                    <w:rPr>
                      <w:szCs w:val="21"/>
                      <w:highlight w:val="none"/>
                    </w:rPr>
                  </w:pPr>
                  <w:r>
                    <w:rPr>
                      <w:rFonts w:hint="eastAsia"/>
                      <w:szCs w:val="21"/>
                      <w:highlight w:val="none"/>
                    </w:rPr>
                    <w:t>0</w:t>
                  </w:r>
                  <w:r>
                    <w:rPr>
                      <w:rFonts w:hint="eastAsia"/>
                      <w:szCs w:val="21"/>
                      <w:highlight w:val="none"/>
                      <w:lang w:val="en-US" w:eastAsia="zh-CN"/>
                    </w:rPr>
                    <w:t>1</w:t>
                  </w:r>
                  <w:r>
                    <w:rPr>
                      <w:rFonts w:hint="eastAsia"/>
                      <w:szCs w:val="21"/>
                      <w:highlight w:val="none"/>
                    </w:rPr>
                    <w:t>.</w:t>
                  </w:r>
                  <w:r>
                    <w:rPr>
                      <w:rFonts w:hint="eastAsia"/>
                      <w:szCs w:val="21"/>
                      <w:highlight w:val="none"/>
                      <w:lang w:val="en-US" w:eastAsia="zh-CN"/>
                    </w:rPr>
                    <w:t>0</w:t>
                  </w:r>
                  <w:r>
                    <w:rPr>
                      <w:rFonts w:hint="eastAsia"/>
                      <w:szCs w:val="21"/>
                      <w:highlight w:val="none"/>
                    </w:rPr>
                    <w:t>7</w:t>
                  </w:r>
                </w:p>
              </w:tc>
              <w:tc>
                <w:tcPr>
                  <w:tcW w:w="938" w:type="dxa"/>
                  <w:vAlign w:val="center"/>
                </w:tcPr>
                <w:p>
                  <w:pPr>
                    <w:autoSpaceDE w:val="0"/>
                    <w:autoSpaceDN w:val="0"/>
                    <w:adjustRightInd w:val="0"/>
                    <w:jc w:val="center"/>
                    <w:rPr>
                      <w:color w:val="000000"/>
                      <w:kern w:val="0"/>
                      <w:szCs w:val="21"/>
                      <w:highlight w:val="none"/>
                    </w:rPr>
                  </w:pPr>
                  <w:r>
                    <w:rPr>
                      <w:rFonts w:hint="eastAsia"/>
                      <w:color w:val="000000"/>
                      <w:kern w:val="0"/>
                      <w:szCs w:val="21"/>
                      <w:highlight w:val="none"/>
                      <w:lang w:val="en-US" w:eastAsia="zh-CN"/>
                    </w:rPr>
                    <w:t>0.06</w:t>
                  </w:r>
                  <w:r>
                    <w:rPr>
                      <w:rFonts w:hint="eastAsia"/>
                      <w:color w:val="000000"/>
                      <w:kern w:val="0"/>
                      <w:szCs w:val="21"/>
                      <w:highlight w:val="none"/>
                      <w:vertAlign w:val="subscript"/>
                      <w:lang w:val="en-US" w:eastAsia="zh-CN"/>
                    </w:rPr>
                    <w:t>L</w:t>
                  </w:r>
                </w:p>
              </w:tc>
              <w:tc>
                <w:tcPr>
                  <w:tcW w:w="1007" w:type="dxa"/>
                  <w:vAlign w:val="center"/>
                </w:tcPr>
                <w:p>
                  <w:pPr>
                    <w:autoSpaceDE w:val="0"/>
                    <w:autoSpaceDN w:val="0"/>
                    <w:adjustRightInd w:val="0"/>
                    <w:jc w:val="center"/>
                    <w:rPr>
                      <w:color w:val="000000"/>
                      <w:kern w:val="0"/>
                      <w:szCs w:val="21"/>
                      <w:highlight w:val="none"/>
                    </w:rPr>
                  </w:pPr>
                  <w:r>
                    <w:rPr>
                      <w:rFonts w:hint="eastAsia"/>
                      <w:color w:val="000000"/>
                      <w:kern w:val="0"/>
                      <w:szCs w:val="21"/>
                      <w:highlight w:val="none"/>
                      <w:lang w:val="en-US" w:eastAsia="zh-CN"/>
                    </w:rPr>
                    <w:t>0.06</w:t>
                  </w:r>
                  <w:r>
                    <w:rPr>
                      <w:rFonts w:hint="eastAsia"/>
                      <w:color w:val="000000"/>
                      <w:kern w:val="0"/>
                      <w:szCs w:val="21"/>
                      <w:highlight w:val="none"/>
                      <w:vertAlign w:val="subscript"/>
                      <w:lang w:val="en-US" w:eastAsia="zh-CN"/>
                    </w:rPr>
                    <w:t>L</w:t>
                  </w:r>
                </w:p>
              </w:tc>
              <w:tc>
                <w:tcPr>
                  <w:tcW w:w="907" w:type="dxa"/>
                  <w:vAlign w:val="center"/>
                </w:tcPr>
                <w:p>
                  <w:pPr>
                    <w:autoSpaceDE w:val="0"/>
                    <w:autoSpaceDN w:val="0"/>
                    <w:adjustRightInd w:val="0"/>
                    <w:jc w:val="center"/>
                    <w:rPr>
                      <w:color w:val="000000"/>
                      <w:kern w:val="0"/>
                      <w:szCs w:val="21"/>
                      <w:highlight w:val="none"/>
                    </w:rPr>
                  </w:pPr>
                  <w:r>
                    <w:rPr>
                      <w:rFonts w:hint="eastAsia"/>
                      <w:color w:val="000000"/>
                      <w:kern w:val="0"/>
                      <w:szCs w:val="21"/>
                      <w:highlight w:val="none"/>
                      <w:lang w:val="en-US" w:eastAsia="zh-CN"/>
                    </w:rPr>
                    <w:t>0.06</w:t>
                  </w:r>
                  <w:r>
                    <w:rPr>
                      <w:rFonts w:hint="eastAsia"/>
                      <w:color w:val="000000"/>
                      <w:kern w:val="0"/>
                      <w:szCs w:val="21"/>
                      <w:highlight w:val="none"/>
                      <w:vertAlign w:val="subscript"/>
                      <w:lang w:val="en-US" w:eastAsia="zh-CN"/>
                    </w:rPr>
                    <w:t>L</w:t>
                  </w:r>
                </w:p>
              </w:tc>
              <w:tc>
                <w:tcPr>
                  <w:tcW w:w="907" w:type="dxa"/>
                  <w:vAlign w:val="center"/>
                </w:tcPr>
                <w:p>
                  <w:pPr>
                    <w:autoSpaceDE w:val="0"/>
                    <w:autoSpaceDN w:val="0"/>
                    <w:adjustRightInd w:val="0"/>
                    <w:jc w:val="center"/>
                    <w:rPr>
                      <w:color w:val="000000"/>
                      <w:kern w:val="0"/>
                      <w:szCs w:val="21"/>
                      <w:highlight w:val="none"/>
                    </w:rPr>
                  </w:pPr>
                  <w:r>
                    <w:rPr>
                      <w:rFonts w:hint="eastAsia"/>
                      <w:color w:val="000000"/>
                      <w:kern w:val="0"/>
                      <w:szCs w:val="21"/>
                      <w:highlight w:val="none"/>
                      <w:lang w:val="en-US" w:eastAsia="zh-CN"/>
                    </w:rPr>
                    <w:t>0.06</w:t>
                  </w:r>
                  <w:r>
                    <w:rPr>
                      <w:rFonts w:hint="eastAsia"/>
                      <w:color w:val="000000"/>
                      <w:kern w:val="0"/>
                      <w:szCs w:val="21"/>
                      <w:highlight w:val="none"/>
                      <w:vertAlign w:val="subscript"/>
                      <w:lang w:val="en-US" w:eastAsia="zh-CN"/>
                    </w:rPr>
                    <w:t>L</w:t>
                  </w:r>
                </w:p>
              </w:tc>
              <w:tc>
                <w:tcPr>
                  <w:tcW w:w="1167" w:type="dxa"/>
                  <w:vAlign w:val="center"/>
                </w:tcPr>
                <w:p>
                  <w:pPr>
                    <w:autoSpaceDE w:val="0"/>
                    <w:autoSpaceDN w:val="0"/>
                    <w:adjustRightInd w:val="0"/>
                    <w:jc w:val="center"/>
                    <w:rPr>
                      <w:color w:val="000000"/>
                      <w:kern w:val="0"/>
                      <w:szCs w:val="21"/>
                      <w:highlight w:val="none"/>
                    </w:rPr>
                  </w:pPr>
                  <w:r>
                    <w:rPr>
                      <w:rFonts w:hint="eastAsia"/>
                      <w:color w:val="000000"/>
                      <w:kern w:val="0"/>
                      <w:szCs w:val="21"/>
                      <w:highlight w:val="none"/>
                      <w:lang w:val="en-US" w:eastAsia="zh-CN"/>
                    </w:rPr>
                    <w:t>0.06</w:t>
                  </w:r>
                  <w:r>
                    <w:rPr>
                      <w:rFonts w:hint="eastAsia"/>
                      <w:color w:val="000000"/>
                      <w:kern w:val="0"/>
                      <w:szCs w:val="21"/>
                      <w:highlight w:val="none"/>
                      <w:vertAlign w:val="subscript"/>
                      <w:lang w:val="en-US" w:eastAsia="zh-CN"/>
                    </w:rPr>
                    <w:t>L</w:t>
                  </w:r>
                </w:p>
              </w:tc>
              <w:tc>
                <w:tcPr>
                  <w:tcW w:w="1146" w:type="dxa"/>
                  <w:vMerge w:val="continue"/>
                  <w:vAlign w:val="center"/>
                </w:tcPr>
                <w:p>
                  <w:pPr>
                    <w:widowControl/>
                    <w:jc w:val="center"/>
                    <w:rPr>
                      <w:color w:val="000000"/>
                      <w:kern w:val="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8852" w:type="dxa"/>
                  <w:gridSpan w:val="9"/>
                  <w:vAlign w:val="center"/>
                </w:tcPr>
                <w:p>
                  <w:pPr>
                    <w:widowControl/>
                    <w:jc w:val="left"/>
                    <w:rPr>
                      <w:color w:val="000000"/>
                      <w:kern w:val="0"/>
                      <w:szCs w:val="21"/>
                      <w:highlight w:val="none"/>
                    </w:rPr>
                  </w:pPr>
                  <w:r>
                    <w:rPr>
                      <w:color w:val="000000"/>
                      <w:kern w:val="0"/>
                      <w:szCs w:val="21"/>
                      <w:highlight w:val="none"/>
                    </w:rPr>
                    <w:t>备注：1、</w:t>
                  </w:r>
                  <w:r>
                    <w:rPr>
                      <w:rFonts w:hint="eastAsia"/>
                      <w:szCs w:val="21"/>
                      <w:highlight w:val="none"/>
                    </w:rPr>
                    <w:t>采样方式为瞬时随机采样，只对当时采集的样品负责</w:t>
                  </w:r>
                  <w:r>
                    <w:rPr>
                      <w:color w:val="000000"/>
                      <w:kern w:val="0"/>
                      <w:szCs w:val="21"/>
                      <w:highlight w:val="none"/>
                    </w:rPr>
                    <w:t>；</w:t>
                  </w:r>
                </w:p>
                <w:p>
                  <w:pPr>
                    <w:widowControl/>
                    <w:ind w:firstLine="630" w:firstLineChars="300"/>
                    <w:jc w:val="left"/>
                    <w:rPr>
                      <w:szCs w:val="21"/>
                      <w:highlight w:val="none"/>
                    </w:rPr>
                  </w:pPr>
                  <w:r>
                    <w:rPr>
                      <w:szCs w:val="21"/>
                      <w:highlight w:val="none"/>
                    </w:rPr>
                    <w:t>2、</w:t>
                  </w:r>
                  <w:r>
                    <w:rPr>
                      <w:color w:val="000000"/>
                      <w:kern w:val="0"/>
                      <w:szCs w:val="21"/>
                      <w:highlight w:val="none"/>
                    </w:rPr>
                    <w:t>“L”</w:t>
                  </w:r>
                  <w:r>
                    <w:rPr>
                      <w:rFonts w:hint="eastAsia"/>
                      <w:color w:val="000000"/>
                      <w:kern w:val="0"/>
                      <w:szCs w:val="21"/>
                      <w:highlight w:val="none"/>
                    </w:rPr>
                    <w:t>表示</w:t>
                  </w:r>
                  <w:r>
                    <w:rPr>
                      <w:color w:val="000000"/>
                      <w:kern w:val="0"/>
                      <w:szCs w:val="21"/>
                      <w:highlight w:val="none"/>
                    </w:rPr>
                    <w:t>检测结果低于该</w:t>
                  </w:r>
                  <w:r>
                    <w:rPr>
                      <w:rFonts w:hint="eastAsia"/>
                      <w:color w:val="000000"/>
                      <w:kern w:val="0"/>
                      <w:szCs w:val="21"/>
                      <w:highlight w:val="none"/>
                    </w:rPr>
                    <w:t>项目</w:t>
                  </w:r>
                  <w:r>
                    <w:rPr>
                      <w:color w:val="000000"/>
                      <w:kern w:val="0"/>
                      <w:szCs w:val="21"/>
                      <w:highlight w:val="none"/>
                    </w:rPr>
                    <w:t>方法检出限</w:t>
                  </w:r>
                  <w:r>
                    <w:rPr>
                      <w:rFonts w:hint="eastAsia"/>
                      <w:szCs w:val="21"/>
                      <w:highlight w:val="none"/>
                    </w:rPr>
                    <w:t>；</w:t>
                  </w:r>
                </w:p>
                <w:p>
                  <w:pPr>
                    <w:widowControl/>
                    <w:ind w:firstLine="630" w:firstLineChars="300"/>
                    <w:jc w:val="left"/>
                    <w:rPr>
                      <w:szCs w:val="21"/>
                      <w:highlight w:val="none"/>
                    </w:rPr>
                  </w:pPr>
                  <w:r>
                    <w:rPr>
                      <w:rFonts w:hint="eastAsia"/>
                      <w:szCs w:val="21"/>
                      <w:highlight w:val="none"/>
                    </w:rPr>
                    <w:t>3、检测结果低于检出限的，以检出限一半参与计算。</w:t>
                  </w:r>
                </w:p>
              </w:tc>
            </w:tr>
          </w:tbl>
          <w:p>
            <w:pPr>
              <w:spacing w:line="360" w:lineRule="auto"/>
              <w:ind w:firstLine="480" w:firstLineChars="200"/>
              <w:rPr>
                <w:b/>
                <w:color w:val="auto"/>
                <w:sz w:val="24"/>
                <w:highlight w:val="none"/>
              </w:rPr>
            </w:pPr>
            <w:r>
              <w:rPr>
                <w:color w:val="auto"/>
                <w:sz w:val="24"/>
                <w:highlight w:val="none"/>
              </w:rPr>
              <w:t>由上表可知：该项目</w:t>
            </w:r>
            <w:r>
              <w:rPr>
                <w:rFonts w:hint="eastAsia"/>
                <w:color w:val="auto"/>
                <w:sz w:val="24"/>
                <w:highlight w:val="none"/>
              </w:rPr>
              <w:t>废水经</w:t>
            </w:r>
            <w:r>
              <w:rPr>
                <w:color w:val="auto"/>
                <w:sz w:val="24"/>
                <w:highlight w:val="none"/>
              </w:rPr>
              <w:t>处理后，连续两天所监测的pH</w:t>
            </w:r>
            <w:r>
              <w:rPr>
                <w:rFonts w:hint="eastAsia"/>
                <w:color w:val="auto"/>
                <w:sz w:val="24"/>
                <w:highlight w:val="none"/>
              </w:rPr>
              <w:t>为</w:t>
            </w:r>
            <w:r>
              <w:rPr>
                <w:color w:val="auto"/>
                <w:sz w:val="24"/>
                <w:highlight w:val="none"/>
              </w:rPr>
              <w:t>7.</w:t>
            </w:r>
            <w:r>
              <w:rPr>
                <w:rFonts w:hint="eastAsia"/>
                <w:color w:val="auto"/>
                <w:sz w:val="24"/>
                <w:highlight w:val="none"/>
                <w:lang w:val="en-US" w:eastAsia="zh-CN"/>
              </w:rPr>
              <w:t>48</w:t>
            </w:r>
            <w:r>
              <w:rPr>
                <w:color w:val="auto"/>
                <w:sz w:val="24"/>
                <w:highlight w:val="none"/>
              </w:rPr>
              <w:t>~7.</w:t>
            </w:r>
            <w:r>
              <w:rPr>
                <w:rFonts w:hint="eastAsia"/>
                <w:color w:val="auto"/>
                <w:sz w:val="24"/>
                <w:highlight w:val="none"/>
                <w:lang w:val="en-US" w:eastAsia="zh-CN"/>
              </w:rPr>
              <w:t>60</w:t>
            </w:r>
            <w:r>
              <w:rPr>
                <w:color w:val="auto"/>
                <w:sz w:val="24"/>
                <w:highlight w:val="none"/>
              </w:rPr>
              <w:t>、化学需氧量</w:t>
            </w:r>
            <w:r>
              <w:rPr>
                <w:rFonts w:hint="eastAsia"/>
                <w:color w:val="auto"/>
                <w:sz w:val="24"/>
                <w:highlight w:val="none"/>
              </w:rPr>
              <w:t>最大日均值为</w:t>
            </w:r>
            <w:r>
              <w:rPr>
                <w:rFonts w:hint="eastAsia"/>
                <w:color w:val="auto"/>
                <w:sz w:val="24"/>
                <w:highlight w:val="none"/>
                <w:lang w:val="en-US" w:eastAsia="zh-CN"/>
              </w:rPr>
              <w:t>40</w:t>
            </w:r>
            <w:r>
              <w:rPr>
                <w:rFonts w:hint="eastAsia"/>
                <w:color w:val="auto"/>
                <w:sz w:val="24"/>
                <w:highlight w:val="none"/>
              </w:rPr>
              <w:t>mg/L</w:t>
            </w:r>
            <w:r>
              <w:rPr>
                <w:color w:val="auto"/>
                <w:sz w:val="24"/>
                <w:highlight w:val="none"/>
              </w:rPr>
              <w:t>、生化需氧量</w:t>
            </w:r>
            <w:r>
              <w:rPr>
                <w:rFonts w:hint="eastAsia"/>
                <w:color w:val="auto"/>
                <w:sz w:val="24"/>
                <w:highlight w:val="none"/>
              </w:rPr>
              <w:t>最大日均值为</w:t>
            </w:r>
            <w:r>
              <w:rPr>
                <w:rFonts w:hint="eastAsia"/>
                <w:color w:val="auto"/>
                <w:sz w:val="24"/>
                <w:highlight w:val="none"/>
                <w:lang w:val="en-US" w:eastAsia="zh-CN"/>
              </w:rPr>
              <w:t>20.4</w:t>
            </w:r>
            <w:r>
              <w:rPr>
                <w:rFonts w:hint="eastAsia"/>
                <w:color w:val="auto"/>
                <w:sz w:val="24"/>
                <w:highlight w:val="none"/>
              </w:rPr>
              <w:t>mg/L</w:t>
            </w:r>
            <w:r>
              <w:rPr>
                <w:color w:val="auto"/>
                <w:sz w:val="24"/>
                <w:highlight w:val="none"/>
              </w:rPr>
              <w:t>、悬浮物</w:t>
            </w:r>
            <w:r>
              <w:rPr>
                <w:rFonts w:hint="eastAsia"/>
                <w:color w:val="auto"/>
                <w:sz w:val="24"/>
                <w:highlight w:val="none"/>
              </w:rPr>
              <w:t>最大日均值为</w:t>
            </w:r>
            <w:r>
              <w:rPr>
                <w:rFonts w:hint="eastAsia"/>
                <w:color w:val="auto"/>
                <w:sz w:val="24"/>
                <w:highlight w:val="none"/>
                <w:lang w:val="en-US" w:eastAsia="zh-CN"/>
              </w:rPr>
              <w:t>35</w:t>
            </w:r>
            <w:r>
              <w:rPr>
                <w:rFonts w:hint="eastAsia"/>
                <w:color w:val="auto"/>
                <w:sz w:val="24"/>
                <w:highlight w:val="none"/>
              </w:rPr>
              <w:t>mg/L</w:t>
            </w:r>
            <w:r>
              <w:rPr>
                <w:color w:val="auto"/>
                <w:sz w:val="24"/>
                <w:highlight w:val="none"/>
              </w:rPr>
              <w:t>、</w:t>
            </w:r>
            <w:r>
              <w:rPr>
                <w:rFonts w:hint="eastAsia"/>
                <w:color w:val="auto"/>
                <w:sz w:val="24"/>
                <w:highlight w:val="none"/>
              </w:rPr>
              <w:t>氨氮最大日均值为</w:t>
            </w:r>
            <w:r>
              <w:rPr>
                <w:rFonts w:hint="eastAsia"/>
                <w:color w:val="auto"/>
                <w:sz w:val="24"/>
                <w:highlight w:val="none"/>
                <w:lang w:val="en-US" w:eastAsia="zh-CN"/>
              </w:rPr>
              <w:t>0.273</w:t>
            </w:r>
            <w:r>
              <w:rPr>
                <w:rFonts w:hint="eastAsia"/>
                <w:color w:val="auto"/>
                <w:sz w:val="24"/>
                <w:highlight w:val="none"/>
              </w:rPr>
              <w:t>mg/L</w:t>
            </w:r>
            <w:r>
              <w:rPr>
                <w:color w:val="auto"/>
                <w:sz w:val="24"/>
                <w:highlight w:val="none"/>
              </w:rPr>
              <w:t>、</w:t>
            </w:r>
            <w:r>
              <w:rPr>
                <w:rFonts w:hint="eastAsia"/>
                <w:color w:val="auto"/>
                <w:sz w:val="24"/>
                <w:highlight w:val="none"/>
              </w:rPr>
              <w:t>石油类</w:t>
            </w:r>
            <w:r>
              <w:rPr>
                <w:rFonts w:hint="eastAsia"/>
                <w:color w:val="auto"/>
                <w:sz w:val="24"/>
                <w:highlight w:val="none"/>
                <w:lang w:eastAsia="zh-CN"/>
              </w:rPr>
              <w:t>未检出</w:t>
            </w:r>
            <w:r>
              <w:rPr>
                <w:rFonts w:hint="eastAsia"/>
                <w:color w:val="auto"/>
                <w:sz w:val="24"/>
                <w:highlight w:val="none"/>
              </w:rPr>
              <w:t>，</w:t>
            </w:r>
            <w:r>
              <w:rPr>
                <w:color w:val="auto"/>
                <w:sz w:val="24"/>
                <w:highlight w:val="none"/>
              </w:rPr>
              <w:t>均达到</w:t>
            </w:r>
            <w:r>
              <w:rPr>
                <w:rFonts w:hint="eastAsia"/>
                <w:color w:val="auto"/>
                <w:sz w:val="24"/>
                <w:highlight w:val="none"/>
              </w:rPr>
              <w:t>资溪县城市</w:t>
            </w:r>
            <w:r>
              <w:rPr>
                <w:color w:val="auto"/>
                <w:sz w:val="24"/>
                <w:highlight w:val="none"/>
              </w:rPr>
              <w:t>污水处理厂接管标准。</w:t>
            </w:r>
          </w:p>
          <w:p>
            <w:pPr>
              <w:tabs>
                <w:tab w:val="left" w:pos="417"/>
                <w:tab w:val="left" w:pos="444"/>
              </w:tabs>
              <w:autoSpaceDE w:val="0"/>
              <w:autoSpaceDN w:val="0"/>
              <w:adjustRightInd w:val="0"/>
              <w:ind w:firstLine="482" w:firstLineChars="200"/>
              <w:jc w:val="left"/>
              <w:rPr>
                <w:b/>
                <w:color w:val="000000"/>
                <w:sz w:val="24"/>
                <w:highlight w:val="none"/>
              </w:rPr>
            </w:pPr>
            <w:r>
              <w:rPr>
                <w:rFonts w:hint="eastAsia"/>
                <w:b/>
                <w:color w:val="000000"/>
                <w:sz w:val="24"/>
                <w:highlight w:val="none"/>
              </w:rPr>
              <w:t>2、废气监测结果见下表：</w:t>
            </w:r>
          </w:p>
          <w:p>
            <w:pPr>
              <w:spacing w:line="360" w:lineRule="auto"/>
              <w:jc w:val="center"/>
              <w:rPr>
                <w:b/>
                <w:color w:val="000000"/>
                <w:szCs w:val="21"/>
                <w:highlight w:val="none"/>
              </w:rPr>
            </w:pPr>
            <w:r>
              <w:rPr>
                <w:b/>
                <w:color w:val="000000"/>
                <w:szCs w:val="21"/>
                <w:highlight w:val="none"/>
              </w:rPr>
              <w:t xml:space="preserve">表 </w:t>
            </w:r>
            <w:r>
              <w:rPr>
                <w:rFonts w:hint="eastAsia"/>
                <w:b/>
                <w:color w:val="000000"/>
                <w:szCs w:val="21"/>
                <w:highlight w:val="none"/>
              </w:rPr>
              <w:t>7-4  无组织废气</w:t>
            </w:r>
            <w:r>
              <w:rPr>
                <w:b/>
                <w:color w:val="000000"/>
                <w:szCs w:val="21"/>
                <w:highlight w:val="none"/>
              </w:rPr>
              <w:t>监测结果表</w:t>
            </w:r>
          </w:p>
          <w:tbl>
            <w:tblPr>
              <w:tblStyle w:val="24"/>
              <w:tblW w:w="90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6"/>
              <w:gridCol w:w="1133"/>
              <w:gridCol w:w="1150"/>
              <w:gridCol w:w="964"/>
              <w:gridCol w:w="947"/>
              <w:gridCol w:w="989"/>
              <w:gridCol w:w="964"/>
              <w:gridCol w:w="962"/>
              <w:gridCol w:w="9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restart"/>
                  <w:vAlign w:val="center"/>
                </w:tcPr>
                <w:p>
                  <w:pPr>
                    <w:widowControl/>
                    <w:jc w:val="center"/>
                    <w:rPr>
                      <w:rFonts w:hint="eastAsia" w:cs="宋体"/>
                      <w:b/>
                      <w:bCs/>
                      <w:kern w:val="0"/>
                      <w:szCs w:val="21"/>
                      <w:highlight w:val="none"/>
                    </w:rPr>
                  </w:pPr>
                  <w:r>
                    <w:rPr>
                      <w:rFonts w:hint="eastAsia" w:cs="宋体"/>
                      <w:b/>
                      <w:bCs/>
                      <w:kern w:val="0"/>
                      <w:szCs w:val="21"/>
                      <w:highlight w:val="none"/>
                    </w:rPr>
                    <w:t>监测</w:t>
                  </w:r>
                </w:p>
                <w:p>
                  <w:pPr>
                    <w:widowControl/>
                    <w:jc w:val="center"/>
                    <w:rPr>
                      <w:rFonts w:cs="宋体"/>
                      <w:b/>
                      <w:bCs/>
                      <w:kern w:val="0"/>
                      <w:szCs w:val="21"/>
                      <w:highlight w:val="none"/>
                    </w:rPr>
                  </w:pPr>
                  <w:r>
                    <w:rPr>
                      <w:rFonts w:hint="eastAsia" w:cs="宋体"/>
                      <w:b/>
                      <w:bCs/>
                      <w:kern w:val="0"/>
                      <w:szCs w:val="21"/>
                      <w:highlight w:val="none"/>
                    </w:rPr>
                    <w:t>项目</w:t>
                  </w:r>
                </w:p>
              </w:tc>
              <w:tc>
                <w:tcPr>
                  <w:tcW w:w="1133" w:type="dxa"/>
                  <w:vMerge w:val="restart"/>
                  <w:vAlign w:val="center"/>
                </w:tcPr>
                <w:p>
                  <w:pPr>
                    <w:widowControl/>
                    <w:jc w:val="center"/>
                    <w:rPr>
                      <w:rFonts w:cs="宋体"/>
                      <w:b/>
                      <w:bCs/>
                      <w:kern w:val="0"/>
                      <w:szCs w:val="21"/>
                      <w:highlight w:val="none"/>
                    </w:rPr>
                  </w:pPr>
                  <w:r>
                    <w:rPr>
                      <w:rFonts w:hint="eastAsia" w:cs="宋体"/>
                      <w:b/>
                      <w:bCs/>
                      <w:kern w:val="0"/>
                      <w:szCs w:val="21"/>
                      <w:highlight w:val="none"/>
                    </w:rPr>
                    <w:t>监测</w:t>
                  </w:r>
                </w:p>
                <w:p>
                  <w:pPr>
                    <w:widowControl/>
                    <w:jc w:val="center"/>
                    <w:rPr>
                      <w:rFonts w:cs="宋体"/>
                      <w:b/>
                      <w:bCs/>
                      <w:kern w:val="0"/>
                      <w:szCs w:val="21"/>
                      <w:highlight w:val="none"/>
                    </w:rPr>
                  </w:pPr>
                  <w:r>
                    <w:rPr>
                      <w:rFonts w:hint="eastAsia" w:cs="宋体"/>
                      <w:b/>
                      <w:bCs/>
                      <w:kern w:val="0"/>
                      <w:szCs w:val="21"/>
                      <w:highlight w:val="none"/>
                    </w:rPr>
                    <w:t>点位</w:t>
                  </w:r>
                </w:p>
              </w:tc>
              <w:tc>
                <w:tcPr>
                  <w:tcW w:w="1150" w:type="dxa"/>
                  <w:vMerge w:val="restart"/>
                  <w:vAlign w:val="center"/>
                </w:tcPr>
                <w:p>
                  <w:pPr>
                    <w:widowControl/>
                    <w:jc w:val="center"/>
                    <w:rPr>
                      <w:rFonts w:cs="宋体"/>
                      <w:b/>
                      <w:bCs/>
                      <w:kern w:val="0"/>
                      <w:szCs w:val="21"/>
                      <w:highlight w:val="none"/>
                    </w:rPr>
                  </w:pPr>
                  <w:r>
                    <w:rPr>
                      <w:rFonts w:hint="eastAsia" w:cs="宋体"/>
                      <w:b/>
                      <w:bCs/>
                      <w:kern w:val="0"/>
                      <w:szCs w:val="21"/>
                      <w:highlight w:val="none"/>
                    </w:rPr>
                    <w:t>监测</w:t>
                  </w:r>
                </w:p>
                <w:p>
                  <w:pPr>
                    <w:widowControl/>
                    <w:jc w:val="center"/>
                    <w:rPr>
                      <w:rFonts w:cs="宋体"/>
                      <w:b/>
                      <w:bCs/>
                      <w:kern w:val="0"/>
                      <w:szCs w:val="21"/>
                      <w:highlight w:val="none"/>
                    </w:rPr>
                  </w:pPr>
                  <w:r>
                    <w:rPr>
                      <w:rFonts w:hint="eastAsia" w:cs="宋体"/>
                      <w:b/>
                      <w:bCs/>
                      <w:kern w:val="0"/>
                      <w:szCs w:val="21"/>
                      <w:highlight w:val="none"/>
                    </w:rPr>
                    <w:t>日期</w:t>
                  </w:r>
                </w:p>
              </w:tc>
              <w:tc>
                <w:tcPr>
                  <w:tcW w:w="5822" w:type="dxa"/>
                  <w:gridSpan w:val="6"/>
                  <w:vAlign w:val="center"/>
                </w:tcPr>
                <w:p>
                  <w:pPr>
                    <w:widowControl/>
                    <w:jc w:val="center"/>
                    <w:rPr>
                      <w:rFonts w:cs="宋体"/>
                      <w:b/>
                      <w:bCs/>
                      <w:kern w:val="0"/>
                      <w:szCs w:val="21"/>
                      <w:highlight w:val="none"/>
                    </w:rPr>
                  </w:pPr>
                  <w:r>
                    <w:rPr>
                      <w:rFonts w:hint="eastAsia" w:cs="宋体"/>
                      <w:b/>
                      <w:bCs/>
                      <w:kern w:val="0"/>
                      <w:szCs w:val="21"/>
                      <w:highlight w:val="none"/>
                    </w:rPr>
                    <w:t>监测结果(单位：mg/m</w:t>
                  </w:r>
                  <w:r>
                    <w:rPr>
                      <w:rFonts w:hint="eastAsia" w:cs="宋体"/>
                      <w:b/>
                      <w:bCs/>
                      <w:kern w:val="0"/>
                      <w:szCs w:val="21"/>
                      <w:highlight w:val="none"/>
                      <w:vertAlign w:val="superscript"/>
                    </w:rPr>
                    <w:t>3</w:t>
                  </w:r>
                  <w:r>
                    <w:rPr>
                      <w:rFonts w:hint="eastAsia" w:cs="宋体"/>
                      <w:b/>
                      <w:bCs/>
                      <w:kern w:val="0"/>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vAlign w:val="center"/>
                </w:tcPr>
                <w:p>
                  <w:pPr>
                    <w:widowControl/>
                    <w:jc w:val="center"/>
                    <w:rPr>
                      <w:rFonts w:cs="宋体"/>
                      <w:b/>
                      <w:bCs/>
                      <w:kern w:val="0"/>
                      <w:szCs w:val="21"/>
                      <w:highlight w:val="none"/>
                    </w:rPr>
                  </w:pPr>
                </w:p>
              </w:tc>
              <w:tc>
                <w:tcPr>
                  <w:tcW w:w="1133" w:type="dxa"/>
                  <w:vMerge w:val="continue"/>
                  <w:vAlign w:val="center"/>
                </w:tcPr>
                <w:p>
                  <w:pPr>
                    <w:widowControl/>
                    <w:jc w:val="center"/>
                    <w:rPr>
                      <w:rFonts w:cs="宋体"/>
                      <w:b/>
                      <w:bCs/>
                      <w:kern w:val="0"/>
                      <w:szCs w:val="21"/>
                      <w:highlight w:val="none"/>
                    </w:rPr>
                  </w:pPr>
                </w:p>
              </w:tc>
              <w:tc>
                <w:tcPr>
                  <w:tcW w:w="1150" w:type="dxa"/>
                  <w:vMerge w:val="continue"/>
                  <w:vAlign w:val="center"/>
                </w:tcPr>
                <w:p>
                  <w:pPr>
                    <w:widowControl/>
                    <w:jc w:val="center"/>
                    <w:rPr>
                      <w:rFonts w:cs="宋体"/>
                      <w:b/>
                      <w:bCs/>
                      <w:kern w:val="0"/>
                      <w:szCs w:val="21"/>
                      <w:highlight w:val="none"/>
                    </w:rPr>
                  </w:pPr>
                </w:p>
              </w:tc>
              <w:tc>
                <w:tcPr>
                  <w:tcW w:w="964" w:type="dxa"/>
                  <w:vAlign w:val="center"/>
                </w:tcPr>
                <w:p>
                  <w:pPr>
                    <w:widowControl/>
                    <w:jc w:val="center"/>
                    <w:rPr>
                      <w:rFonts w:cs="宋体"/>
                      <w:b/>
                      <w:bCs/>
                      <w:kern w:val="0"/>
                      <w:szCs w:val="21"/>
                      <w:highlight w:val="none"/>
                    </w:rPr>
                  </w:pPr>
                  <w:r>
                    <w:rPr>
                      <w:rFonts w:hint="eastAsia" w:cs="宋体"/>
                      <w:b/>
                      <w:bCs/>
                      <w:kern w:val="0"/>
                      <w:szCs w:val="21"/>
                      <w:highlight w:val="none"/>
                    </w:rPr>
                    <w:t>第1次</w:t>
                  </w:r>
                </w:p>
              </w:tc>
              <w:tc>
                <w:tcPr>
                  <w:tcW w:w="947" w:type="dxa"/>
                  <w:vAlign w:val="center"/>
                </w:tcPr>
                <w:p>
                  <w:pPr>
                    <w:widowControl/>
                    <w:jc w:val="center"/>
                    <w:rPr>
                      <w:rFonts w:cs="宋体"/>
                      <w:b/>
                      <w:bCs/>
                      <w:kern w:val="0"/>
                      <w:szCs w:val="21"/>
                      <w:highlight w:val="none"/>
                    </w:rPr>
                  </w:pPr>
                  <w:r>
                    <w:rPr>
                      <w:rFonts w:hint="eastAsia" w:cs="宋体"/>
                      <w:b/>
                      <w:bCs/>
                      <w:kern w:val="0"/>
                      <w:szCs w:val="21"/>
                      <w:highlight w:val="none"/>
                    </w:rPr>
                    <w:t>第2次</w:t>
                  </w:r>
                </w:p>
              </w:tc>
              <w:tc>
                <w:tcPr>
                  <w:tcW w:w="989" w:type="dxa"/>
                  <w:vAlign w:val="center"/>
                </w:tcPr>
                <w:p>
                  <w:pPr>
                    <w:widowControl/>
                    <w:jc w:val="center"/>
                    <w:rPr>
                      <w:rFonts w:cs="宋体"/>
                      <w:b/>
                      <w:bCs/>
                      <w:kern w:val="0"/>
                      <w:szCs w:val="21"/>
                      <w:highlight w:val="none"/>
                    </w:rPr>
                  </w:pPr>
                  <w:r>
                    <w:rPr>
                      <w:rFonts w:hint="eastAsia" w:cs="宋体"/>
                      <w:b/>
                      <w:bCs/>
                      <w:kern w:val="0"/>
                      <w:szCs w:val="21"/>
                      <w:highlight w:val="none"/>
                    </w:rPr>
                    <w:t>第3次</w:t>
                  </w:r>
                </w:p>
              </w:tc>
              <w:tc>
                <w:tcPr>
                  <w:tcW w:w="964" w:type="dxa"/>
                  <w:vAlign w:val="center"/>
                </w:tcPr>
                <w:p>
                  <w:pPr>
                    <w:widowControl/>
                    <w:jc w:val="center"/>
                    <w:rPr>
                      <w:rFonts w:cs="宋体"/>
                      <w:b/>
                      <w:bCs/>
                      <w:kern w:val="0"/>
                      <w:szCs w:val="21"/>
                      <w:highlight w:val="none"/>
                    </w:rPr>
                  </w:pPr>
                  <w:r>
                    <w:rPr>
                      <w:rFonts w:hint="eastAsia" w:cs="宋体"/>
                      <w:b/>
                      <w:bCs/>
                      <w:kern w:val="0"/>
                      <w:szCs w:val="21"/>
                      <w:highlight w:val="none"/>
                    </w:rPr>
                    <w:t>第4次</w:t>
                  </w:r>
                </w:p>
              </w:tc>
              <w:tc>
                <w:tcPr>
                  <w:tcW w:w="962" w:type="dxa"/>
                  <w:vAlign w:val="center"/>
                </w:tcPr>
                <w:p>
                  <w:pPr>
                    <w:widowControl/>
                    <w:jc w:val="center"/>
                    <w:rPr>
                      <w:rFonts w:cs="宋体"/>
                      <w:b/>
                      <w:bCs/>
                      <w:kern w:val="0"/>
                      <w:szCs w:val="21"/>
                      <w:highlight w:val="none"/>
                    </w:rPr>
                  </w:pPr>
                  <w:r>
                    <w:rPr>
                      <w:rFonts w:hint="eastAsia" w:cs="宋体"/>
                      <w:b/>
                      <w:bCs/>
                      <w:kern w:val="0"/>
                      <w:szCs w:val="21"/>
                      <w:highlight w:val="none"/>
                    </w:rPr>
                    <w:t>最大值</w:t>
                  </w:r>
                </w:p>
              </w:tc>
              <w:tc>
                <w:tcPr>
                  <w:tcW w:w="996" w:type="dxa"/>
                  <w:vAlign w:val="center"/>
                </w:tcPr>
                <w:p>
                  <w:pPr>
                    <w:widowControl/>
                    <w:jc w:val="center"/>
                    <w:rPr>
                      <w:rFonts w:hint="eastAsia" w:cs="宋体"/>
                      <w:b/>
                      <w:bCs/>
                      <w:kern w:val="0"/>
                      <w:szCs w:val="21"/>
                      <w:highlight w:val="none"/>
                    </w:rPr>
                  </w:pPr>
                  <w:r>
                    <w:rPr>
                      <w:rFonts w:hint="eastAsia" w:cs="宋体"/>
                      <w:b/>
                      <w:bCs/>
                      <w:kern w:val="0"/>
                      <w:szCs w:val="21"/>
                      <w:highlight w:val="none"/>
                    </w:rPr>
                    <w:t>标准</w:t>
                  </w:r>
                </w:p>
                <w:p>
                  <w:pPr>
                    <w:widowControl/>
                    <w:jc w:val="center"/>
                    <w:rPr>
                      <w:rFonts w:cs="宋体"/>
                      <w:b/>
                      <w:bCs/>
                      <w:kern w:val="0"/>
                      <w:szCs w:val="21"/>
                      <w:highlight w:val="none"/>
                    </w:rPr>
                  </w:pPr>
                  <w:r>
                    <w:rPr>
                      <w:rFonts w:hint="eastAsia" w:cs="宋体"/>
                      <w:b/>
                      <w:bCs/>
                      <w:kern w:val="0"/>
                      <w:szCs w:val="21"/>
                      <w:highlight w:val="none"/>
                    </w:rP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restart"/>
                  <w:vAlign w:val="center"/>
                </w:tcPr>
                <w:p>
                  <w:pPr>
                    <w:widowControl/>
                    <w:jc w:val="center"/>
                    <w:rPr>
                      <w:rFonts w:cs="宋体"/>
                      <w:kern w:val="0"/>
                      <w:szCs w:val="21"/>
                      <w:highlight w:val="none"/>
                    </w:rPr>
                  </w:pPr>
                  <w:r>
                    <w:rPr>
                      <w:rFonts w:hint="eastAsia" w:cs="宋体"/>
                      <w:kern w:val="0"/>
                      <w:szCs w:val="21"/>
                      <w:highlight w:val="none"/>
                    </w:rPr>
                    <w:t>非甲烷总烃</w:t>
                  </w:r>
                </w:p>
              </w:tc>
              <w:tc>
                <w:tcPr>
                  <w:tcW w:w="1133" w:type="dxa"/>
                  <w:vMerge w:val="restart"/>
                  <w:vAlign w:val="center"/>
                </w:tcPr>
                <w:p>
                  <w:pPr>
                    <w:widowControl/>
                    <w:jc w:val="center"/>
                    <w:rPr>
                      <w:rFonts w:cs="宋体"/>
                      <w:color w:val="000000" w:themeColor="text1"/>
                      <w:kern w:val="0"/>
                      <w:szCs w:val="21"/>
                      <w:highlight w:val="none"/>
                      <w14:textFill>
                        <w14:solidFill>
                          <w14:schemeClr w14:val="tx1"/>
                        </w14:solidFill>
                      </w14:textFill>
                    </w:rPr>
                  </w:pPr>
                  <w:r>
                    <w:rPr>
                      <w:rFonts w:hint="eastAsia" w:cs="宋体"/>
                      <w:color w:val="000000" w:themeColor="text1"/>
                      <w:kern w:val="0"/>
                      <w:szCs w:val="21"/>
                      <w:highlight w:val="none"/>
                      <w14:textFill>
                        <w14:solidFill>
                          <w14:schemeClr w14:val="tx1"/>
                        </w14:solidFill>
                      </w14:textFill>
                    </w:rPr>
                    <w:t>上风向参照点○1</w:t>
                  </w:r>
                </w:p>
              </w:tc>
              <w:tc>
                <w:tcPr>
                  <w:tcW w:w="1150" w:type="dxa"/>
                  <w:vAlign w:val="center"/>
                </w:tcPr>
                <w:p>
                  <w:pPr>
                    <w:snapToGrid w:val="0"/>
                    <w:jc w:val="center"/>
                    <w:rPr>
                      <w:szCs w:val="21"/>
                      <w:highlight w:val="none"/>
                    </w:rPr>
                  </w:pPr>
                  <w:r>
                    <w:rPr>
                      <w:rFonts w:hint="eastAsia"/>
                      <w:szCs w:val="21"/>
                      <w:highlight w:val="none"/>
                      <w:lang w:val="en-US" w:eastAsia="zh-CN"/>
                    </w:rPr>
                    <w:t>01.06</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0.26</w:t>
                  </w:r>
                </w:p>
              </w:tc>
              <w:tc>
                <w:tcPr>
                  <w:tcW w:w="947"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0.29</w:t>
                  </w:r>
                </w:p>
              </w:tc>
              <w:tc>
                <w:tcPr>
                  <w:tcW w:w="989"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0.19</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0.25</w:t>
                  </w:r>
                </w:p>
              </w:tc>
              <w:tc>
                <w:tcPr>
                  <w:tcW w:w="962"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0.29</w:t>
                  </w:r>
                </w:p>
              </w:tc>
              <w:tc>
                <w:tcPr>
                  <w:tcW w:w="996" w:type="dxa"/>
                  <w:vMerge w:val="restart"/>
                  <w:vAlign w:val="center"/>
                </w:tcPr>
                <w:p>
                  <w:pPr>
                    <w:widowControl/>
                    <w:jc w:val="center"/>
                    <w:rPr>
                      <w:rFonts w:cs="宋体"/>
                      <w:kern w:val="0"/>
                      <w:szCs w:val="21"/>
                      <w:highlight w:val="none"/>
                    </w:rPr>
                  </w:pPr>
                  <w:r>
                    <w:rPr>
                      <w:rFonts w:hint="eastAsia" w:cs="宋体"/>
                      <w:kern w:val="0"/>
                      <w:szCs w:val="21"/>
                      <w:highlight w:val="none"/>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vAlign w:val="center"/>
                </w:tcPr>
                <w:p>
                  <w:pPr>
                    <w:widowControl/>
                    <w:jc w:val="center"/>
                    <w:rPr>
                      <w:rFonts w:cs="宋体"/>
                      <w:kern w:val="0"/>
                      <w:szCs w:val="21"/>
                      <w:highlight w:val="none"/>
                    </w:rPr>
                  </w:pPr>
                </w:p>
              </w:tc>
              <w:tc>
                <w:tcPr>
                  <w:tcW w:w="1133" w:type="dxa"/>
                  <w:vMerge w:val="continue"/>
                  <w:vAlign w:val="center"/>
                </w:tcPr>
                <w:p>
                  <w:pPr>
                    <w:widowControl/>
                    <w:jc w:val="center"/>
                    <w:rPr>
                      <w:rFonts w:cs="宋体"/>
                      <w:color w:val="000000" w:themeColor="text1"/>
                      <w:kern w:val="0"/>
                      <w:szCs w:val="21"/>
                      <w:highlight w:val="none"/>
                      <w14:textFill>
                        <w14:solidFill>
                          <w14:schemeClr w14:val="tx1"/>
                        </w14:solidFill>
                      </w14:textFill>
                    </w:rPr>
                  </w:pPr>
                </w:p>
              </w:tc>
              <w:tc>
                <w:tcPr>
                  <w:tcW w:w="1150" w:type="dxa"/>
                  <w:vAlign w:val="center"/>
                </w:tcPr>
                <w:p>
                  <w:pPr>
                    <w:snapToGrid w:val="0"/>
                    <w:jc w:val="center"/>
                    <w:rPr>
                      <w:szCs w:val="21"/>
                      <w:highlight w:val="none"/>
                    </w:rPr>
                  </w:pPr>
                  <w:r>
                    <w:rPr>
                      <w:rFonts w:hint="eastAsia"/>
                      <w:szCs w:val="21"/>
                      <w:highlight w:val="none"/>
                    </w:rPr>
                    <w:t>0</w:t>
                  </w:r>
                  <w:r>
                    <w:rPr>
                      <w:rFonts w:hint="eastAsia"/>
                      <w:szCs w:val="21"/>
                      <w:highlight w:val="none"/>
                      <w:lang w:val="en-US" w:eastAsia="zh-CN"/>
                    </w:rPr>
                    <w:t>1</w:t>
                  </w:r>
                  <w:r>
                    <w:rPr>
                      <w:rFonts w:hint="eastAsia"/>
                      <w:szCs w:val="21"/>
                      <w:highlight w:val="none"/>
                    </w:rPr>
                    <w:t>.</w:t>
                  </w:r>
                  <w:r>
                    <w:rPr>
                      <w:rFonts w:hint="eastAsia"/>
                      <w:szCs w:val="21"/>
                      <w:highlight w:val="none"/>
                      <w:lang w:val="en-US" w:eastAsia="zh-CN"/>
                    </w:rPr>
                    <w:t>0</w:t>
                  </w:r>
                  <w:r>
                    <w:rPr>
                      <w:rFonts w:hint="eastAsia"/>
                      <w:szCs w:val="21"/>
                      <w:highlight w:val="none"/>
                    </w:rPr>
                    <w:t>7</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0.23</w:t>
                  </w:r>
                </w:p>
              </w:tc>
              <w:tc>
                <w:tcPr>
                  <w:tcW w:w="947"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0.31</w:t>
                  </w:r>
                </w:p>
              </w:tc>
              <w:tc>
                <w:tcPr>
                  <w:tcW w:w="989"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0.24</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0.25</w:t>
                  </w:r>
                </w:p>
              </w:tc>
              <w:tc>
                <w:tcPr>
                  <w:tcW w:w="962"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0.41</w:t>
                  </w:r>
                </w:p>
              </w:tc>
              <w:tc>
                <w:tcPr>
                  <w:tcW w:w="996" w:type="dxa"/>
                  <w:vMerge w:val="continue"/>
                  <w:vAlign w:val="center"/>
                </w:tcPr>
                <w:p>
                  <w:pPr>
                    <w:widowControl/>
                    <w:jc w:val="center"/>
                    <w:rPr>
                      <w:rFonts w:cs="宋体"/>
                      <w:kern w:val="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vAlign w:val="center"/>
                </w:tcPr>
                <w:p>
                  <w:pPr>
                    <w:widowControl/>
                    <w:jc w:val="center"/>
                    <w:rPr>
                      <w:rFonts w:cs="宋体"/>
                      <w:kern w:val="0"/>
                      <w:szCs w:val="21"/>
                      <w:highlight w:val="none"/>
                    </w:rPr>
                  </w:pPr>
                </w:p>
              </w:tc>
              <w:tc>
                <w:tcPr>
                  <w:tcW w:w="1133" w:type="dxa"/>
                  <w:vMerge w:val="restart"/>
                  <w:vAlign w:val="center"/>
                </w:tcPr>
                <w:p>
                  <w:pPr>
                    <w:widowControl/>
                    <w:jc w:val="center"/>
                    <w:rPr>
                      <w:rFonts w:cs="宋体"/>
                      <w:color w:val="000000" w:themeColor="text1"/>
                      <w:kern w:val="0"/>
                      <w:szCs w:val="21"/>
                      <w:highlight w:val="none"/>
                      <w14:textFill>
                        <w14:solidFill>
                          <w14:schemeClr w14:val="tx1"/>
                        </w14:solidFill>
                      </w14:textFill>
                    </w:rPr>
                  </w:pPr>
                  <w:r>
                    <w:rPr>
                      <w:rFonts w:hint="eastAsia" w:cs="宋体"/>
                      <w:color w:val="000000" w:themeColor="text1"/>
                      <w:kern w:val="0"/>
                      <w:szCs w:val="21"/>
                      <w:highlight w:val="none"/>
                      <w14:textFill>
                        <w14:solidFill>
                          <w14:schemeClr w14:val="tx1"/>
                        </w14:solidFill>
                      </w14:textFill>
                    </w:rPr>
                    <w:t>下风向监控点○2</w:t>
                  </w:r>
                </w:p>
              </w:tc>
              <w:tc>
                <w:tcPr>
                  <w:tcW w:w="1150" w:type="dxa"/>
                  <w:vAlign w:val="center"/>
                </w:tcPr>
                <w:p>
                  <w:pPr>
                    <w:snapToGrid w:val="0"/>
                    <w:jc w:val="center"/>
                    <w:rPr>
                      <w:szCs w:val="21"/>
                      <w:highlight w:val="none"/>
                    </w:rPr>
                  </w:pPr>
                  <w:r>
                    <w:rPr>
                      <w:rFonts w:hint="eastAsia"/>
                      <w:szCs w:val="21"/>
                      <w:highlight w:val="none"/>
                      <w:lang w:val="en-US" w:eastAsia="zh-CN"/>
                    </w:rPr>
                    <w:t>01.06</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0.30</w:t>
                  </w:r>
                </w:p>
              </w:tc>
              <w:tc>
                <w:tcPr>
                  <w:tcW w:w="947"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0.29</w:t>
                  </w:r>
                </w:p>
              </w:tc>
              <w:tc>
                <w:tcPr>
                  <w:tcW w:w="989"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0.24</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0.23</w:t>
                  </w:r>
                </w:p>
              </w:tc>
              <w:tc>
                <w:tcPr>
                  <w:tcW w:w="962"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0.30</w:t>
                  </w:r>
                </w:p>
              </w:tc>
              <w:tc>
                <w:tcPr>
                  <w:tcW w:w="996" w:type="dxa"/>
                  <w:vMerge w:val="restart"/>
                  <w:vAlign w:val="center"/>
                </w:tcPr>
                <w:p>
                  <w:pPr>
                    <w:widowControl/>
                    <w:jc w:val="center"/>
                    <w:rPr>
                      <w:rFonts w:cs="宋体"/>
                      <w:kern w:val="0"/>
                      <w:szCs w:val="21"/>
                      <w:highlight w:val="none"/>
                    </w:rPr>
                  </w:pPr>
                  <w:r>
                    <w:rPr>
                      <w:rFonts w:hint="eastAsia" w:cs="宋体"/>
                      <w:kern w:val="0"/>
                      <w:szCs w:val="21"/>
                      <w:highlight w:val="none"/>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vAlign w:val="center"/>
                </w:tcPr>
                <w:p>
                  <w:pPr>
                    <w:widowControl/>
                    <w:jc w:val="center"/>
                    <w:rPr>
                      <w:rFonts w:cs="宋体"/>
                      <w:kern w:val="0"/>
                      <w:szCs w:val="21"/>
                      <w:highlight w:val="none"/>
                    </w:rPr>
                  </w:pPr>
                </w:p>
              </w:tc>
              <w:tc>
                <w:tcPr>
                  <w:tcW w:w="1133" w:type="dxa"/>
                  <w:vMerge w:val="continue"/>
                  <w:vAlign w:val="center"/>
                </w:tcPr>
                <w:p>
                  <w:pPr>
                    <w:widowControl/>
                    <w:jc w:val="center"/>
                    <w:rPr>
                      <w:rFonts w:cs="宋体"/>
                      <w:color w:val="000000" w:themeColor="text1"/>
                      <w:kern w:val="0"/>
                      <w:szCs w:val="21"/>
                      <w:highlight w:val="none"/>
                      <w14:textFill>
                        <w14:solidFill>
                          <w14:schemeClr w14:val="tx1"/>
                        </w14:solidFill>
                      </w14:textFill>
                    </w:rPr>
                  </w:pPr>
                </w:p>
              </w:tc>
              <w:tc>
                <w:tcPr>
                  <w:tcW w:w="1150" w:type="dxa"/>
                  <w:vAlign w:val="center"/>
                </w:tcPr>
                <w:p>
                  <w:pPr>
                    <w:snapToGrid w:val="0"/>
                    <w:jc w:val="center"/>
                    <w:rPr>
                      <w:szCs w:val="21"/>
                      <w:highlight w:val="none"/>
                    </w:rPr>
                  </w:pPr>
                  <w:r>
                    <w:rPr>
                      <w:rFonts w:hint="eastAsia"/>
                      <w:szCs w:val="21"/>
                      <w:highlight w:val="none"/>
                    </w:rPr>
                    <w:t>0</w:t>
                  </w:r>
                  <w:r>
                    <w:rPr>
                      <w:rFonts w:hint="eastAsia"/>
                      <w:szCs w:val="21"/>
                      <w:highlight w:val="none"/>
                      <w:lang w:val="en-US" w:eastAsia="zh-CN"/>
                    </w:rPr>
                    <w:t>1</w:t>
                  </w:r>
                  <w:r>
                    <w:rPr>
                      <w:rFonts w:hint="eastAsia"/>
                      <w:szCs w:val="21"/>
                      <w:highlight w:val="none"/>
                    </w:rPr>
                    <w:t>.</w:t>
                  </w:r>
                  <w:r>
                    <w:rPr>
                      <w:rFonts w:hint="eastAsia"/>
                      <w:szCs w:val="21"/>
                      <w:highlight w:val="none"/>
                      <w:lang w:val="en-US" w:eastAsia="zh-CN"/>
                    </w:rPr>
                    <w:t>0</w:t>
                  </w:r>
                  <w:r>
                    <w:rPr>
                      <w:rFonts w:hint="eastAsia"/>
                      <w:szCs w:val="21"/>
                      <w:highlight w:val="none"/>
                    </w:rPr>
                    <w:t>7</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0.41</w:t>
                  </w:r>
                </w:p>
              </w:tc>
              <w:tc>
                <w:tcPr>
                  <w:tcW w:w="947"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0.25</w:t>
                  </w:r>
                </w:p>
              </w:tc>
              <w:tc>
                <w:tcPr>
                  <w:tcW w:w="989"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0.27</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0.22</w:t>
                  </w:r>
                </w:p>
              </w:tc>
              <w:tc>
                <w:tcPr>
                  <w:tcW w:w="962"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0.27</w:t>
                  </w:r>
                </w:p>
              </w:tc>
              <w:tc>
                <w:tcPr>
                  <w:tcW w:w="996" w:type="dxa"/>
                  <w:vMerge w:val="continue"/>
                  <w:vAlign w:val="center"/>
                </w:tcPr>
                <w:p>
                  <w:pPr>
                    <w:widowControl/>
                    <w:jc w:val="center"/>
                    <w:rPr>
                      <w:rFonts w:cs="宋体"/>
                      <w:kern w:val="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vAlign w:val="center"/>
                </w:tcPr>
                <w:p>
                  <w:pPr>
                    <w:widowControl/>
                    <w:jc w:val="center"/>
                    <w:rPr>
                      <w:rFonts w:cs="宋体"/>
                      <w:kern w:val="0"/>
                      <w:szCs w:val="21"/>
                      <w:highlight w:val="none"/>
                    </w:rPr>
                  </w:pPr>
                </w:p>
              </w:tc>
              <w:tc>
                <w:tcPr>
                  <w:tcW w:w="1133" w:type="dxa"/>
                  <w:vMerge w:val="restart"/>
                  <w:vAlign w:val="center"/>
                </w:tcPr>
                <w:p>
                  <w:pPr>
                    <w:spacing w:line="300" w:lineRule="exact"/>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下风向监控点</w:t>
                  </w:r>
                  <w:r>
                    <w:rPr>
                      <w:rFonts w:hint="eastAsia" w:ascii="宋体" w:hAnsi="宋体" w:cs="宋体"/>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3</w:t>
                  </w:r>
                </w:p>
              </w:tc>
              <w:tc>
                <w:tcPr>
                  <w:tcW w:w="1150" w:type="dxa"/>
                  <w:vAlign w:val="center"/>
                </w:tcPr>
                <w:p>
                  <w:pPr>
                    <w:snapToGrid w:val="0"/>
                    <w:jc w:val="center"/>
                    <w:rPr>
                      <w:szCs w:val="21"/>
                      <w:highlight w:val="none"/>
                    </w:rPr>
                  </w:pPr>
                  <w:r>
                    <w:rPr>
                      <w:rFonts w:hint="eastAsia"/>
                      <w:szCs w:val="21"/>
                      <w:highlight w:val="none"/>
                      <w:lang w:val="en-US" w:eastAsia="zh-CN"/>
                    </w:rPr>
                    <w:t>01.06</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0.25</w:t>
                  </w:r>
                </w:p>
              </w:tc>
              <w:tc>
                <w:tcPr>
                  <w:tcW w:w="947"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0.29</w:t>
                  </w:r>
                </w:p>
              </w:tc>
              <w:tc>
                <w:tcPr>
                  <w:tcW w:w="989"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0.29</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0.30</w:t>
                  </w:r>
                </w:p>
              </w:tc>
              <w:tc>
                <w:tcPr>
                  <w:tcW w:w="962"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0.30</w:t>
                  </w:r>
                </w:p>
              </w:tc>
              <w:tc>
                <w:tcPr>
                  <w:tcW w:w="996" w:type="dxa"/>
                  <w:vMerge w:val="restart"/>
                  <w:vAlign w:val="center"/>
                </w:tcPr>
                <w:p>
                  <w:pPr>
                    <w:widowControl/>
                    <w:jc w:val="center"/>
                    <w:rPr>
                      <w:rFonts w:cs="宋体"/>
                      <w:kern w:val="0"/>
                      <w:szCs w:val="21"/>
                      <w:highlight w:val="none"/>
                    </w:rPr>
                  </w:pPr>
                  <w:r>
                    <w:rPr>
                      <w:rFonts w:hint="eastAsia" w:cs="宋体"/>
                      <w:kern w:val="0"/>
                      <w:szCs w:val="21"/>
                      <w:highlight w:val="none"/>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vAlign w:val="center"/>
                </w:tcPr>
                <w:p>
                  <w:pPr>
                    <w:widowControl/>
                    <w:jc w:val="center"/>
                    <w:rPr>
                      <w:rFonts w:cs="宋体"/>
                      <w:kern w:val="0"/>
                      <w:szCs w:val="21"/>
                      <w:highlight w:val="none"/>
                    </w:rPr>
                  </w:pPr>
                </w:p>
              </w:tc>
              <w:tc>
                <w:tcPr>
                  <w:tcW w:w="1133" w:type="dxa"/>
                  <w:vMerge w:val="continue"/>
                  <w:vAlign w:val="center"/>
                </w:tcPr>
                <w:p>
                  <w:pPr>
                    <w:widowControl/>
                    <w:jc w:val="center"/>
                    <w:rPr>
                      <w:rFonts w:cs="宋体"/>
                      <w:color w:val="000000" w:themeColor="text1"/>
                      <w:kern w:val="0"/>
                      <w:szCs w:val="21"/>
                      <w:highlight w:val="none"/>
                      <w14:textFill>
                        <w14:solidFill>
                          <w14:schemeClr w14:val="tx1"/>
                        </w14:solidFill>
                      </w14:textFill>
                    </w:rPr>
                  </w:pPr>
                </w:p>
              </w:tc>
              <w:tc>
                <w:tcPr>
                  <w:tcW w:w="1150" w:type="dxa"/>
                  <w:vAlign w:val="center"/>
                </w:tcPr>
                <w:p>
                  <w:pPr>
                    <w:snapToGrid w:val="0"/>
                    <w:jc w:val="center"/>
                    <w:rPr>
                      <w:szCs w:val="21"/>
                      <w:highlight w:val="none"/>
                    </w:rPr>
                  </w:pPr>
                  <w:r>
                    <w:rPr>
                      <w:rFonts w:hint="eastAsia"/>
                      <w:szCs w:val="21"/>
                      <w:highlight w:val="none"/>
                    </w:rPr>
                    <w:t>0</w:t>
                  </w:r>
                  <w:r>
                    <w:rPr>
                      <w:rFonts w:hint="eastAsia"/>
                      <w:szCs w:val="21"/>
                      <w:highlight w:val="none"/>
                      <w:lang w:val="en-US" w:eastAsia="zh-CN"/>
                    </w:rPr>
                    <w:t>1</w:t>
                  </w:r>
                  <w:r>
                    <w:rPr>
                      <w:rFonts w:hint="eastAsia"/>
                      <w:szCs w:val="21"/>
                      <w:highlight w:val="none"/>
                    </w:rPr>
                    <w:t>.</w:t>
                  </w:r>
                  <w:r>
                    <w:rPr>
                      <w:rFonts w:hint="eastAsia"/>
                      <w:szCs w:val="21"/>
                      <w:highlight w:val="none"/>
                      <w:lang w:val="en-US" w:eastAsia="zh-CN"/>
                    </w:rPr>
                    <w:t>0</w:t>
                  </w:r>
                  <w:r>
                    <w:rPr>
                      <w:rFonts w:hint="eastAsia"/>
                      <w:szCs w:val="21"/>
                      <w:highlight w:val="none"/>
                    </w:rPr>
                    <w:t>7</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0.36</w:t>
                  </w:r>
                </w:p>
              </w:tc>
              <w:tc>
                <w:tcPr>
                  <w:tcW w:w="947"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0.29</w:t>
                  </w:r>
                </w:p>
              </w:tc>
              <w:tc>
                <w:tcPr>
                  <w:tcW w:w="989"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0.33</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0.29</w:t>
                  </w:r>
                </w:p>
              </w:tc>
              <w:tc>
                <w:tcPr>
                  <w:tcW w:w="962"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0.36</w:t>
                  </w:r>
                </w:p>
              </w:tc>
              <w:tc>
                <w:tcPr>
                  <w:tcW w:w="996" w:type="dxa"/>
                  <w:vMerge w:val="continue"/>
                  <w:vAlign w:val="center"/>
                </w:tcPr>
                <w:p>
                  <w:pPr>
                    <w:widowControl/>
                    <w:jc w:val="center"/>
                    <w:rPr>
                      <w:rFonts w:cs="宋体"/>
                      <w:kern w:val="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vAlign w:val="center"/>
                </w:tcPr>
                <w:p>
                  <w:pPr>
                    <w:widowControl/>
                    <w:jc w:val="center"/>
                    <w:rPr>
                      <w:rFonts w:cs="宋体"/>
                      <w:kern w:val="0"/>
                      <w:szCs w:val="21"/>
                      <w:highlight w:val="none"/>
                    </w:rPr>
                  </w:pPr>
                </w:p>
              </w:tc>
              <w:tc>
                <w:tcPr>
                  <w:tcW w:w="1133" w:type="dxa"/>
                  <w:vMerge w:val="restart"/>
                  <w:vAlign w:val="center"/>
                </w:tcPr>
                <w:p>
                  <w:pPr>
                    <w:widowControl/>
                    <w:jc w:val="center"/>
                    <w:rPr>
                      <w:rFonts w:cs="宋体"/>
                      <w:color w:val="000000" w:themeColor="text1"/>
                      <w:kern w:val="0"/>
                      <w:szCs w:val="21"/>
                      <w:highlight w:val="none"/>
                      <w14:textFill>
                        <w14:solidFill>
                          <w14:schemeClr w14:val="tx1"/>
                        </w14:solidFill>
                      </w14:textFill>
                    </w:rPr>
                  </w:pPr>
                  <w:r>
                    <w:rPr>
                      <w:rFonts w:hint="eastAsia" w:cs="宋体"/>
                      <w:color w:val="000000" w:themeColor="text1"/>
                      <w:kern w:val="0"/>
                      <w:szCs w:val="21"/>
                      <w:highlight w:val="none"/>
                      <w14:textFill>
                        <w14:solidFill>
                          <w14:schemeClr w14:val="tx1"/>
                        </w14:solidFill>
                      </w14:textFill>
                    </w:rPr>
                    <w:t>下风向监控点○4</w:t>
                  </w:r>
                </w:p>
              </w:tc>
              <w:tc>
                <w:tcPr>
                  <w:tcW w:w="1150" w:type="dxa"/>
                  <w:vAlign w:val="center"/>
                </w:tcPr>
                <w:p>
                  <w:pPr>
                    <w:snapToGrid w:val="0"/>
                    <w:jc w:val="center"/>
                    <w:rPr>
                      <w:szCs w:val="21"/>
                      <w:highlight w:val="none"/>
                    </w:rPr>
                  </w:pPr>
                  <w:r>
                    <w:rPr>
                      <w:rFonts w:hint="eastAsia"/>
                      <w:szCs w:val="21"/>
                      <w:highlight w:val="none"/>
                      <w:lang w:val="en-US" w:eastAsia="zh-CN"/>
                    </w:rPr>
                    <w:t>01.06</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0.24</w:t>
                  </w:r>
                </w:p>
              </w:tc>
              <w:tc>
                <w:tcPr>
                  <w:tcW w:w="947"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0.28</w:t>
                  </w:r>
                </w:p>
              </w:tc>
              <w:tc>
                <w:tcPr>
                  <w:tcW w:w="989"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0.34</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0.29</w:t>
                  </w:r>
                </w:p>
              </w:tc>
              <w:tc>
                <w:tcPr>
                  <w:tcW w:w="962"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0.34</w:t>
                  </w:r>
                </w:p>
              </w:tc>
              <w:tc>
                <w:tcPr>
                  <w:tcW w:w="996" w:type="dxa"/>
                  <w:vMerge w:val="restart"/>
                  <w:vAlign w:val="center"/>
                </w:tcPr>
                <w:p>
                  <w:pPr>
                    <w:widowControl/>
                    <w:jc w:val="center"/>
                    <w:rPr>
                      <w:rFonts w:cs="宋体"/>
                      <w:kern w:val="0"/>
                      <w:szCs w:val="21"/>
                      <w:highlight w:val="none"/>
                    </w:rPr>
                  </w:pPr>
                  <w:r>
                    <w:rPr>
                      <w:rFonts w:hint="eastAsia" w:cs="宋体"/>
                      <w:kern w:val="0"/>
                      <w:szCs w:val="21"/>
                      <w:highlight w:val="none"/>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66" w:type="dxa"/>
                  <w:vMerge w:val="continue"/>
                  <w:vAlign w:val="center"/>
                </w:tcPr>
                <w:p>
                  <w:pPr>
                    <w:widowControl/>
                    <w:jc w:val="center"/>
                    <w:rPr>
                      <w:rFonts w:cs="宋体"/>
                      <w:kern w:val="0"/>
                      <w:szCs w:val="21"/>
                      <w:highlight w:val="none"/>
                    </w:rPr>
                  </w:pPr>
                </w:p>
              </w:tc>
              <w:tc>
                <w:tcPr>
                  <w:tcW w:w="1133" w:type="dxa"/>
                  <w:vMerge w:val="continue"/>
                  <w:vAlign w:val="center"/>
                </w:tcPr>
                <w:p>
                  <w:pPr>
                    <w:widowControl/>
                    <w:jc w:val="center"/>
                    <w:rPr>
                      <w:rFonts w:cs="宋体"/>
                      <w:kern w:val="0"/>
                      <w:szCs w:val="21"/>
                      <w:highlight w:val="none"/>
                    </w:rPr>
                  </w:pPr>
                </w:p>
              </w:tc>
              <w:tc>
                <w:tcPr>
                  <w:tcW w:w="1150" w:type="dxa"/>
                  <w:vAlign w:val="center"/>
                </w:tcPr>
                <w:p>
                  <w:pPr>
                    <w:snapToGrid w:val="0"/>
                    <w:jc w:val="center"/>
                    <w:rPr>
                      <w:szCs w:val="21"/>
                      <w:highlight w:val="none"/>
                    </w:rPr>
                  </w:pPr>
                  <w:r>
                    <w:rPr>
                      <w:rFonts w:hint="eastAsia"/>
                      <w:szCs w:val="21"/>
                      <w:highlight w:val="none"/>
                    </w:rPr>
                    <w:t>0</w:t>
                  </w:r>
                  <w:r>
                    <w:rPr>
                      <w:rFonts w:hint="eastAsia"/>
                      <w:szCs w:val="21"/>
                      <w:highlight w:val="none"/>
                      <w:lang w:val="en-US" w:eastAsia="zh-CN"/>
                    </w:rPr>
                    <w:t>1</w:t>
                  </w:r>
                  <w:r>
                    <w:rPr>
                      <w:rFonts w:hint="eastAsia"/>
                      <w:szCs w:val="21"/>
                      <w:highlight w:val="none"/>
                    </w:rPr>
                    <w:t>.</w:t>
                  </w:r>
                  <w:r>
                    <w:rPr>
                      <w:rFonts w:hint="eastAsia"/>
                      <w:szCs w:val="21"/>
                      <w:highlight w:val="none"/>
                      <w:lang w:val="en-US" w:eastAsia="zh-CN"/>
                    </w:rPr>
                    <w:t>0</w:t>
                  </w:r>
                  <w:r>
                    <w:rPr>
                      <w:rFonts w:hint="eastAsia"/>
                      <w:szCs w:val="21"/>
                      <w:highlight w:val="none"/>
                    </w:rPr>
                    <w:t>7</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0.27</w:t>
                  </w:r>
                </w:p>
              </w:tc>
              <w:tc>
                <w:tcPr>
                  <w:tcW w:w="947"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0.37</w:t>
                  </w:r>
                </w:p>
              </w:tc>
              <w:tc>
                <w:tcPr>
                  <w:tcW w:w="989"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0.31</w:t>
                  </w:r>
                </w:p>
              </w:tc>
              <w:tc>
                <w:tcPr>
                  <w:tcW w:w="964"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0.22</w:t>
                  </w:r>
                </w:p>
              </w:tc>
              <w:tc>
                <w:tcPr>
                  <w:tcW w:w="962" w:type="dxa"/>
                  <w:vAlign w:val="center"/>
                </w:tcPr>
                <w:p>
                  <w:pPr>
                    <w:jc w:val="center"/>
                    <w:rPr>
                      <w:rFonts w:hint="default" w:eastAsia="宋体" w:asciiTheme="majorBidi" w:hAnsiTheme="majorBidi" w:cstheme="majorBidi"/>
                      <w:color w:val="000000"/>
                      <w:szCs w:val="21"/>
                      <w:highlight w:val="none"/>
                      <w:lang w:val="en-US" w:eastAsia="zh-CN"/>
                    </w:rPr>
                  </w:pPr>
                  <w:r>
                    <w:rPr>
                      <w:rFonts w:hint="eastAsia" w:asciiTheme="majorBidi" w:hAnsiTheme="majorBidi" w:cstheme="majorBidi"/>
                      <w:color w:val="000000"/>
                      <w:szCs w:val="21"/>
                      <w:highlight w:val="none"/>
                      <w:lang w:val="en-US" w:eastAsia="zh-CN"/>
                    </w:rPr>
                    <w:t>0.37</w:t>
                  </w:r>
                </w:p>
              </w:tc>
              <w:tc>
                <w:tcPr>
                  <w:tcW w:w="996" w:type="dxa"/>
                  <w:vMerge w:val="continue"/>
                  <w:vAlign w:val="center"/>
                </w:tcPr>
                <w:p>
                  <w:pPr>
                    <w:widowControl/>
                    <w:jc w:val="center"/>
                    <w:rPr>
                      <w:rFonts w:cs="宋体"/>
                      <w:kern w:val="0"/>
                      <w:szCs w:val="21"/>
                      <w:highlight w:val="none"/>
                    </w:rPr>
                  </w:pPr>
                </w:p>
              </w:tc>
            </w:tr>
          </w:tbl>
          <w:p>
            <w:pPr>
              <w:pStyle w:val="39"/>
              <w:spacing w:line="360" w:lineRule="auto"/>
              <w:ind w:firstLine="480" w:firstLineChars="200"/>
              <w:rPr>
                <w:rFonts w:asciiTheme="majorBidi" w:hAnsiTheme="majorBidi" w:cstheme="majorBidi"/>
                <w:b/>
                <w:color w:val="000000" w:themeColor="text1"/>
                <w:kern w:val="2"/>
                <w:highlight w:val="none"/>
                <w14:textFill>
                  <w14:solidFill>
                    <w14:schemeClr w14:val="tx1"/>
                  </w14:solidFill>
                </w14:textFill>
              </w:rPr>
            </w:pPr>
            <w:r>
              <w:rPr>
                <w:rFonts w:asciiTheme="majorBidi" w:hAnsiTheme="majorBidi" w:cstheme="majorBidi"/>
                <w:color w:val="000000" w:themeColor="text1"/>
                <w:highlight w:val="none"/>
                <w14:textFill>
                  <w14:solidFill>
                    <w14:schemeClr w14:val="tx1"/>
                  </w14:solidFill>
                </w14:textFill>
              </w:rPr>
              <w:t>由上表7-</w:t>
            </w:r>
            <w:r>
              <w:rPr>
                <w:rFonts w:hint="eastAsia" w:asciiTheme="majorBidi" w:hAnsiTheme="majorBidi" w:cstheme="majorBidi"/>
                <w:color w:val="000000" w:themeColor="text1"/>
                <w:highlight w:val="none"/>
                <w14:textFill>
                  <w14:solidFill>
                    <w14:schemeClr w14:val="tx1"/>
                  </w14:solidFill>
                </w14:textFill>
              </w:rPr>
              <w:t>4</w:t>
            </w:r>
            <w:r>
              <w:rPr>
                <w:rFonts w:asciiTheme="majorBidi" w:hAnsiTheme="majorBidi" w:cstheme="majorBidi"/>
                <w:color w:val="000000" w:themeColor="text1"/>
                <w:highlight w:val="none"/>
                <w14:textFill>
                  <w14:solidFill>
                    <w14:schemeClr w14:val="tx1"/>
                  </w14:solidFill>
                </w14:textFill>
              </w:rPr>
              <w:t>可知，无组织废气排放的非甲烷总烃周界外最高浓度为</w:t>
            </w:r>
            <w:r>
              <w:rPr>
                <w:rFonts w:hint="eastAsia" w:asciiTheme="majorBidi" w:hAnsiTheme="majorBidi" w:cstheme="majorBidi"/>
                <w:color w:val="000000" w:themeColor="text1"/>
                <w:highlight w:val="none"/>
                <w:lang w:val="en-US" w:eastAsia="zh-CN"/>
                <w14:textFill>
                  <w14:solidFill>
                    <w14:schemeClr w14:val="tx1"/>
                  </w14:solidFill>
                </w14:textFill>
              </w:rPr>
              <w:t>0.41</w:t>
            </w:r>
            <w:r>
              <w:rPr>
                <w:rFonts w:asciiTheme="majorBidi" w:hAnsiTheme="majorBidi" w:cstheme="majorBidi"/>
                <w:color w:val="000000" w:themeColor="text1"/>
                <w:highlight w:val="none"/>
                <w14:textFill>
                  <w14:solidFill>
                    <w14:schemeClr w14:val="tx1"/>
                  </w14:solidFill>
                </w14:textFill>
              </w:rPr>
              <w:t>mg/m</w:t>
            </w:r>
            <w:r>
              <w:rPr>
                <w:rFonts w:asciiTheme="majorBidi" w:hAnsiTheme="majorBidi" w:cstheme="majorBidi"/>
                <w:color w:val="000000" w:themeColor="text1"/>
                <w:highlight w:val="none"/>
                <w:vertAlign w:val="superscript"/>
                <w14:textFill>
                  <w14:solidFill>
                    <w14:schemeClr w14:val="tx1"/>
                  </w14:solidFill>
                </w14:textFill>
              </w:rPr>
              <w:t>3</w:t>
            </w:r>
            <w:r>
              <w:rPr>
                <w:rFonts w:asciiTheme="majorBidi" w:hAnsiTheme="majorBidi" w:cstheme="majorBidi"/>
                <w:color w:val="000000" w:themeColor="text1"/>
                <w:highlight w:val="none"/>
                <w14:textFill>
                  <w14:solidFill>
                    <w14:schemeClr w14:val="tx1"/>
                  </w14:solidFill>
                </w14:textFill>
              </w:rPr>
              <w:t>，满足</w:t>
            </w:r>
            <w:r>
              <w:rPr>
                <w:rFonts w:asciiTheme="majorBidi" w:hAnsiTheme="majorBidi" w:cstheme="majorBidi"/>
                <w:bCs/>
                <w:color w:val="000000" w:themeColor="text1"/>
                <w:highlight w:val="none"/>
                <w14:textFill>
                  <w14:solidFill>
                    <w14:schemeClr w14:val="tx1"/>
                  </w14:solidFill>
                </w14:textFill>
              </w:rPr>
              <w:t>《大气污染物综合排放标准》（GB16297-1996）表2无组织排放监控浓度限值</w:t>
            </w:r>
            <w:r>
              <w:rPr>
                <w:rFonts w:hint="eastAsia" w:asciiTheme="majorBidi" w:hAnsiTheme="majorBidi" w:cstheme="majorBidi"/>
                <w:color w:val="000000" w:themeColor="text1"/>
                <w:highlight w:val="none"/>
                <w14:textFill>
                  <w14:solidFill>
                    <w14:schemeClr w14:val="tx1"/>
                  </w14:solidFill>
                </w14:textFill>
              </w:rPr>
              <w:t>。</w:t>
            </w:r>
          </w:p>
          <w:p>
            <w:pPr>
              <w:spacing w:line="360" w:lineRule="auto"/>
              <w:ind w:firstLine="482" w:firstLineChars="200"/>
              <w:rPr>
                <w:b/>
                <w:bCs/>
                <w:sz w:val="24"/>
                <w:highlight w:val="none"/>
              </w:rPr>
            </w:pPr>
            <w:bookmarkStart w:id="30" w:name="_Toc26227"/>
            <w:bookmarkStart w:id="31" w:name="_Toc36108376"/>
            <w:bookmarkStart w:id="32" w:name="_Toc36122335"/>
            <w:r>
              <w:rPr>
                <w:rFonts w:hint="eastAsia"/>
                <w:b/>
                <w:bCs/>
                <w:sz w:val="24"/>
                <w:highlight w:val="none"/>
              </w:rPr>
              <w:t>3、厂界噪声</w:t>
            </w:r>
            <w:bookmarkEnd w:id="30"/>
            <w:r>
              <w:rPr>
                <w:rFonts w:hint="eastAsia"/>
                <w:b/>
                <w:bCs/>
                <w:sz w:val="24"/>
                <w:highlight w:val="none"/>
              </w:rPr>
              <w:t>监测结果见下表</w:t>
            </w:r>
            <w:bookmarkEnd w:id="31"/>
            <w:bookmarkEnd w:id="32"/>
          </w:p>
          <w:p>
            <w:pPr>
              <w:spacing w:line="360" w:lineRule="auto"/>
              <w:ind w:firstLine="310" w:firstLineChars="147"/>
              <w:jc w:val="center"/>
              <w:rPr>
                <w:b/>
                <w:bCs/>
                <w:szCs w:val="21"/>
                <w:highlight w:val="none"/>
              </w:rPr>
            </w:pPr>
            <w:r>
              <w:rPr>
                <w:rFonts w:hint="eastAsia"/>
                <w:b/>
                <w:bCs/>
                <w:szCs w:val="21"/>
                <w:highlight w:val="none"/>
              </w:rPr>
              <w:t>表7-5 工业企业厂界噪声监测结果</w:t>
            </w:r>
          </w:p>
          <w:tbl>
            <w:tblPr>
              <w:tblStyle w:val="24"/>
              <w:tblW w:w="853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9"/>
              <w:gridCol w:w="1672"/>
              <w:gridCol w:w="918"/>
              <w:gridCol w:w="1507"/>
              <w:gridCol w:w="1606"/>
              <w:gridCol w:w="14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restart"/>
                  <w:vAlign w:val="center"/>
                </w:tcPr>
                <w:p>
                  <w:pPr>
                    <w:spacing w:line="0" w:lineRule="atLeast"/>
                    <w:jc w:val="center"/>
                    <w:rPr>
                      <w:rFonts w:hAnsi="宋体"/>
                      <w:b/>
                      <w:bCs/>
                      <w:szCs w:val="21"/>
                      <w:highlight w:val="none"/>
                    </w:rPr>
                  </w:pPr>
                  <w:r>
                    <w:rPr>
                      <w:rFonts w:hint="eastAsia" w:hAnsi="宋体"/>
                      <w:b/>
                      <w:bCs/>
                      <w:szCs w:val="21"/>
                      <w:highlight w:val="none"/>
                    </w:rPr>
                    <w:t>监测时间</w:t>
                  </w:r>
                </w:p>
              </w:tc>
              <w:tc>
                <w:tcPr>
                  <w:tcW w:w="1672" w:type="dxa"/>
                  <w:vMerge w:val="restart"/>
                  <w:vAlign w:val="center"/>
                </w:tcPr>
                <w:p>
                  <w:pPr>
                    <w:spacing w:line="0" w:lineRule="atLeast"/>
                    <w:jc w:val="center"/>
                    <w:rPr>
                      <w:b/>
                      <w:bCs/>
                      <w:szCs w:val="21"/>
                      <w:highlight w:val="none"/>
                    </w:rPr>
                  </w:pPr>
                  <w:r>
                    <w:rPr>
                      <w:rFonts w:hint="eastAsia" w:hAnsi="宋体"/>
                      <w:b/>
                      <w:bCs/>
                      <w:szCs w:val="21"/>
                      <w:highlight w:val="none"/>
                    </w:rPr>
                    <w:t>监</w:t>
                  </w:r>
                  <w:r>
                    <w:rPr>
                      <w:rFonts w:hAnsi="宋体"/>
                      <w:b/>
                      <w:bCs/>
                      <w:szCs w:val="21"/>
                      <w:highlight w:val="none"/>
                    </w:rPr>
                    <w:t>测点位</w:t>
                  </w:r>
                </w:p>
              </w:tc>
              <w:tc>
                <w:tcPr>
                  <w:tcW w:w="918" w:type="dxa"/>
                  <w:vMerge w:val="restart"/>
                  <w:vAlign w:val="center"/>
                </w:tcPr>
                <w:p>
                  <w:pPr>
                    <w:spacing w:line="0" w:lineRule="atLeast"/>
                    <w:jc w:val="center"/>
                    <w:rPr>
                      <w:rFonts w:hAnsi="宋体"/>
                      <w:b/>
                      <w:bCs/>
                      <w:szCs w:val="21"/>
                      <w:highlight w:val="none"/>
                    </w:rPr>
                  </w:pPr>
                  <w:r>
                    <w:rPr>
                      <w:rFonts w:hAnsi="宋体"/>
                      <w:b/>
                      <w:bCs/>
                      <w:szCs w:val="21"/>
                      <w:highlight w:val="none"/>
                    </w:rPr>
                    <w:t>主要</w:t>
                  </w:r>
                </w:p>
                <w:p>
                  <w:pPr>
                    <w:spacing w:line="0" w:lineRule="atLeast"/>
                    <w:jc w:val="center"/>
                    <w:rPr>
                      <w:b/>
                      <w:bCs/>
                      <w:szCs w:val="21"/>
                      <w:highlight w:val="none"/>
                    </w:rPr>
                  </w:pPr>
                  <w:r>
                    <w:rPr>
                      <w:rFonts w:hAnsi="宋体"/>
                      <w:b/>
                      <w:bCs/>
                      <w:szCs w:val="21"/>
                      <w:highlight w:val="none"/>
                    </w:rPr>
                    <w:t>声源</w:t>
                  </w:r>
                </w:p>
              </w:tc>
              <w:tc>
                <w:tcPr>
                  <w:tcW w:w="3113" w:type="dxa"/>
                  <w:gridSpan w:val="2"/>
                  <w:vAlign w:val="center"/>
                </w:tcPr>
                <w:p>
                  <w:pPr>
                    <w:tabs>
                      <w:tab w:val="right" w:pos="8906"/>
                    </w:tabs>
                    <w:jc w:val="center"/>
                    <w:rPr>
                      <w:b/>
                      <w:bCs/>
                      <w:szCs w:val="21"/>
                      <w:highlight w:val="none"/>
                    </w:rPr>
                  </w:pPr>
                  <w:r>
                    <w:rPr>
                      <w:rFonts w:hint="eastAsia"/>
                      <w:b/>
                      <w:bCs/>
                      <w:szCs w:val="21"/>
                      <w:highlight w:val="none"/>
                    </w:rPr>
                    <w:t>检测结果Leq：dB(A)</w:t>
                  </w:r>
                </w:p>
              </w:tc>
              <w:tc>
                <w:tcPr>
                  <w:tcW w:w="1482" w:type="dxa"/>
                  <w:vMerge w:val="restart"/>
                  <w:vAlign w:val="center"/>
                </w:tcPr>
                <w:p>
                  <w:pPr>
                    <w:tabs>
                      <w:tab w:val="right" w:pos="8906"/>
                    </w:tabs>
                    <w:jc w:val="center"/>
                    <w:rPr>
                      <w:b/>
                      <w:bCs/>
                      <w:szCs w:val="21"/>
                      <w:highlight w:val="none"/>
                    </w:rPr>
                  </w:pPr>
                  <w:r>
                    <w:rPr>
                      <w:rFonts w:hint="eastAsia"/>
                      <w:b/>
                      <w:bCs/>
                      <w:szCs w:val="21"/>
                      <w:highlight w:val="none"/>
                    </w:rPr>
                    <w:t>标准限值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pacing w:line="0" w:lineRule="atLeast"/>
                    <w:jc w:val="center"/>
                    <w:rPr>
                      <w:b/>
                      <w:bCs/>
                      <w:szCs w:val="21"/>
                      <w:highlight w:val="none"/>
                    </w:rPr>
                  </w:pPr>
                </w:p>
              </w:tc>
              <w:tc>
                <w:tcPr>
                  <w:tcW w:w="1672" w:type="dxa"/>
                  <w:vMerge w:val="continue"/>
                  <w:vAlign w:val="center"/>
                </w:tcPr>
                <w:p>
                  <w:pPr>
                    <w:spacing w:line="0" w:lineRule="atLeast"/>
                    <w:jc w:val="center"/>
                    <w:rPr>
                      <w:b/>
                      <w:bCs/>
                      <w:szCs w:val="21"/>
                      <w:highlight w:val="none"/>
                    </w:rPr>
                  </w:pPr>
                </w:p>
              </w:tc>
              <w:tc>
                <w:tcPr>
                  <w:tcW w:w="918" w:type="dxa"/>
                  <w:vMerge w:val="continue"/>
                  <w:vAlign w:val="center"/>
                </w:tcPr>
                <w:p>
                  <w:pPr>
                    <w:spacing w:line="0" w:lineRule="atLeast"/>
                    <w:jc w:val="center"/>
                    <w:rPr>
                      <w:b/>
                      <w:bCs/>
                      <w:szCs w:val="21"/>
                      <w:highlight w:val="none"/>
                    </w:rPr>
                  </w:pPr>
                </w:p>
              </w:tc>
              <w:tc>
                <w:tcPr>
                  <w:tcW w:w="1507" w:type="dxa"/>
                  <w:vAlign w:val="center"/>
                </w:tcPr>
                <w:p>
                  <w:pPr>
                    <w:spacing w:line="0" w:lineRule="atLeast"/>
                    <w:jc w:val="center"/>
                    <w:rPr>
                      <w:rFonts w:hAnsi="宋体"/>
                      <w:b/>
                      <w:bCs/>
                      <w:szCs w:val="21"/>
                      <w:highlight w:val="none"/>
                    </w:rPr>
                  </w:pPr>
                  <w:r>
                    <w:rPr>
                      <w:rFonts w:hint="eastAsia" w:hAnsi="宋体"/>
                      <w:b/>
                      <w:bCs/>
                      <w:szCs w:val="21"/>
                      <w:highlight w:val="none"/>
                    </w:rPr>
                    <w:t>检测时段</w:t>
                  </w:r>
                </w:p>
              </w:tc>
              <w:tc>
                <w:tcPr>
                  <w:tcW w:w="1606" w:type="dxa"/>
                  <w:vAlign w:val="center"/>
                </w:tcPr>
                <w:p>
                  <w:pPr>
                    <w:spacing w:line="0" w:lineRule="atLeast"/>
                    <w:jc w:val="center"/>
                    <w:rPr>
                      <w:rFonts w:hAnsi="宋体"/>
                      <w:b/>
                      <w:bCs/>
                      <w:szCs w:val="21"/>
                      <w:highlight w:val="none"/>
                    </w:rPr>
                  </w:pPr>
                  <w:r>
                    <w:rPr>
                      <w:rFonts w:hint="eastAsia" w:hAnsi="宋体"/>
                      <w:b/>
                      <w:bCs/>
                      <w:szCs w:val="21"/>
                      <w:highlight w:val="none"/>
                    </w:rPr>
                    <w:t>排放值</w:t>
                  </w:r>
                </w:p>
              </w:tc>
              <w:tc>
                <w:tcPr>
                  <w:tcW w:w="1482" w:type="dxa"/>
                  <w:vMerge w:val="continue"/>
                  <w:vAlign w:val="center"/>
                </w:tcPr>
                <w:p>
                  <w:pPr>
                    <w:spacing w:line="0" w:lineRule="atLeast"/>
                    <w:jc w:val="center"/>
                    <w:rPr>
                      <w:rFonts w:hAnsi="宋体"/>
                      <w:b/>
                      <w:bCs/>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restart"/>
                  <w:vAlign w:val="center"/>
                </w:tcPr>
                <w:p>
                  <w:pPr>
                    <w:snapToGrid w:val="0"/>
                    <w:jc w:val="center"/>
                    <w:rPr>
                      <w:rFonts w:hint="default" w:eastAsia="宋体"/>
                      <w:color w:val="000000" w:themeColor="text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2021.01.06</w:t>
                  </w:r>
                </w:p>
              </w:tc>
              <w:tc>
                <w:tcPr>
                  <w:tcW w:w="1672" w:type="dxa"/>
                  <w:vMerge w:val="restart"/>
                  <w:vAlign w:val="center"/>
                </w:tcPr>
                <w:p>
                  <w:pPr>
                    <w:snapToGrid w:val="0"/>
                    <w:jc w:val="center"/>
                    <w:rPr>
                      <w:szCs w:val="21"/>
                      <w:highlight w:val="none"/>
                    </w:rPr>
                  </w:pPr>
                  <w:r>
                    <w:rPr>
                      <w:rFonts w:hint="eastAsia"/>
                      <w:szCs w:val="21"/>
                      <w:highlight w:val="none"/>
                    </w:rPr>
                    <w:t>厂界东外1米处▲1#</w:t>
                  </w:r>
                </w:p>
              </w:tc>
              <w:tc>
                <w:tcPr>
                  <w:tcW w:w="918" w:type="dxa"/>
                  <w:vMerge w:val="restart"/>
                  <w:vAlign w:val="center"/>
                </w:tcPr>
                <w:p>
                  <w:pPr>
                    <w:jc w:val="center"/>
                    <w:rPr>
                      <w:szCs w:val="21"/>
                      <w:highlight w:val="none"/>
                    </w:rPr>
                  </w:pPr>
                  <w:r>
                    <w:rPr>
                      <w:rFonts w:hint="eastAsia"/>
                      <w:szCs w:val="21"/>
                      <w:highlight w:val="none"/>
                    </w:rPr>
                    <w:t>无明显声源</w:t>
                  </w:r>
                </w:p>
              </w:tc>
              <w:tc>
                <w:tcPr>
                  <w:tcW w:w="1507" w:type="dxa"/>
                  <w:vAlign w:val="center"/>
                </w:tcPr>
                <w:p>
                  <w:pPr>
                    <w:spacing w:line="0" w:lineRule="atLeast"/>
                    <w:jc w:val="center"/>
                    <w:rPr>
                      <w:szCs w:val="21"/>
                      <w:highlight w:val="none"/>
                    </w:rPr>
                  </w:pPr>
                  <w:r>
                    <w:rPr>
                      <w:rFonts w:hint="eastAsia"/>
                      <w:szCs w:val="21"/>
                      <w:highlight w:val="none"/>
                    </w:rPr>
                    <w:t>昼间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56.9</w:t>
                  </w:r>
                </w:p>
              </w:tc>
              <w:tc>
                <w:tcPr>
                  <w:tcW w:w="1482"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color w:val="000000" w:themeColor="text1"/>
                      <w:szCs w:val="21"/>
                      <w:highlight w:val="none"/>
                      <w14:textFill>
                        <w14:solidFill>
                          <w14:schemeClr w14:val="tx1"/>
                        </w14:solidFill>
                      </w14:textFill>
                    </w:rPr>
                  </w:pPr>
                </w:p>
              </w:tc>
              <w:tc>
                <w:tcPr>
                  <w:tcW w:w="1672" w:type="dxa"/>
                  <w:vMerge w:val="continue"/>
                  <w:vAlign w:val="center"/>
                </w:tcPr>
                <w:p>
                  <w:pPr>
                    <w:snapToGrid w:val="0"/>
                    <w:jc w:val="center"/>
                    <w:rPr>
                      <w:szCs w:val="21"/>
                      <w:highlight w:val="none"/>
                    </w:rPr>
                  </w:pP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夜间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46.6</w:t>
                  </w:r>
                </w:p>
              </w:tc>
              <w:tc>
                <w:tcPr>
                  <w:tcW w:w="1482" w:type="dxa"/>
                  <w:vAlign w:val="center"/>
                </w:tcPr>
                <w:p>
                  <w:pPr>
                    <w:spacing w:line="0" w:lineRule="atLeast"/>
                    <w:jc w:val="center"/>
                    <w:rPr>
                      <w:rFonts w:hint="eastAsia" w:eastAsia="宋体"/>
                      <w:szCs w:val="21"/>
                      <w:highlight w:val="none"/>
                      <w:lang w:eastAsia="zh-CN"/>
                    </w:rPr>
                  </w:pPr>
                  <w:r>
                    <w:rPr>
                      <w:rFonts w:hint="eastAsia"/>
                      <w:szCs w:val="21"/>
                      <w:highlight w:val="none"/>
                    </w:rPr>
                    <w:t>5</w:t>
                  </w:r>
                  <w:r>
                    <w:rPr>
                      <w:rFonts w:hint="eastAsia"/>
                      <w:szCs w:val="21"/>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color w:val="000000" w:themeColor="text1"/>
                      <w:szCs w:val="21"/>
                      <w:highlight w:val="none"/>
                      <w14:textFill>
                        <w14:solidFill>
                          <w14:schemeClr w14:val="tx1"/>
                        </w14:solidFill>
                      </w14:textFill>
                    </w:rPr>
                  </w:pPr>
                </w:p>
              </w:tc>
              <w:tc>
                <w:tcPr>
                  <w:tcW w:w="1672" w:type="dxa"/>
                  <w:vMerge w:val="restart"/>
                  <w:vAlign w:val="center"/>
                </w:tcPr>
                <w:p>
                  <w:pPr>
                    <w:snapToGrid w:val="0"/>
                    <w:jc w:val="center"/>
                    <w:rPr>
                      <w:szCs w:val="21"/>
                      <w:highlight w:val="none"/>
                    </w:rPr>
                  </w:pPr>
                  <w:r>
                    <w:rPr>
                      <w:rFonts w:hint="eastAsia"/>
                      <w:szCs w:val="21"/>
                      <w:highlight w:val="none"/>
                    </w:rPr>
                    <w:t>厂界南外1米处▲2#</w:t>
                  </w: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昼间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54.3</w:t>
                  </w:r>
                </w:p>
              </w:tc>
              <w:tc>
                <w:tcPr>
                  <w:tcW w:w="1482" w:type="dxa"/>
                  <w:vAlign w:val="center"/>
                </w:tcPr>
                <w:p>
                  <w:pPr>
                    <w:spacing w:line="0" w:lineRule="atLeast"/>
                    <w:jc w:val="center"/>
                    <w:rPr>
                      <w:szCs w:val="21"/>
                      <w:highlight w:val="none"/>
                    </w:rPr>
                  </w:pPr>
                  <w:r>
                    <w:rPr>
                      <w:rFonts w:hint="eastAsia"/>
                      <w:szCs w:val="21"/>
                      <w:highlight w:val="none"/>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color w:val="000000" w:themeColor="text1"/>
                      <w:szCs w:val="21"/>
                      <w:highlight w:val="none"/>
                      <w14:textFill>
                        <w14:solidFill>
                          <w14:schemeClr w14:val="tx1"/>
                        </w14:solidFill>
                      </w14:textFill>
                    </w:rPr>
                  </w:pPr>
                </w:p>
              </w:tc>
              <w:tc>
                <w:tcPr>
                  <w:tcW w:w="1672" w:type="dxa"/>
                  <w:vMerge w:val="continue"/>
                  <w:vAlign w:val="center"/>
                </w:tcPr>
                <w:p>
                  <w:pPr>
                    <w:snapToGrid w:val="0"/>
                    <w:jc w:val="center"/>
                    <w:rPr>
                      <w:szCs w:val="21"/>
                      <w:highlight w:val="none"/>
                    </w:rPr>
                  </w:pP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夜间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47.2</w:t>
                  </w:r>
                </w:p>
              </w:tc>
              <w:tc>
                <w:tcPr>
                  <w:tcW w:w="1482" w:type="dxa"/>
                  <w:vAlign w:val="center"/>
                </w:tcPr>
                <w:p>
                  <w:pPr>
                    <w:spacing w:line="0" w:lineRule="atLeast"/>
                    <w:jc w:val="center"/>
                    <w:rPr>
                      <w:szCs w:val="21"/>
                      <w:highlight w:val="none"/>
                    </w:rPr>
                  </w:pPr>
                  <w:r>
                    <w:rPr>
                      <w:rFonts w:hint="eastAsia"/>
                      <w:szCs w:val="21"/>
                      <w:highlight w:val="none"/>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color w:val="000000" w:themeColor="text1"/>
                      <w:szCs w:val="21"/>
                      <w:highlight w:val="none"/>
                      <w14:textFill>
                        <w14:solidFill>
                          <w14:schemeClr w14:val="tx1"/>
                        </w14:solidFill>
                      </w14:textFill>
                    </w:rPr>
                  </w:pPr>
                </w:p>
              </w:tc>
              <w:tc>
                <w:tcPr>
                  <w:tcW w:w="1672" w:type="dxa"/>
                  <w:vMerge w:val="restart"/>
                  <w:vAlign w:val="center"/>
                </w:tcPr>
                <w:p>
                  <w:pPr>
                    <w:snapToGrid w:val="0"/>
                    <w:jc w:val="center"/>
                    <w:rPr>
                      <w:szCs w:val="21"/>
                      <w:highlight w:val="none"/>
                    </w:rPr>
                  </w:pPr>
                  <w:r>
                    <w:rPr>
                      <w:rFonts w:hint="eastAsia"/>
                      <w:szCs w:val="21"/>
                      <w:highlight w:val="none"/>
                    </w:rPr>
                    <w:t>厂界西外1米处▲3#</w:t>
                  </w: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昼间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56.5</w:t>
                  </w:r>
                </w:p>
              </w:tc>
              <w:tc>
                <w:tcPr>
                  <w:tcW w:w="1482"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color w:val="000000" w:themeColor="text1"/>
                      <w:szCs w:val="21"/>
                      <w:highlight w:val="none"/>
                      <w14:textFill>
                        <w14:solidFill>
                          <w14:schemeClr w14:val="tx1"/>
                        </w14:solidFill>
                      </w14:textFill>
                    </w:rPr>
                  </w:pPr>
                </w:p>
              </w:tc>
              <w:tc>
                <w:tcPr>
                  <w:tcW w:w="1672" w:type="dxa"/>
                  <w:vMerge w:val="continue"/>
                  <w:vAlign w:val="center"/>
                </w:tcPr>
                <w:p>
                  <w:pPr>
                    <w:snapToGrid w:val="0"/>
                    <w:jc w:val="center"/>
                    <w:rPr>
                      <w:szCs w:val="21"/>
                      <w:highlight w:val="none"/>
                    </w:rPr>
                  </w:pP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夜间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43.5</w:t>
                  </w:r>
                </w:p>
              </w:tc>
              <w:tc>
                <w:tcPr>
                  <w:tcW w:w="1482" w:type="dxa"/>
                  <w:vAlign w:val="center"/>
                </w:tcPr>
                <w:p>
                  <w:pPr>
                    <w:spacing w:line="0" w:lineRule="atLeast"/>
                    <w:jc w:val="center"/>
                    <w:rPr>
                      <w:rFonts w:hint="eastAsia" w:eastAsia="宋体"/>
                      <w:szCs w:val="21"/>
                      <w:highlight w:val="none"/>
                      <w:lang w:eastAsia="zh-CN"/>
                    </w:rPr>
                  </w:pPr>
                  <w:r>
                    <w:rPr>
                      <w:rFonts w:hint="eastAsia"/>
                      <w:szCs w:val="21"/>
                      <w:highlight w:val="none"/>
                    </w:rPr>
                    <w:t>5</w:t>
                  </w:r>
                  <w:r>
                    <w:rPr>
                      <w:rFonts w:hint="eastAsia"/>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color w:val="000000" w:themeColor="text1"/>
                      <w:szCs w:val="21"/>
                      <w:highlight w:val="none"/>
                      <w14:textFill>
                        <w14:solidFill>
                          <w14:schemeClr w14:val="tx1"/>
                        </w14:solidFill>
                      </w14:textFill>
                    </w:rPr>
                  </w:pPr>
                </w:p>
              </w:tc>
              <w:tc>
                <w:tcPr>
                  <w:tcW w:w="1672" w:type="dxa"/>
                  <w:vMerge w:val="restart"/>
                  <w:vAlign w:val="center"/>
                </w:tcPr>
                <w:p>
                  <w:pPr>
                    <w:snapToGrid w:val="0"/>
                    <w:jc w:val="center"/>
                    <w:rPr>
                      <w:szCs w:val="21"/>
                      <w:highlight w:val="none"/>
                    </w:rPr>
                  </w:pPr>
                  <w:r>
                    <w:rPr>
                      <w:rFonts w:hint="eastAsia"/>
                      <w:szCs w:val="21"/>
                      <w:highlight w:val="none"/>
                    </w:rPr>
                    <w:t>厂界北外1米处▲4#</w:t>
                  </w: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昼间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53.2</w:t>
                  </w:r>
                </w:p>
              </w:tc>
              <w:tc>
                <w:tcPr>
                  <w:tcW w:w="1482" w:type="dxa"/>
                  <w:vAlign w:val="center"/>
                </w:tcPr>
                <w:p>
                  <w:pPr>
                    <w:spacing w:line="0" w:lineRule="atLeast"/>
                    <w:jc w:val="center"/>
                    <w:rPr>
                      <w:szCs w:val="21"/>
                      <w:highlight w:val="none"/>
                    </w:rPr>
                  </w:pPr>
                  <w:r>
                    <w:rPr>
                      <w:rFonts w:hint="eastAsia"/>
                      <w:szCs w:val="21"/>
                      <w:highlight w:val="none"/>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color w:val="000000" w:themeColor="text1"/>
                      <w:szCs w:val="21"/>
                      <w:highlight w:val="none"/>
                      <w14:textFill>
                        <w14:solidFill>
                          <w14:schemeClr w14:val="tx1"/>
                        </w14:solidFill>
                      </w14:textFill>
                    </w:rPr>
                  </w:pPr>
                </w:p>
              </w:tc>
              <w:tc>
                <w:tcPr>
                  <w:tcW w:w="1672" w:type="dxa"/>
                  <w:vMerge w:val="continue"/>
                  <w:vAlign w:val="center"/>
                </w:tcPr>
                <w:p>
                  <w:pPr>
                    <w:snapToGrid w:val="0"/>
                    <w:jc w:val="center"/>
                    <w:rPr>
                      <w:szCs w:val="21"/>
                      <w:highlight w:val="none"/>
                    </w:rPr>
                  </w:pP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夜间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44.4</w:t>
                  </w:r>
                </w:p>
              </w:tc>
              <w:tc>
                <w:tcPr>
                  <w:tcW w:w="1482" w:type="dxa"/>
                  <w:vAlign w:val="center"/>
                </w:tcPr>
                <w:p>
                  <w:pPr>
                    <w:spacing w:line="0" w:lineRule="atLeast"/>
                    <w:jc w:val="center"/>
                    <w:rPr>
                      <w:szCs w:val="21"/>
                      <w:highlight w:val="none"/>
                    </w:rPr>
                  </w:pPr>
                  <w:r>
                    <w:rPr>
                      <w:rFonts w:hint="eastAsia"/>
                      <w:szCs w:val="21"/>
                      <w:highlight w:val="none"/>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restart"/>
                  <w:vAlign w:val="center"/>
                </w:tcPr>
                <w:p>
                  <w:pPr>
                    <w:snapToGrid w:val="0"/>
                    <w:jc w:val="center"/>
                    <w:rPr>
                      <w:rFonts w:hint="default" w:eastAsia="宋体"/>
                      <w:color w:val="000000" w:themeColor="text1"/>
                      <w:highlight w:val="none"/>
                      <w:lang w:val="en-US" w:eastAsia="zh-CN"/>
                      <w14:textFill>
                        <w14:solidFill>
                          <w14:schemeClr w14:val="tx1"/>
                        </w14:solidFill>
                      </w14:textFill>
                    </w:rPr>
                  </w:pPr>
                  <w:r>
                    <w:rPr>
                      <w:color w:val="000000" w:themeColor="text1"/>
                      <w:szCs w:val="21"/>
                      <w:highlight w:val="none"/>
                      <w14:textFill>
                        <w14:solidFill>
                          <w14:schemeClr w14:val="tx1"/>
                        </w14:solidFill>
                      </w14:textFill>
                    </w:rPr>
                    <w:t>202</w:t>
                  </w:r>
                  <w:r>
                    <w:rPr>
                      <w:rFonts w:hint="eastAsia"/>
                      <w:color w:val="000000" w:themeColor="text1"/>
                      <w:szCs w:val="21"/>
                      <w:highlight w:val="none"/>
                      <w:lang w:val="en-US" w:eastAsia="zh-CN"/>
                      <w14:textFill>
                        <w14:solidFill>
                          <w14:schemeClr w14:val="tx1"/>
                        </w14:solidFill>
                      </w14:textFill>
                    </w:rPr>
                    <w:t>1.01.07</w:t>
                  </w:r>
                </w:p>
              </w:tc>
              <w:tc>
                <w:tcPr>
                  <w:tcW w:w="1672" w:type="dxa"/>
                  <w:vMerge w:val="restart"/>
                  <w:vAlign w:val="center"/>
                </w:tcPr>
                <w:p>
                  <w:pPr>
                    <w:snapToGrid w:val="0"/>
                    <w:jc w:val="center"/>
                    <w:rPr>
                      <w:szCs w:val="21"/>
                      <w:highlight w:val="none"/>
                    </w:rPr>
                  </w:pPr>
                  <w:r>
                    <w:rPr>
                      <w:rFonts w:hint="eastAsia"/>
                      <w:szCs w:val="21"/>
                      <w:highlight w:val="none"/>
                    </w:rPr>
                    <w:t>厂界东外1米处▲1#</w:t>
                  </w:r>
                </w:p>
              </w:tc>
              <w:tc>
                <w:tcPr>
                  <w:tcW w:w="918" w:type="dxa"/>
                  <w:vMerge w:val="restart"/>
                  <w:vAlign w:val="center"/>
                </w:tcPr>
                <w:p>
                  <w:pPr>
                    <w:jc w:val="center"/>
                    <w:rPr>
                      <w:szCs w:val="21"/>
                      <w:highlight w:val="none"/>
                    </w:rPr>
                  </w:pPr>
                  <w:r>
                    <w:rPr>
                      <w:rFonts w:hint="eastAsia"/>
                      <w:szCs w:val="21"/>
                      <w:highlight w:val="none"/>
                    </w:rPr>
                    <w:t>无明显声源</w:t>
                  </w:r>
                </w:p>
              </w:tc>
              <w:tc>
                <w:tcPr>
                  <w:tcW w:w="1507" w:type="dxa"/>
                  <w:vAlign w:val="center"/>
                </w:tcPr>
                <w:p>
                  <w:pPr>
                    <w:spacing w:line="0" w:lineRule="atLeast"/>
                    <w:jc w:val="center"/>
                    <w:rPr>
                      <w:szCs w:val="21"/>
                      <w:highlight w:val="none"/>
                    </w:rPr>
                  </w:pPr>
                  <w:r>
                    <w:rPr>
                      <w:rFonts w:hint="eastAsia"/>
                      <w:szCs w:val="21"/>
                      <w:highlight w:val="none"/>
                    </w:rPr>
                    <w:t>昼间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53.8</w:t>
                  </w:r>
                </w:p>
              </w:tc>
              <w:tc>
                <w:tcPr>
                  <w:tcW w:w="1482"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szCs w:val="21"/>
                      <w:highlight w:val="none"/>
                    </w:rPr>
                  </w:pPr>
                </w:p>
              </w:tc>
              <w:tc>
                <w:tcPr>
                  <w:tcW w:w="1672" w:type="dxa"/>
                  <w:vMerge w:val="continue"/>
                  <w:vAlign w:val="center"/>
                </w:tcPr>
                <w:p>
                  <w:pPr>
                    <w:snapToGrid w:val="0"/>
                    <w:jc w:val="center"/>
                    <w:rPr>
                      <w:szCs w:val="21"/>
                      <w:highlight w:val="none"/>
                    </w:rPr>
                  </w:pP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夜间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44.5</w:t>
                  </w:r>
                </w:p>
              </w:tc>
              <w:tc>
                <w:tcPr>
                  <w:tcW w:w="1482" w:type="dxa"/>
                  <w:vAlign w:val="center"/>
                </w:tcPr>
                <w:p>
                  <w:pPr>
                    <w:spacing w:line="0" w:lineRule="atLeast"/>
                    <w:jc w:val="center"/>
                    <w:rPr>
                      <w:rFonts w:hint="eastAsia" w:eastAsia="宋体"/>
                      <w:szCs w:val="21"/>
                      <w:highlight w:val="none"/>
                      <w:lang w:val="en-US" w:eastAsia="zh-CN"/>
                    </w:rPr>
                  </w:pPr>
                  <w:r>
                    <w:rPr>
                      <w:rFonts w:hint="eastAsia"/>
                      <w:szCs w:val="21"/>
                      <w:highlight w:val="none"/>
                    </w:rPr>
                    <w:t>5</w:t>
                  </w:r>
                  <w:r>
                    <w:rPr>
                      <w:rFonts w:hint="eastAsia"/>
                      <w:szCs w:val="21"/>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szCs w:val="21"/>
                      <w:highlight w:val="none"/>
                    </w:rPr>
                  </w:pPr>
                </w:p>
              </w:tc>
              <w:tc>
                <w:tcPr>
                  <w:tcW w:w="1672" w:type="dxa"/>
                  <w:vMerge w:val="restart"/>
                  <w:vAlign w:val="center"/>
                </w:tcPr>
                <w:p>
                  <w:pPr>
                    <w:snapToGrid w:val="0"/>
                    <w:jc w:val="center"/>
                    <w:rPr>
                      <w:szCs w:val="21"/>
                      <w:highlight w:val="none"/>
                    </w:rPr>
                  </w:pPr>
                  <w:r>
                    <w:rPr>
                      <w:rFonts w:hint="eastAsia"/>
                      <w:szCs w:val="21"/>
                      <w:highlight w:val="none"/>
                    </w:rPr>
                    <w:t>厂界南外1米处▲2#</w:t>
                  </w: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昼间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52.7</w:t>
                  </w:r>
                </w:p>
              </w:tc>
              <w:tc>
                <w:tcPr>
                  <w:tcW w:w="1482" w:type="dxa"/>
                  <w:vAlign w:val="center"/>
                </w:tcPr>
                <w:p>
                  <w:pPr>
                    <w:spacing w:line="0" w:lineRule="atLeast"/>
                    <w:jc w:val="center"/>
                    <w:rPr>
                      <w:szCs w:val="21"/>
                      <w:highlight w:val="none"/>
                    </w:rPr>
                  </w:pPr>
                  <w:r>
                    <w:rPr>
                      <w:rFonts w:hint="eastAsia"/>
                      <w:szCs w:val="21"/>
                      <w:highlight w:val="none"/>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szCs w:val="21"/>
                      <w:highlight w:val="none"/>
                    </w:rPr>
                  </w:pPr>
                </w:p>
              </w:tc>
              <w:tc>
                <w:tcPr>
                  <w:tcW w:w="1672" w:type="dxa"/>
                  <w:vMerge w:val="continue"/>
                  <w:vAlign w:val="center"/>
                </w:tcPr>
                <w:p>
                  <w:pPr>
                    <w:snapToGrid w:val="0"/>
                    <w:jc w:val="center"/>
                    <w:rPr>
                      <w:szCs w:val="21"/>
                      <w:highlight w:val="none"/>
                    </w:rPr>
                  </w:pP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夜间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43.2</w:t>
                  </w:r>
                </w:p>
              </w:tc>
              <w:tc>
                <w:tcPr>
                  <w:tcW w:w="1482" w:type="dxa"/>
                  <w:vAlign w:val="center"/>
                </w:tcPr>
                <w:p>
                  <w:pPr>
                    <w:spacing w:line="0" w:lineRule="atLeast"/>
                    <w:jc w:val="center"/>
                    <w:rPr>
                      <w:szCs w:val="21"/>
                      <w:highlight w:val="none"/>
                    </w:rPr>
                  </w:pPr>
                  <w:r>
                    <w:rPr>
                      <w:rFonts w:hint="eastAsia"/>
                      <w:szCs w:val="21"/>
                      <w:highlight w:val="none"/>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szCs w:val="21"/>
                      <w:highlight w:val="none"/>
                    </w:rPr>
                  </w:pPr>
                </w:p>
              </w:tc>
              <w:tc>
                <w:tcPr>
                  <w:tcW w:w="1672" w:type="dxa"/>
                  <w:vMerge w:val="restart"/>
                  <w:vAlign w:val="center"/>
                </w:tcPr>
                <w:p>
                  <w:pPr>
                    <w:snapToGrid w:val="0"/>
                    <w:jc w:val="center"/>
                    <w:rPr>
                      <w:szCs w:val="21"/>
                      <w:highlight w:val="none"/>
                    </w:rPr>
                  </w:pPr>
                  <w:r>
                    <w:rPr>
                      <w:rFonts w:hint="eastAsia"/>
                      <w:szCs w:val="21"/>
                      <w:highlight w:val="none"/>
                    </w:rPr>
                    <w:t>厂界西外1米处▲3#</w:t>
                  </w: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昼间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55.5</w:t>
                  </w:r>
                </w:p>
              </w:tc>
              <w:tc>
                <w:tcPr>
                  <w:tcW w:w="1482"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szCs w:val="21"/>
                      <w:highlight w:val="none"/>
                    </w:rPr>
                  </w:pPr>
                </w:p>
              </w:tc>
              <w:tc>
                <w:tcPr>
                  <w:tcW w:w="1672" w:type="dxa"/>
                  <w:vMerge w:val="continue"/>
                  <w:vAlign w:val="center"/>
                </w:tcPr>
                <w:p>
                  <w:pPr>
                    <w:snapToGrid w:val="0"/>
                    <w:jc w:val="center"/>
                    <w:rPr>
                      <w:szCs w:val="21"/>
                      <w:highlight w:val="none"/>
                    </w:rPr>
                  </w:pP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夜间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44.1</w:t>
                  </w:r>
                </w:p>
              </w:tc>
              <w:tc>
                <w:tcPr>
                  <w:tcW w:w="1482" w:type="dxa"/>
                  <w:vAlign w:val="center"/>
                </w:tcPr>
                <w:p>
                  <w:pPr>
                    <w:spacing w:line="0" w:lineRule="atLeast"/>
                    <w:jc w:val="center"/>
                    <w:rPr>
                      <w:rFonts w:hint="eastAsia" w:eastAsia="宋体"/>
                      <w:szCs w:val="21"/>
                      <w:highlight w:val="none"/>
                      <w:lang w:eastAsia="zh-CN"/>
                    </w:rPr>
                  </w:pPr>
                  <w:r>
                    <w:rPr>
                      <w:rFonts w:hint="eastAsia"/>
                      <w:szCs w:val="21"/>
                      <w:highlight w:val="none"/>
                    </w:rPr>
                    <w:t>5</w:t>
                  </w:r>
                  <w:r>
                    <w:rPr>
                      <w:rFonts w:hint="eastAsia"/>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szCs w:val="21"/>
                      <w:highlight w:val="none"/>
                    </w:rPr>
                  </w:pPr>
                </w:p>
              </w:tc>
              <w:tc>
                <w:tcPr>
                  <w:tcW w:w="1672" w:type="dxa"/>
                  <w:vMerge w:val="restart"/>
                  <w:vAlign w:val="center"/>
                </w:tcPr>
                <w:p>
                  <w:pPr>
                    <w:snapToGrid w:val="0"/>
                    <w:jc w:val="center"/>
                    <w:rPr>
                      <w:szCs w:val="21"/>
                      <w:highlight w:val="none"/>
                    </w:rPr>
                  </w:pPr>
                  <w:r>
                    <w:rPr>
                      <w:rFonts w:hint="eastAsia"/>
                      <w:szCs w:val="21"/>
                      <w:highlight w:val="none"/>
                    </w:rPr>
                    <w:t>厂界北外1米处▲4#</w:t>
                  </w: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昼间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54.4</w:t>
                  </w:r>
                </w:p>
              </w:tc>
              <w:tc>
                <w:tcPr>
                  <w:tcW w:w="1482" w:type="dxa"/>
                  <w:vAlign w:val="center"/>
                </w:tcPr>
                <w:p>
                  <w:pPr>
                    <w:spacing w:line="0" w:lineRule="atLeast"/>
                    <w:jc w:val="center"/>
                    <w:rPr>
                      <w:szCs w:val="21"/>
                      <w:highlight w:val="none"/>
                    </w:rPr>
                  </w:pPr>
                  <w:r>
                    <w:rPr>
                      <w:rFonts w:hint="eastAsia"/>
                      <w:szCs w:val="21"/>
                      <w:highlight w:val="none"/>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49" w:type="dxa"/>
                  <w:vMerge w:val="continue"/>
                  <w:vAlign w:val="center"/>
                </w:tcPr>
                <w:p>
                  <w:pPr>
                    <w:snapToGrid w:val="0"/>
                    <w:jc w:val="center"/>
                    <w:rPr>
                      <w:szCs w:val="21"/>
                      <w:highlight w:val="none"/>
                    </w:rPr>
                  </w:pPr>
                </w:p>
              </w:tc>
              <w:tc>
                <w:tcPr>
                  <w:tcW w:w="1672" w:type="dxa"/>
                  <w:vMerge w:val="continue"/>
                  <w:vAlign w:val="center"/>
                </w:tcPr>
                <w:p>
                  <w:pPr>
                    <w:snapToGrid w:val="0"/>
                    <w:jc w:val="center"/>
                    <w:rPr>
                      <w:highlight w:val="none"/>
                    </w:rPr>
                  </w:pPr>
                </w:p>
              </w:tc>
              <w:tc>
                <w:tcPr>
                  <w:tcW w:w="918" w:type="dxa"/>
                  <w:vMerge w:val="continue"/>
                  <w:vAlign w:val="center"/>
                </w:tcPr>
                <w:p>
                  <w:pPr>
                    <w:jc w:val="center"/>
                    <w:rPr>
                      <w:szCs w:val="21"/>
                      <w:highlight w:val="none"/>
                    </w:rPr>
                  </w:pPr>
                </w:p>
              </w:tc>
              <w:tc>
                <w:tcPr>
                  <w:tcW w:w="1507" w:type="dxa"/>
                  <w:vAlign w:val="center"/>
                </w:tcPr>
                <w:p>
                  <w:pPr>
                    <w:spacing w:line="0" w:lineRule="atLeast"/>
                    <w:jc w:val="center"/>
                    <w:rPr>
                      <w:szCs w:val="21"/>
                      <w:highlight w:val="none"/>
                    </w:rPr>
                  </w:pPr>
                  <w:r>
                    <w:rPr>
                      <w:rFonts w:hint="eastAsia"/>
                      <w:szCs w:val="21"/>
                      <w:highlight w:val="none"/>
                    </w:rPr>
                    <w:t>夜间</w:t>
                  </w:r>
                </w:p>
              </w:tc>
              <w:tc>
                <w:tcPr>
                  <w:tcW w:w="1606" w:type="dxa"/>
                  <w:vAlign w:val="center"/>
                </w:tcPr>
                <w:p>
                  <w:pPr>
                    <w:spacing w:line="0" w:lineRule="atLeast"/>
                    <w:jc w:val="center"/>
                    <w:rPr>
                      <w:rFonts w:hint="default" w:eastAsia="宋体"/>
                      <w:szCs w:val="21"/>
                      <w:highlight w:val="none"/>
                      <w:lang w:val="en-US" w:eastAsia="zh-CN"/>
                    </w:rPr>
                  </w:pPr>
                  <w:r>
                    <w:rPr>
                      <w:rFonts w:hint="eastAsia"/>
                      <w:szCs w:val="21"/>
                      <w:highlight w:val="none"/>
                      <w:lang w:val="en-US" w:eastAsia="zh-CN"/>
                    </w:rPr>
                    <w:t>43.6</w:t>
                  </w:r>
                </w:p>
              </w:tc>
              <w:tc>
                <w:tcPr>
                  <w:tcW w:w="1482" w:type="dxa"/>
                  <w:vAlign w:val="center"/>
                </w:tcPr>
                <w:p>
                  <w:pPr>
                    <w:spacing w:line="0" w:lineRule="atLeast"/>
                    <w:jc w:val="center"/>
                    <w:rPr>
                      <w:szCs w:val="21"/>
                      <w:highlight w:val="none"/>
                    </w:rPr>
                  </w:pPr>
                  <w:r>
                    <w:rPr>
                      <w:rFonts w:hint="eastAsia"/>
                      <w:szCs w:val="21"/>
                      <w:highlight w:val="none"/>
                    </w:rPr>
                    <w:t>50</w:t>
                  </w:r>
                </w:p>
              </w:tc>
            </w:tr>
          </w:tbl>
          <w:p>
            <w:pPr>
              <w:pStyle w:val="2"/>
              <w:spacing w:line="360" w:lineRule="auto"/>
              <w:ind w:left="0" w:leftChars="0"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监测期间，加油站厂界</w:t>
            </w:r>
            <w:r>
              <w:rPr>
                <w:rFonts w:hint="eastAsia"/>
                <w:color w:val="000000" w:themeColor="text1"/>
                <w:sz w:val="24"/>
                <w:highlight w:val="none"/>
                <w:lang w:eastAsia="zh-CN"/>
                <w14:textFill>
                  <w14:solidFill>
                    <w14:schemeClr w14:val="tx1"/>
                  </w14:solidFill>
                </w14:textFill>
              </w:rPr>
              <w:t>西</w:t>
            </w:r>
            <w:r>
              <w:rPr>
                <w:rFonts w:hint="eastAsia"/>
                <w:color w:val="000000" w:themeColor="text1"/>
                <w:sz w:val="24"/>
                <w:highlight w:val="none"/>
                <w14:textFill>
                  <w14:solidFill>
                    <w14:schemeClr w14:val="tx1"/>
                  </w14:solidFill>
                </w14:textFill>
              </w:rPr>
              <w:t>侧昼间等效声级</w:t>
            </w:r>
            <w:r>
              <w:rPr>
                <w:rFonts w:hint="eastAsia"/>
                <w:color w:val="000000" w:themeColor="text1"/>
                <w:sz w:val="24"/>
                <w:highlight w:val="none"/>
                <w:lang w:eastAsia="zh-CN"/>
                <w14:textFill>
                  <w14:solidFill>
                    <w14:schemeClr w14:val="tx1"/>
                  </w14:solidFill>
                </w14:textFill>
              </w:rPr>
              <w:t>范围</w:t>
            </w:r>
            <w:r>
              <w:rPr>
                <w:rFonts w:hint="eastAsia"/>
                <w:color w:val="000000" w:themeColor="text1"/>
                <w:sz w:val="24"/>
                <w:highlight w:val="none"/>
                <w14:textFill>
                  <w14:solidFill>
                    <w14:schemeClr w14:val="tx1"/>
                  </w14:solidFill>
                </w14:textFill>
              </w:rPr>
              <w:t>为</w:t>
            </w:r>
            <w:r>
              <w:rPr>
                <w:rFonts w:hint="eastAsia"/>
                <w:color w:val="000000" w:themeColor="text1"/>
                <w:sz w:val="24"/>
                <w:highlight w:val="none"/>
                <w:lang w:val="en-US" w:eastAsia="zh-CN"/>
                <w14:textFill>
                  <w14:solidFill>
                    <w14:schemeClr w14:val="tx1"/>
                  </w14:solidFill>
                </w14:textFill>
              </w:rPr>
              <w:t>55.5~56.5dB</w:t>
            </w:r>
            <w:r>
              <w:rPr>
                <w:rFonts w:hint="eastAsia"/>
                <w:color w:val="000000" w:themeColor="text1"/>
                <w:sz w:val="24"/>
                <w:highlight w:val="none"/>
                <w14:textFill>
                  <w14:solidFill>
                    <w14:schemeClr w14:val="tx1"/>
                  </w14:solidFill>
                </w14:textFill>
              </w:rPr>
              <w:t>，夜间</w:t>
            </w:r>
            <w:r>
              <w:rPr>
                <w:rFonts w:hint="eastAsia"/>
                <w:color w:val="000000" w:themeColor="text1"/>
                <w:sz w:val="24"/>
                <w:highlight w:val="none"/>
                <w:lang w:eastAsia="zh-CN"/>
                <w14:textFill>
                  <w14:solidFill>
                    <w14:schemeClr w14:val="tx1"/>
                  </w14:solidFill>
                </w14:textFill>
              </w:rPr>
              <w:t>范围</w:t>
            </w:r>
            <w:r>
              <w:rPr>
                <w:rFonts w:hint="eastAsia"/>
                <w:color w:val="000000" w:themeColor="text1"/>
                <w:sz w:val="24"/>
                <w:highlight w:val="none"/>
                <w14:textFill>
                  <w14:solidFill>
                    <w14:schemeClr w14:val="tx1"/>
                  </w14:solidFill>
                </w14:textFill>
              </w:rPr>
              <w:t>为</w:t>
            </w:r>
            <w:r>
              <w:rPr>
                <w:rFonts w:hint="eastAsia"/>
                <w:color w:val="000000" w:themeColor="text1"/>
                <w:sz w:val="24"/>
                <w:highlight w:val="none"/>
                <w:lang w:val="en-US" w:eastAsia="zh-CN"/>
                <w14:textFill>
                  <w14:solidFill>
                    <w14:schemeClr w14:val="tx1"/>
                  </w14:solidFill>
                </w14:textFill>
              </w:rPr>
              <w:t>43.5~44.1dB</w:t>
            </w:r>
            <w:r>
              <w:rPr>
                <w:rFonts w:hint="eastAsia"/>
                <w:color w:val="000000" w:themeColor="text1"/>
                <w:sz w:val="24"/>
                <w:highlight w:val="none"/>
                <w14:textFill>
                  <w14:solidFill>
                    <w14:schemeClr w14:val="tx1"/>
                  </w14:solidFill>
                </w14:textFill>
              </w:rPr>
              <w:t>，均</w:t>
            </w:r>
            <w:r>
              <w:rPr>
                <w:rFonts w:hint="eastAsia"/>
                <w:color w:val="000000" w:themeColor="text1"/>
                <w:sz w:val="24"/>
                <w:highlight w:val="none"/>
                <w:lang w:eastAsia="zh-CN"/>
                <w14:textFill>
                  <w14:solidFill>
                    <w14:schemeClr w14:val="tx1"/>
                  </w14:solidFill>
                </w14:textFill>
              </w:rPr>
              <w:t>达到</w:t>
            </w:r>
            <w:r>
              <w:rPr>
                <w:rFonts w:hint="eastAsia"/>
                <w:color w:val="000000" w:themeColor="text1"/>
                <w:sz w:val="24"/>
                <w:highlight w:val="none"/>
                <w14:textFill>
                  <w14:solidFill>
                    <w14:schemeClr w14:val="tx1"/>
                  </w14:solidFill>
                </w14:textFill>
              </w:rPr>
              <w:t>《工业企业厂界环境噪声排放标准》（GB12348-2008）4类区标准；加油站厂界</w:t>
            </w:r>
            <w:r>
              <w:rPr>
                <w:rFonts w:hint="eastAsia"/>
                <w:color w:val="000000" w:themeColor="text1"/>
                <w:sz w:val="24"/>
                <w:highlight w:val="none"/>
                <w:lang w:eastAsia="zh-CN"/>
                <w14:textFill>
                  <w14:solidFill>
                    <w14:schemeClr w14:val="tx1"/>
                  </w14:solidFill>
                </w14:textFill>
              </w:rPr>
              <w:t>东</w:t>
            </w:r>
            <w:r>
              <w:rPr>
                <w:rFonts w:hint="eastAsia"/>
                <w:color w:val="000000" w:themeColor="text1"/>
                <w:sz w:val="24"/>
                <w:highlight w:val="none"/>
                <w14:textFill>
                  <w14:solidFill>
                    <w14:schemeClr w14:val="tx1"/>
                  </w14:solidFill>
                </w14:textFill>
              </w:rPr>
              <w:t>、南、北侧昼间等效声级</w:t>
            </w:r>
            <w:r>
              <w:rPr>
                <w:rFonts w:hint="eastAsia"/>
                <w:color w:val="000000" w:themeColor="text1"/>
                <w:sz w:val="24"/>
                <w:highlight w:val="none"/>
                <w:lang w:eastAsia="zh-CN"/>
                <w14:textFill>
                  <w14:solidFill>
                    <w14:schemeClr w14:val="tx1"/>
                  </w14:solidFill>
                </w14:textFill>
              </w:rPr>
              <w:t>范围</w:t>
            </w:r>
            <w:r>
              <w:rPr>
                <w:rFonts w:hint="eastAsia"/>
                <w:color w:val="000000" w:themeColor="text1"/>
                <w:sz w:val="24"/>
                <w:highlight w:val="none"/>
                <w14:textFill>
                  <w14:solidFill>
                    <w14:schemeClr w14:val="tx1"/>
                  </w14:solidFill>
                </w14:textFill>
              </w:rPr>
              <w:t>为</w:t>
            </w:r>
            <w:r>
              <w:rPr>
                <w:rFonts w:hint="eastAsia"/>
                <w:color w:val="000000" w:themeColor="text1"/>
                <w:sz w:val="24"/>
                <w:highlight w:val="none"/>
                <w:lang w:val="en-US" w:eastAsia="zh-CN"/>
                <w14:textFill>
                  <w14:solidFill>
                    <w14:schemeClr w14:val="tx1"/>
                  </w14:solidFill>
                </w14:textFill>
              </w:rPr>
              <w:t>52.7~</w:t>
            </w:r>
            <w:r>
              <w:rPr>
                <w:rFonts w:hint="eastAsia"/>
                <w:color w:val="000000" w:themeColor="text1"/>
                <w:sz w:val="24"/>
                <w:highlight w:val="none"/>
                <w14:textFill>
                  <w14:solidFill>
                    <w14:schemeClr w14:val="tx1"/>
                  </w14:solidFill>
                </w14:textFill>
              </w:rPr>
              <w:t>56.</w:t>
            </w:r>
            <w:r>
              <w:rPr>
                <w:rFonts w:hint="eastAsia"/>
                <w:color w:val="000000" w:themeColor="text1"/>
                <w:sz w:val="24"/>
                <w:highlight w:val="none"/>
                <w:lang w:val="en-US" w:eastAsia="zh-CN"/>
                <w14:textFill>
                  <w14:solidFill>
                    <w14:schemeClr w14:val="tx1"/>
                  </w14:solidFill>
                </w14:textFill>
              </w:rPr>
              <w:t>9dB</w:t>
            </w:r>
            <w:r>
              <w:rPr>
                <w:rFonts w:hint="eastAsia"/>
                <w:color w:val="000000" w:themeColor="text1"/>
                <w:sz w:val="24"/>
                <w:highlight w:val="none"/>
                <w14:textFill>
                  <w14:solidFill>
                    <w14:schemeClr w14:val="tx1"/>
                  </w14:solidFill>
                </w14:textFill>
              </w:rPr>
              <w:t>，夜间为</w:t>
            </w:r>
            <w:r>
              <w:rPr>
                <w:rFonts w:hint="eastAsia"/>
                <w:color w:val="000000" w:themeColor="text1"/>
                <w:sz w:val="24"/>
                <w:highlight w:val="none"/>
                <w:lang w:val="en-US" w:eastAsia="zh-CN"/>
                <w14:textFill>
                  <w14:solidFill>
                    <w14:schemeClr w14:val="tx1"/>
                  </w14:solidFill>
                </w14:textFill>
              </w:rPr>
              <w:t>43.2~47.2dB</w:t>
            </w:r>
            <w:r>
              <w:rPr>
                <w:rFonts w:hint="eastAsia"/>
                <w:color w:val="000000" w:themeColor="text1"/>
                <w:sz w:val="24"/>
                <w:highlight w:val="none"/>
                <w14:textFill>
                  <w14:solidFill>
                    <w14:schemeClr w14:val="tx1"/>
                  </w14:solidFill>
                </w14:textFill>
              </w:rPr>
              <w:t>，均</w:t>
            </w:r>
            <w:r>
              <w:rPr>
                <w:rFonts w:hint="eastAsia"/>
                <w:color w:val="000000" w:themeColor="text1"/>
                <w:sz w:val="24"/>
                <w:highlight w:val="none"/>
                <w:lang w:eastAsia="zh-CN"/>
                <w14:textFill>
                  <w14:solidFill>
                    <w14:schemeClr w14:val="tx1"/>
                  </w14:solidFill>
                </w14:textFill>
              </w:rPr>
              <w:t>达到</w:t>
            </w:r>
            <w:r>
              <w:rPr>
                <w:rFonts w:hint="eastAsia"/>
                <w:color w:val="000000" w:themeColor="text1"/>
                <w:sz w:val="24"/>
                <w:highlight w:val="none"/>
                <w14:textFill>
                  <w14:solidFill>
                    <w14:schemeClr w14:val="tx1"/>
                  </w14:solidFill>
                </w14:textFill>
              </w:rPr>
              <w:t>《工业企业厂界环境噪声排放标准》（GB12348-2008）2类区标准。</w:t>
            </w:r>
          </w:p>
          <w:p>
            <w:pPr>
              <w:pStyle w:val="2"/>
              <w:spacing w:line="360" w:lineRule="auto"/>
              <w:ind w:left="0" w:leftChars="0" w:firstLine="480" w:firstLineChars="200"/>
              <w:rPr>
                <w:bCs/>
                <w:sz w:val="24"/>
                <w:highlight w:val="none"/>
              </w:rPr>
            </w:pPr>
          </w:p>
          <w:p>
            <w:pPr>
              <w:pStyle w:val="2"/>
              <w:spacing w:line="360" w:lineRule="auto"/>
              <w:ind w:left="0" w:leftChars="0" w:firstLine="480" w:firstLineChars="200"/>
              <w:rPr>
                <w:bCs/>
                <w:sz w:val="24"/>
                <w:highlight w:val="none"/>
              </w:rPr>
            </w:pPr>
          </w:p>
          <w:p>
            <w:pPr>
              <w:pStyle w:val="2"/>
              <w:spacing w:line="360" w:lineRule="auto"/>
              <w:ind w:left="0" w:leftChars="0" w:firstLine="480" w:firstLineChars="200"/>
              <w:rPr>
                <w:bCs/>
                <w:sz w:val="24"/>
                <w:highlight w:val="none"/>
              </w:rPr>
            </w:pPr>
          </w:p>
          <w:p>
            <w:pPr>
              <w:pStyle w:val="2"/>
              <w:spacing w:line="360" w:lineRule="auto"/>
              <w:ind w:left="0" w:leftChars="0" w:firstLine="480" w:firstLineChars="200"/>
              <w:rPr>
                <w:bCs/>
                <w:sz w:val="24"/>
                <w:highlight w:val="none"/>
              </w:rPr>
            </w:pPr>
          </w:p>
          <w:p>
            <w:pPr>
              <w:pStyle w:val="2"/>
              <w:spacing w:line="360" w:lineRule="auto"/>
              <w:ind w:left="0" w:leftChars="0" w:firstLine="480" w:firstLineChars="200"/>
              <w:rPr>
                <w:bCs/>
                <w:sz w:val="24"/>
                <w:highlight w:val="none"/>
              </w:rPr>
            </w:pPr>
          </w:p>
          <w:p>
            <w:pPr>
              <w:pStyle w:val="2"/>
              <w:spacing w:line="360" w:lineRule="auto"/>
              <w:ind w:left="0" w:leftChars="0" w:firstLine="480" w:firstLineChars="200"/>
              <w:rPr>
                <w:bCs/>
                <w:sz w:val="24"/>
                <w:highlight w:val="none"/>
              </w:rPr>
            </w:pPr>
          </w:p>
          <w:p>
            <w:pPr>
              <w:pStyle w:val="2"/>
              <w:spacing w:line="360" w:lineRule="auto"/>
              <w:ind w:left="0" w:leftChars="0" w:firstLine="480" w:firstLineChars="200"/>
              <w:rPr>
                <w:bCs/>
                <w:sz w:val="24"/>
                <w:highlight w:val="none"/>
              </w:rPr>
            </w:pPr>
          </w:p>
          <w:p>
            <w:pPr>
              <w:pStyle w:val="2"/>
              <w:spacing w:line="360" w:lineRule="auto"/>
              <w:ind w:left="0" w:leftChars="0" w:firstLine="480" w:firstLineChars="200"/>
              <w:rPr>
                <w:bCs/>
                <w:sz w:val="24"/>
                <w:highlight w:val="none"/>
              </w:rPr>
            </w:pPr>
          </w:p>
          <w:p>
            <w:pPr>
              <w:pStyle w:val="2"/>
              <w:spacing w:line="360" w:lineRule="auto"/>
              <w:ind w:left="0" w:leftChars="0" w:firstLine="480" w:firstLineChars="200"/>
              <w:rPr>
                <w:bCs/>
                <w:sz w:val="24"/>
                <w:highlight w:val="none"/>
              </w:rPr>
            </w:pPr>
          </w:p>
          <w:p>
            <w:pPr>
              <w:pStyle w:val="2"/>
              <w:spacing w:line="360" w:lineRule="auto"/>
              <w:ind w:left="0" w:leftChars="0" w:firstLine="480" w:firstLineChars="200"/>
              <w:rPr>
                <w:bCs/>
                <w:sz w:val="24"/>
                <w:highlight w:val="none"/>
              </w:rPr>
            </w:pPr>
          </w:p>
        </w:tc>
      </w:tr>
    </w:tbl>
    <w:p>
      <w:pPr>
        <w:pStyle w:val="21"/>
        <w:jc w:val="left"/>
      </w:pPr>
      <w:r>
        <w:br w:type="page"/>
      </w:r>
      <w:bookmarkStart w:id="33" w:name="_Toc21613"/>
      <w:bookmarkStart w:id="34" w:name="_Toc52180566"/>
      <w:bookmarkStart w:id="35" w:name="_Toc15279"/>
      <w:r>
        <w:t>表</w:t>
      </w:r>
      <w:r>
        <w:rPr>
          <w:rFonts w:hint="eastAsia"/>
        </w:rPr>
        <w:t xml:space="preserve">八 </w:t>
      </w:r>
      <w:r>
        <w:t>环保检查结</w:t>
      </w:r>
      <w:r>
        <w:rPr>
          <w:rFonts w:hint="eastAsia"/>
        </w:rPr>
        <w:t>果</w:t>
      </w:r>
      <w:bookmarkEnd w:id="33"/>
      <w:bookmarkEnd w:id="34"/>
      <w:bookmarkEnd w:id="35"/>
    </w:p>
    <w:tbl>
      <w:tblPr>
        <w:tblStyle w:val="24"/>
        <w:tblW w:w="94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63" w:hRule="atLeast"/>
          <w:jc w:val="center"/>
        </w:trPr>
        <w:tc>
          <w:tcPr>
            <w:tcW w:w="9431" w:type="dxa"/>
          </w:tcPr>
          <w:p>
            <w:pPr>
              <w:spacing w:line="360" w:lineRule="auto"/>
              <w:rPr>
                <w:b/>
                <w:sz w:val="24"/>
              </w:rPr>
            </w:pPr>
            <w:r>
              <w:rPr>
                <w:b/>
                <w:sz w:val="24"/>
              </w:rPr>
              <w:t>绿化、生态恢复措施及恢复情况：</w:t>
            </w:r>
          </w:p>
          <w:p>
            <w:pPr>
              <w:spacing w:line="360" w:lineRule="auto"/>
              <w:ind w:firstLine="480" w:firstLineChars="200"/>
              <w:rPr>
                <w:color w:val="000000"/>
                <w:sz w:val="24"/>
              </w:rPr>
            </w:pPr>
            <w:r>
              <w:rPr>
                <w:color w:val="000000"/>
                <w:sz w:val="24"/>
              </w:rPr>
              <w:t>本项目</w:t>
            </w:r>
            <w:r>
              <w:rPr>
                <w:rFonts w:hint="eastAsia"/>
                <w:color w:val="000000"/>
                <w:sz w:val="24"/>
              </w:rPr>
              <w:t>在加油站及站区周边种植草皮、树木，达到了一定的绿化率</w:t>
            </w:r>
            <w:r>
              <w:rPr>
                <w:color w:val="000000"/>
                <w:sz w:val="24"/>
              </w:rPr>
              <w:t>。</w:t>
            </w:r>
          </w:p>
          <w:p>
            <w:pPr>
              <w:spacing w:line="360" w:lineRule="auto"/>
              <w:rPr>
                <w:b/>
                <w:color w:val="000000"/>
                <w:sz w:val="24"/>
              </w:rPr>
            </w:pPr>
            <w:r>
              <w:rPr>
                <w:b/>
                <w:color w:val="000000"/>
                <w:sz w:val="24"/>
              </w:rPr>
              <w:t>环保管理制度及人员责任分工：</w:t>
            </w:r>
          </w:p>
          <w:p>
            <w:pPr>
              <w:spacing w:line="360" w:lineRule="auto"/>
              <w:ind w:firstLine="480" w:firstLineChars="200"/>
              <w:rPr>
                <w:color w:val="000000"/>
                <w:sz w:val="24"/>
              </w:rPr>
            </w:pPr>
            <w:r>
              <w:rPr>
                <w:rFonts w:hint="eastAsia"/>
                <w:color w:val="000000"/>
                <w:sz w:val="24"/>
              </w:rPr>
              <w:t>环境保护工作坚持预防为主、防治结合、综合治理的原则；坚持推行清洁生产、实行生产全过程污染控制的原则；实行污染物达标排放和污染物总量控制的原则。环境保护工作的主要负责人，应对环境保护工作实施统一监督管理，经理是环境保护第一责任人。配备与开展工作相适应的专门环境管理人员发生特殊情况，发生特殊事故，由经理及时组织人员进行现场警戒、疏散站内闲散人员。</w:t>
            </w:r>
          </w:p>
          <w:p>
            <w:pPr>
              <w:spacing w:line="360" w:lineRule="auto"/>
              <w:rPr>
                <w:b/>
                <w:sz w:val="24"/>
              </w:rPr>
            </w:pPr>
            <w:r>
              <w:rPr>
                <w:b/>
                <w:sz w:val="24"/>
              </w:rPr>
              <w:t>监测手段及人员配置：</w:t>
            </w:r>
          </w:p>
          <w:p>
            <w:pPr>
              <w:spacing w:line="360" w:lineRule="auto"/>
              <w:ind w:firstLine="480" w:firstLineChars="200"/>
              <w:rPr>
                <w:sz w:val="24"/>
              </w:rPr>
            </w:pPr>
            <w:r>
              <w:rPr>
                <w:sz w:val="24"/>
              </w:rPr>
              <w:t>本项目规模小，公司没有配备专门的环境监测手段及监测人员，日常的环境监测委托有资质的监测单位完成。</w:t>
            </w:r>
          </w:p>
          <w:p>
            <w:pPr>
              <w:pStyle w:val="2"/>
              <w:spacing w:after="0" w:line="360" w:lineRule="auto"/>
              <w:ind w:left="0" w:leftChars="0"/>
              <w:jc w:val="left"/>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地下水防渗：</w:t>
            </w:r>
          </w:p>
          <w:p>
            <w:pPr>
              <w:pStyle w:val="2"/>
              <w:spacing w:after="0" w:line="360" w:lineRule="auto"/>
              <w:ind w:left="0" w:leftChars="0" w:firstLine="480" w:firstLineChars="200"/>
              <w:jc w:val="left"/>
              <w:rPr>
                <w:sz w:val="24"/>
              </w:rPr>
            </w:pPr>
            <w:r>
              <w:rPr>
                <w:rFonts w:hint="eastAsia"/>
                <w:sz w:val="24"/>
              </w:rPr>
              <w:t>使用</w:t>
            </w:r>
            <w:r>
              <w:rPr>
                <w:rFonts w:hint="eastAsia"/>
                <w:sz w:val="24"/>
                <w:lang w:eastAsia="zh-CN"/>
              </w:rPr>
              <w:t>地埋式</w:t>
            </w:r>
            <w:r>
              <w:rPr>
                <w:rFonts w:hint="eastAsia"/>
                <w:sz w:val="24"/>
                <w:lang w:val="en-US" w:eastAsia="zh-CN"/>
              </w:rPr>
              <w:t>SF</w:t>
            </w:r>
            <w:r>
              <w:rPr>
                <w:rFonts w:hint="eastAsia"/>
                <w:sz w:val="24"/>
              </w:rPr>
              <w:t>双层油罐、场地防渗分区管理、重点防渗区域采取防渗防漏措施，整个加油站地面进行硬化防渗处理。</w:t>
            </w:r>
          </w:p>
          <w:p>
            <w:pPr>
              <w:spacing w:line="360" w:lineRule="auto"/>
              <w:rPr>
                <w:b/>
                <w:color w:val="000000"/>
                <w:sz w:val="24"/>
              </w:rPr>
            </w:pPr>
            <w:r>
              <w:rPr>
                <w:rFonts w:hint="eastAsia"/>
                <w:b/>
                <w:color w:val="000000"/>
                <w:sz w:val="24"/>
              </w:rPr>
              <w:t>环境风险防范</w:t>
            </w:r>
            <w:r>
              <w:rPr>
                <w:b/>
                <w:color w:val="000000"/>
                <w:sz w:val="24"/>
              </w:rPr>
              <w:t xml:space="preserve">： </w:t>
            </w:r>
          </w:p>
          <w:p>
            <w:pPr>
              <w:spacing w:line="360" w:lineRule="auto"/>
              <w:ind w:firstLine="480" w:firstLineChars="200"/>
              <w:rPr>
                <w:sz w:val="24"/>
              </w:rPr>
            </w:pPr>
            <w:r>
              <w:rPr>
                <w:sz w:val="24"/>
              </w:rPr>
              <w:t>根据《建设项目环境风险评价技术导则》，本项目汽油和柴油属于重大危险源，</w:t>
            </w:r>
            <w:r>
              <w:rPr>
                <w:rFonts w:hint="eastAsia"/>
                <w:sz w:val="24"/>
              </w:rPr>
              <w:t>因此本项目针对存在的危险配备了相关的防范设施及制定了相关的防范措施</w:t>
            </w:r>
            <w:r>
              <w:rPr>
                <w:sz w:val="24"/>
              </w:rPr>
              <w:t>。</w:t>
            </w:r>
            <w:r>
              <w:rPr>
                <w:rFonts w:hint="eastAsia"/>
                <w:sz w:val="24"/>
              </w:rPr>
              <w:t>具体</w:t>
            </w:r>
            <w:r>
              <w:rPr>
                <w:sz w:val="24"/>
              </w:rPr>
              <w:t>如下：</w:t>
            </w:r>
          </w:p>
          <w:p>
            <w:pPr>
              <w:spacing w:line="360" w:lineRule="auto"/>
              <w:ind w:firstLine="480" w:firstLineChars="200"/>
              <w:rPr>
                <w:sz w:val="24"/>
              </w:rPr>
            </w:pPr>
            <w:r>
              <w:rPr>
                <w:sz w:val="24"/>
              </w:rPr>
              <w:t>1、</w:t>
            </w:r>
            <w:r>
              <w:rPr>
                <w:rFonts w:hint="eastAsia"/>
                <w:sz w:val="24"/>
              </w:rPr>
              <w:t>定期对</w:t>
            </w:r>
            <w:r>
              <w:rPr>
                <w:sz w:val="24"/>
              </w:rPr>
              <w:t>职工</w:t>
            </w:r>
            <w:r>
              <w:rPr>
                <w:rFonts w:hint="eastAsia"/>
                <w:sz w:val="24"/>
              </w:rPr>
              <w:t>进行</w:t>
            </w:r>
            <w:r>
              <w:rPr>
                <w:sz w:val="24"/>
              </w:rPr>
              <w:t>安全教育，提高安全防范风险的意识；</w:t>
            </w:r>
          </w:p>
          <w:p>
            <w:pPr>
              <w:spacing w:line="360" w:lineRule="auto"/>
              <w:ind w:firstLine="480" w:firstLineChars="200"/>
              <w:rPr>
                <w:sz w:val="24"/>
              </w:rPr>
            </w:pPr>
            <w:r>
              <w:rPr>
                <w:sz w:val="24"/>
              </w:rPr>
              <w:t>2、针对运营中可能发生的异常现象和存在的安全隐患，设置合理可行的技术措施，制定严格的操作规程；</w:t>
            </w:r>
          </w:p>
          <w:p>
            <w:pPr>
              <w:spacing w:line="360" w:lineRule="auto"/>
              <w:ind w:firstLine="480" w:firstLineChars="200"/>
              <w:rPr>
                <w:sz w:val="24"/>
              </w:rPr>
            </w:pPr>
            <w:r>
              <w:rPr>
                <w:sz w:val="24"/>
              </w:rPr>
              <w:t>3、对易发生泄露的部位实行定期的巡检制度，发现问题，尽快解决；</w:t>
            </w:r>
          </w:p>
          <w:p>
            <w:pPr>
              <w:spacing w:line="360" w:lineRule="auto"/>
              <w:ind w:firstLine="480" w:firstLineChars="200"/>
              <w:rPr>
                <w:sz w:val="24"/>
              </w:rPr>
            </w:pPr>
            <w:r>
              <w:rPr>
                <w:sz w:val="24"/>
              </w:rPr>
              <w:t>4、严格执行防火、防爆、防雷击、防毒害等各项要求；</w:t>
            </w:r>
          </w:p>
          <w:p>
            <w:pPr>
              <w:spacing w:line="360" w:lineRule="auto"/>
              <w:ind w:firstLine="480" w:firstLineChars="200"/>
              <w:rPr>
                <w:sz w:val="24"/>
              </w:rPr>
            </w:pPr>
            <w:r>
              <w:rPr>
                <w:sz w:val="24"/>
              </w:rPr>
              <w:t>5、建立健全安全、环境管理体系及高效的安全生产机构，一旦发生事故，做到快速、高效、安全处置；</w:t>
            </w:r>
          </w:p>
          <w:p>
            <w:pPr>
              <w:spacing w:line="360" w:lineRule="auto"/>
              <w:ind w:firstLine="480" w:firstLineChars="200"/>
              <w:rPr>
                <w:sz w:val="24"/>
              </w:rPr>
            </w:pPr>
            <w:r>
              <w:rPr>
                <w:sz w:val="24"/>
              </w:rPr>
              <w:t>6、加油站内电气设备严格按照防爆区划分配置；</w:t>
            </w:r>
          </w:p>
          <w:p>
            <w:pPr>
              <w:spacing w:line="360" w:lineRule="auto"/>
              <w:ind w:firstLine="480" w:firstLineChars="200"/>
              <w:rPr>
                <w:sz w:val="24"/>
              </w:rPr>
            </w:pPr>
            <w:r>
              <w:rPr>
                <w:sz w:val="24"/>
              </w:rPr>
              <w:t>7、在储存油罐和加油站入口处设立警告牌（严禁烟火）；</w:t>
            </w:r>
          </w:p>
          <w:p>
            <w:pPr>
              <w:spacing w:line="360" w:lineRule="auto"/>
              <w:ind w:firstLine="480" w:firstLineChars="200"/>
              <w:rPr>
                <w:sz w:val="24"/>
              </w:rPr>
            </w:pPr>
            <w:r>
              <w:rPr>
                <w:sz w:val="24"/>
              </w:rPr>
              <w:t>8、在加油站设立严禁打手机的警告牌；</w:t>
            </w:r>
          </w:p>
          <w:p>
            <w:pPr>
              <w:spacing w:line="360" w:lineRule="auto"/>
              <w:ind w:firstLine="480" w:firstLineChars="200"/>
              <w:rPr>
                <w:sz w:val="24"/>
              </w:rPr>
            </w:pPr>
            <w:r>
              <w:rPr>
                <w:sz w:val="24"/>
              </w:rPr>
              <w:t>9、按照设计图的要求，注意避雷针的安全防护措施；</w:t>
            </w:r>
          </w:p>
          <w:p>
            <w:pPr>
              <w:spacing w:line="360" w:lineRule="auto"/>
              <w:ind w:firstLine="480" w:firstLineChars="200"/>
              <w:rPr>
                <w:sz w:val="24"/>
              </w:rPr>
            </w:pPr>
            <w:r>
              <w:rPr>
                <w:sz w:val="24"/>
              </w:rPr>
              <w:t>10、</w:t>
            </w:r>
            <w:r>
              <w:rPr>
                <w:rFonts w:hint="eastAsia"/>
                <w:sz w:val="24"/>
              </w:rPr>
              <w:t>站内按照相关的要求配有</w:t>
            </w:r>
            <w:r>
              <w:rPr>
                <w:sz w:val="24"/>
              </w:rPr>
              <w:t>手提式干粉灭火器</w:t>
            </w:r>
            <w:r>
              <w:rPr>
                <w:rFonts w:hint="eastAsia"/>
                <w:sz w:val="24"/>
              </w:rPr>
              <w:t>、</w:t>
            </w:r>
            <w:r>
              <w:rPr>
                <w:sz w:val="24"/>
              </w:rPr>
              <w:t>泡沫灭火器</w:t>
            </w:r>
            <w:r>
              <w:rPr>
                <w:rFonts w:hint="eastAsia"/>
                <w:sz w:val="24"/>
              </w:rPr>
              <w:t>和消防栓等防护措施</w:t>
            </w:r>
            <w:r>
              <w:rPr>
                <w:sz w:val="24"/>
              </w:rPr>
              <w:t>。</w:t>
            </w:r>
          </w:p>
          <w:p>
            <w:pPr>
              <w:autoSpaceDE w:val="0"/>
              <w:autoSpaceDN w:val="0"/>
              <w:adjustRightInd w:val="0"/>
              <w:spacing w:line="360" w:lineRule="auto"/>
              <w:ind w:firstLine="480"/>
              <w:jc w:val="left"/>
              <w:rPr>
                <w:rFonts w:cs="Arial"/>
                <w:color w:val="000000"/>
                <w:kern w:val="0"/>
                <w:sz w:val="24"/>
              </w:rPr>
            </w:pPr>
            <w:r>
              <w:rPr>
                <w:rFonts w:hint="eastAsia" w:cs="Arial"/>
                <w:color w:val="000000"/>
                <w:kern w:val="0"/>
                <w:sz w:val="24"/>
              </w:rPr>
              <w:t>11、本项目储罐均为地埋式双层储罐并配有双层管线，地下储罐区均采取防腐防渗措施，为防止油气泄露配备一台油气泄漏自动检测仪。</w:t>
            </w:r>
          </w:p>
          <w:p>
            <w:pPr>
              <w:autoSpaceDE w:val="0"/>
              <w:autoSpaceDN w:val="0"/>
              <w:adjustRightInd w:val="0"/>
              <w:spacing w:line="360" w:lineRule="auto"/>
              <w:ind w:firstLine="480"/>
              <w:jc w:val="left"/>
              <w:rPr>
                <w:rFonts w:cs="Arial"/>
                <w:color w:val="000000"/>
                <w:kern w:val="0"/>
                <w:sz w:val="24"/>
              </w:rPr>
            </w:pPr>
            <w:r>
              <w:rPr>
                <w:rFonts w:hint="eastAsia" w:cs="Arial"/>
                <w:color w:val="000000"/>
                <w:kern w:val="0"/>
                <w:sz w:val="24"/>
              </w:rPr>
              <w:t>12、在线监测系统安装情况：根据《加油站大气污染物排放标准》（GB20952-2007）中规定，符合下列之一的加油站应安装在线监测系统。</w:t>
            </w:r>
          </w:p>
          <w:p>
            <w:pPr>
              <w:autoSpaceDE w:val="0"/>
              <w:autoSpaceDN w:val="0"/>
              <w:adjustRightInd w:val="0"/>
              <w:spacing w:line="360" w:lineRule="auto"/>
              <w:ind w:firstLine="480"/>
              <w:jc w:val="left"/>
              <w:rPr>
                <w:rFonts w:cs="Arial"/>
                <w:color w:val="000000"/>
                <w:kern w:val="0"/>
                <w:sz w:val="24"/>
              </w:rPr>
            </w:pPr>
            <w:r>
              <w:rPr>
                <w:rFonts w:hint="eastAsia" w:cs="Arial"/>
                <w:color w:val="000000"/>
                <w:kern w:val="0"/>
                <w:sz w:val="24"/>
              </w:rPr>
              <w:t>A）年销售汽油量大于8000t的加油站；</w:t>
            </w:r>
          </w:p>
          <w:p>
            <w:pPr>
              <w:autoSpaceDE w:val="0"/>
              <w:autoSpaceDN w:val="0"/>
              <w:adjustRightInd w:val="0"/>
              <w:spacing w:line="360" w:lineRule="auto"/>
              <w:ind w:firstLine="480"/>
              <w:jc w:val="left"/>
              <w:rPr>
                <w:rFonts w:cs="Arial"/>
                <w:color w:val="000000"/>
                <w:kern w:val="0"/>
                <w:sz w:val="24"/>
              </w:rPr>
            </w:pPr>
            <w:r>
              <w:rPr>
                <w:rFonts w:hint="eastAsia" w:cs="Arial"/>
                <w:color w:val="000000"/>
                <w:kern w:val="0"/>
                <w:sz w:val="24"/>
              </w:rPr>
              <w:t>B)臭氧浓度超标城市年销售汽油量大于5000t的加油站；</w:t>
            </w:r>
          </w:p>
          <w:p>
            <w:pPr>
              <w:autoSpaceDE w:val="0"/>
              <w:autoSpaceDN w:val="0"/>
              <w:adjustRightInd w:val="0"/>
              <w:spacing w:line="360" w:lineRule="auto"/>
              <w:ind w:firstLine="480"/>
              <w:jc w:val="left"/>
              <w:rPr>
                <w:rFonts w:cs="Arial"/>
                <w:color w:val="000000"/>
                <w:kern w:val="0"/>
                <w:sz w:val="24"/>
              </w:rPr>
            </w:pPr>
            <w:r>
              <w:rPr>
                <w:rFonts w:hint="eastAsia" w:cs="Arial"/>
                <w:color w:val="000000"/>
                <w:kern w:val="0"/>
                <w:sz w:val="24"/>
              </w:rPr>
              <w:t>C）省级环境保护局确定的其他需要安装在线监测系统的加油站。</w:t>
            </w:r>
          </w:p>
          <w:p>
            <w:pPr>
              <w:autoSpaceDE w:val="0"/>
              <w:autoSpaceDN w:val="0"/>
              <w:adjustRightInd w:val="0"/>
              <w:spacing w:line="360" w:lineRule="auto"/>
              <w:ind w:firstLine="480"/>
              <w:jc w:val="left"/>
              <w:rPr>
                <w:rFonts w:cs="Arial"/>
                <w:color w:val="000000"/>
                <w:kern w:val="0"/>
                <w:sz w:val="24"/>
              </w:rPr>
            </w:pPr>
            <w:r>
              <w:rPr>
                <w:rFonts w:hint="eastAsia" w:cs="Arial"/>
                <w:color w:val="000000"/>
                <w:kern w:val="0"/>
                <w:sz w:val="24"/>
              </w:rPr>
              <w:t>本项目设计年销售</w:t>
            </w:r>
            <w:r>
              <w:rPr>
                <w:rFonts w:hint="eastAsia" w:cs="Arial"/>
                <w:color w:val="000000"/>
                <w:kern w:val="0"/>
                <w:sz w:val="24"/>
                <w:lang w:eastAsia="zh-CN"/>
              </w:rPr>
              <w:t>汽油</w:t>
            </w:r>
            <w:r>
              <w:rPr>
                <w:rFonts w:hint="eastAsia" w:cs="Arial"/>
                <w:color w:val="000000"/>
                <w:kern w:val="0"/>
                <w:sz w:val="24"/>
              </w:rPr>
              <w:t>一共</w:t>
            </w:r>
            <w:r>
              <w:rPr>
                <w:rFonts w:hint="eastAsia" w:cs="Arial"/>
                <w:color w:val="000000"/>
                <w:kern w:val="0"/>
                <w:sz w:val="24"/>
                <w:lang w:val="en-US" w:eastAsia="zh-CN"/>
              </w:rPr>
              <w:t>1540</w:t>
            </w:r>
            <w:r>
              <w:rPr>
                <w:rFonts w:hint="eastAsia" w:cs="Arial"/>
                <w:color w:val="000000"/>
                <w:kern w:val="0"/>
                <w:sz w:val="24"/>
              </w:rPr>
              <w:t>t，以上条件均不符合，因此本加油站没有安装在线监测系统。</w:t>
            </w:r>
          </w:p>
          <w:p>
            <w:pPr>
              <w:spacing w:line="360" w:lineRule="auto"/>
              <w:rPr>
                <w:b/>
                <w:sz w:val="24"/>
              </w:rPr>
            </w:pPr>
            <w:r>
              <w:rPr>
                <w:rFonts w:hAnsi="宋体"/>
                <w:b/>
                <w:sz w:val="24"/>
              </w:rPr>
              <w:t>其他：</w:t>
            </w:r>
          </w:p>
          <w:p>
            <w:pPr>
              <w:spacing w:line="360" w:lineRule="auto"/>
              <w:ind w:firstLine="482" w:firstLineChars="200"/>
              <w:rPr>
                <w:b/>
                <w:color w:val="000000"/>
                <w:sz w:val="24"/>
              </w:rPr>
            </w:pPr>
            <w:r>
              <w:rPr>
                <w:rFonts w:hAnsi="宋体"/>
                <w:b/>
                <w:color w:val="000000"/>
                <w:sz w:val="24"/>
              </w:rPr>
              <w:t>（</w:t>
            </w:r>
            <w:r>
              <w:rPr>
                <w:b/>
                <w:color w:val="000000"/>
                <w:sz w:val="24"/>
              </w:rPr>
              <w:t>1</w:t>
            </w:r>
            <w:r>
              <w:rPr>
                <w:rFonts w:hAnsi="宋体"/>
                <w:b/>
                <w:color w:val="000000"/>
                <w:sz w:val="24"/>
              </w:rPr>
              <w:t>）环保审批手续及</w:t>
            </w:r>
            <w:r>
              <w:rPr>
                <w:b/>
                <w:color w:val="000000"/>
                <w:sz w:val="24"/>
              </w:rPr>
              <w:t>“</w:t>
            </w:r>
            <w:r>
              <w:rPr>
                <w:rFonts w:hAnsi="宋体"/>
                <w:b/>
                <w:color w:val="000000"/>
                <w:sz w:val="24"/>
              </w:rPr>
              <w:t>三同时</w:t>
            </w:r>
            <w:r>
              <w:rPr>
                <w:b/>
                <w:color w:val="000000"/>
                <w:sz w:val="24"/>
              </w:rPr>
              <w:t>”</w:t>
            </w:r>
            <w:r>
              <w:rPr>
                <w:rFonts w:hAnsi="宋体"/>
                <w:b/>
                <w:color w:val="000000"/>
                <w:sz w:val="24"/>
              </w:rPr>
              <w:t>执行情况</w:t>
            </w:r>
          </w:p>
          <w:p>
            <w:pPr>
              <w:spacing w:line="360" w:lineRule="auto"/>
              <w:ind w:firstLine="480" w:firstLineChars="200"/>
              <w:jc w:val="left"/>
              <w:rPr>
                <w:rFonts w:hAnsi="宋体"/>
                <w:sz w:val="24"/>
              </w:rPr>
            </w:pPr>
            <w:r>
              <w:rPr>
                <w:rFonts w:hint="eastAsia" w:hAnsi="宋体"/>
                <w:sz w:val="24"/>
              </w:rPr>
              <w:t>中国石化销售股份有限公司江西抚州资溪石油分公司茶博城加油站建设项目</w:t>
            </w:r>
            <w:r>
              <w:rPr>
                <w:rFonts w:hAnsi="宋体"/>
                <w:sz w:val="24"/>
              </w:rPr>
              <w:t>依据国家有关环保政策要求，</w:t>
            </w:r>
            <w:r>
              <w:rPr>
                <w:rFonts w:hint="eastAsia" w:hAnsi="宋体"/>
                <w:sz w:val="24"/>
              </w:rPr>
              <w:t>江西省核工业地质局测试研究中心于</w:t>
            </w:r>
            <w:r>
              <w:rPr>
                <w:rFonts w:hint="eastAsia" w:hAnsi="宋体"/>
                <w:sz w:val="24"/>
                <w:lang w:val="en-US" w:eastAsia="zh-CN"/>
              </w:rPr>
              <w:t>2020</w:t>
            </w:r>
            <w:r>
              <w:rPr>
                <w:rFonts w:hint="eastAsia" w:hAnsi="宋体"/>
                <w:sz w:val="24"/>
              </w:rPr>
              <w:t>年</w:t>
            </w:r>
            <w:r>
              <w:rPr>
                <w:rFonts w:hint="eastAsia" w:hAnsi="宋体"/>
                <w:sz w:val="24"/>
                <w:lang w:val="en-US" w:eastAsia="zh-CN"/>
              </w:rPr>
              <w:t>10</w:t>
            </w:r>
            <w:r>
              <w:rPr>
                <w:rFonts w:hint="eastAsia" w:hAnsi="宋体"/>
                <w:sz w:val="24"/>
              </w:rPr>
              <w:t>月编制</w:t>
            </w:r>
            <w:r>
              <w:rPr>
                <w:rFonts w:hAnsi="宋体"/>
                <w:sz w:val="24"/>
              </w:rPr>
              <w:t>完成了《</w:t>
            </w:r>
            <w:r>
              <w:rPr>
                <w:rFonts w:hint="eastAsia" w:hAnsi="宋体"/>
                <w:sz w:val="24"/>
              </w:rPr>
              <w:t>茶博城加油站建设项目环境影响报告表</w:t>
            </w:r>
            <w:r>
              <w:rPr>
                <w:rFonts w:hint="eastAsia" w:hAnsi="宋体"/>
                <w:sz w:val="24"/>
                <w:lang w:eastAsia="zh-CN"/>
              </w:rPr>
              <w:t>》</w:t>
            </w:r>
            <w:r>
              <w:rPr>
                <w:rFonts w:hint="eastAsia" w:hAnsi="宋体"/>
                <w:sz w:val="24"/>
                <w:lang w:val="en-US" w:eastAsia="zh-CN"/>
              </w:rPr>
              <w:t xml:space="preserve"> </w:t>
            </w:r>
            <w:r>
              <w:rPr>
                <w:rFonts w:hAnsi="宋体"/>
                <w:sz w:val="24"/>
              </w:rPr>
              <w:t>的编写工作，</w:t>
            </w:r>
            <w:r>
              <w:rPr>
                <w:rFonts w:hint="eastAsia" w:hAnsi="宋体"/>
                <w:sz w:val="24"/>
                <w:lang w:eastAsia="zh-CN"/>
              </w:rPr>
              <w:t>资溪县行政审批局</w:t>
            </w:r>
            <w:r>
              <w:rPr>
                <w:rFonts w:hAnsi="宋体"/>
                <w:sz w:val="24"/>
              </w:rPr>
              <w:t>于20</w:t>
            </w:r>
            <w:r>
              <w:rPr>
                <w:rFonts w:hint="eastAsia" w:hAnsi="宋体"/>
                <w:sz w:val="24"/>
                <w:lang w:val="en-US" w:eastAsia="zh-CN"/>
              </w:rPr>
              <w:t>20</w:t>
            </w:r>
            <w:r>
              <w:rPr>
                <w:rFonts w:hAnsi="宋体"/>
                <w:sz w:val="24"/>
              </w:rPr>
              <w:t>年</w:t>
            </w:r>
            <w:r>
              <w:rPr>
                <w:rFonts w:hint="eastAsia" w:hAnsi="宋体"/>
                <w:sz w:val="24"/>
                <w:lang w:val="en-US" w:eastAsia="zh-CN"/>
              </w:rPr>
              <w:t>11</w:t>
            </w:r>
            <w:r>
              <w:rPr>
                <w:rFonts w:hAnsi="宋体"/>
                <w:sz w:val="24"/>
              </w:rPr>
              <w:t>月</w:t>
            </w:r>
            <w:r>
              <w:rPr>
                <w:rFonts w:hint="eastAsia" w:hAnsi="宋体"/>
                <w:sz w:val="24"/>
                <w:lang w:val="en-US" w:eastAsia="zh-CN"/>
              </w:rPr>
              <w:t>12</w:t>
            </w:r>
            <w:r>
              <w:rPr>
                <w:rFonts w:hAnsi="宋体"/>
                <w:sz w:val="24"/>
              </w:rPr>
              <w:t>日以</w:t>
            </w:r>
            <w:r>
              <w:rPr>
                <w:rFonts w:hint="eastAsia" w:hAnsi="宋体"/>
                <w:sz w:val="24"/>
              </w:rPr>
              <w:t>“</w:t>
            </w:r>
            <w:r>
              <w:rPr>
                <w:rFonts w:hint="eastAsia" w:hAnsi="宋体"/>
                <w:sz w:val="24"/>
                <w:lang w:eastAsia="zh-CN"/>
              </w:rPr>
              <w:t>资行审批</w:t>
            </w:r>
            <w:r>
              <w:rPr>
                <w:rFonts w:hint="eastAsia" w:hAnsi="宋体"/>
                <w:sz w:val="24"/>
              </w:rPr>
              <w:t>[20</w:t>
            </w:r>
            <w:r>
              <w:rPr>
                <w:rFonts w:hint="eastAsia" w:hAnsi="宋体"/>
                <w:sz w:val="24"/>
                <w:lang w:val="en-US" w:eastAsia="zh-CN"/>
              </w:rPr>
              <w:t>20</w:t>
            </w:r>
            <w:r>
              <w:rPr>
                <w:rFonts w:hint="eastAsia" w:hAnsi="宋体"/>
                <w:sz w:val="24"/>
              </w:rPr>
              <w:t>]</w:t>
            </w:r>
            <w:r>
              <w:rPr>
                <w:rFonts w:hint="eastAsia" w:hAnsi="宋体"/>
                <w:sz w:val="24"/>
                <w:lang w:val="en-US" w:eastAsia="zh-CN"/>
              </w:rPr>
              <w:t>467</w:t>
            </w:r>
            <w:r>
              <w:rPr>
                <w:rFonts w:hint="eastAsia" w:hAnsi="宋体"/>
                <w:sz w:val="24"/>
              </w:rPr>
              <w:t>号”文</w:t>
            </w:r>
            <w:r>
              <w:rPr>
                <w:rFonts w:hAnsi="宋体"/>
                <w:sz w:val="24"/>
              </w:rPr>
              <w:t>予以批复。在主体工程建设期间，环境保护设施做到了与主体工程同时设计、同时施工、同时运行，按照有关要求严格执行</w:t>
            </w:r>
            <w:r>
              <w:rPr>
                <w:rFonts w:hint="eastAsia" w:hAnsi="宋体"/>
                <w:sz w:val="24"/>
              </w:rPr>
              <w:t>“</w:t>
            </w:r>
            <w:r>
              <w:rPr>
                <w:rFonts w:hAnsi="宋体"/>
                <w:sz w:val="24"/>
              </w:rPr>
              <w:t>三同时</w:t>
            </w:r>
            <w:r>
              <w:rPr>
                <w:rFonts w:hint="eastAsia" w:hAnsi="宋体"/>
                <w:sz w:val="24"/>
              </w:rPr>
              <w:t>”</w:t>
            </w:r>
            <w:r>
              <w:rPr>
                <w:rFonts w:hAnsi="宋体"/>
                <w:sz w:val="24"/>
              </w:rPr>
              <w:t>制度。</w:t>
            </w:r>
          </w:p>
          <w:p>
            <w:pPr>
              <w:spacing w:line="360" w:lineRule="auto"/>
              <w:ind w:firstLine="480" w:firstLineChars="200"/>
              <w:jc w:val="left"/>
              <w:rPr>
                <w:rFonts w:hAnsi="宋体"/>
                <w:sz w:val="24"/>
              </w:rPr>
            </w:pPr>
            <w:r>
              <w:rPr>
                <w:rFonts w:hAnsi="宋体"/>
                <w:sz w:val="24"/>
                <w:highlight w:val="none"/>
              </w:rPr>
              <w:t>20</w:t>
            </w:r>
            <w:r>
              <w:rPr>
                <w:rFonts w:hint="eastAsia" w:hAnsi="宋体"/>
                <w:sz w:val="24"/>
                <w:highlight w:val="none"/>
                <w:lang w:val="en-US" w:eastAsia="zh-CN"/>
              </w:rPr>
              <w:t>20</w:t>
            </w:r>
            <w:r>
              <w:rPr>
                <w:rFonts w:hAnsi="宋体"/>
                <w:sz w:val="24"/>
                <w:highlight w:val="none"/>
              </w:rPr>
              <w:t>年</w:t>
            </w:r>
            <w:r>
              <w:rPr>
                <w:rFonts w:hint="eastAsia" w:hAnsi="宋体"/>
                <w:sz w:val="24"/>
                <w:highlight w:val="none"/>
                <w:lang w:val="en-US" w:eastAsia="zh-CN"/>
              </w:rPr>
              <w:t>12</w:t>
            </w:r>
            <w:r>
              <w:rPr>
                <w:rFonts w:hAnsi="宋体"/>
                <w:sz w:val="24"/>
                <w:highlight w:val="none"/>
              </w:rPr>
              <w:t>月</w:t>
            </w:r>
            <w:r>
              <w:rPr>
                <w:rFonts w:hint="eastAsia" w:hAnsi="宋体"/>
                <w:sz w:val="24"/>
                <w:highlight w:val="none"/>
                <w:lang w:val="en-US" w:eastAsia="zh-CN"/>
              </w:rPr>
              <w:t>20</w:t>
            </w:r>
            <w:r>
              <w:rPr>
                <w:rFonts w:hint="eastAsia" w:hAnsi="宋体"/>
                <w:sz w:val="24"/>
                <w:highlight w:val="none"/>
              </w:rPr>
              <w:t>日</w:t>
            </w:r>
            <w:r>
              <w:rPr>
                <w:rFonts w:hint="eastAsia" w:hAnsi="宋体"/>
                <w:sz w:val="24"/>
              </w:rPr>
              <w:t>，中国石化销售股份有限公司江西抚州资溪石油分公司</w:t>
            </w:r>
            <w:r>
              <w:rPr>
                <w:rFonts w:hAnsi="宋体"/>
                <w:sz w:val="24"/>
              </w:rPr>
              <w:t>委托</w:t>
            </w:r>
            <w:r>
              <w:rPr>
                <w:rFonts w:hint="eastAsia" w:hAnsi="宋体"/>
                <w:sz w:val="24"/>
              </w:rPr>
              <w:t>江西省</w:t>
            </w:r>
            <w:r>
              <w:rPr>
                <w:rFonts w:hAnsi="宋体"/>
                <w:sz w:val="24"/>
              </w:rPr>
              <w:t>粤环科检测技术有限公司对</w:t>
            </w:r>
            <w:r>
              <w:rPr>
                <w:rFonts w:hint="eastAsia" w:hAnsi="宋体"/>
                <w:sz w:val="24"/>
              </w:rPr>
              <w:t>本项目</w:t>
            </w:r>
            <w:r>
              <w:rPr>
                <w:rFonts w:hAnsi="宋体"/>
                <w:sz w:val="24"/>
              </w:rPr>
              <w:t>进行验收监测。</w:t>
            </w:r>
          </w:p>
          <w:p>
            <w:pPr>
              <w:spacing w:line="360" w:lineRule="auto"/>
              <w:ind w:firstLine="482" w:firstLineChars="200"/>
              <w:rPr>
                <w:rFonts w:hAnsi="宋体"/>
                <w:color w:val="000000"/>
                <w:sz w:val="24"/>
              </w:rPr>
            </w:pPr>
            <w:r>
              <w:rPr>
                <w:rFonts w:hAnsi="宋体"/>
                <w:b/>
                <w:color w:val="000000"/>
                <w:sz w:val="24"/>
              </w:rPr>
              <w:t>（</w:t>
            </w:r>
            <w:r>
              <w:rPr>
                <w:b/>
                <w:color w:val="000000"/>
                <w:sz w:val="24"/>
              </w:rPr>
              <w:t>2</w:t>
            </w:r>
            <w:r>
              <w:rPr>
                <w:rFonts w:hAnsi="宋体"/>
                <w:b/>
                <w:color w:val="000000"/>
                <w:sz w:val="24"/>
              </w:rPr>
              <w:t>）环评批复落实情况</w:t>
            </w:r>
            <w:r>
              <w:rPr>
                <w:rFonts w:hAnsi="宋体"/>
                <w:color w:val="000000"/>
                <w:sz w:val="24"/>
              </w:rPr>
              <w:t>：本项目环评批复落实情况见表</w:t>
            </w:r>
            <w:r>
              <w:rPr>
                <w:rFonts w:hint="eastAsia"/>
                <w:color w:val="000000"/>
                <w:sz w:val="24"/>
              </w:rPr>
              <w:t>8</w:t>
            </w:r>
            <w:r>
              <w:rPr>
                <w:color w:val="000000"/>
                <w:sz w:val="24"/>
              </w:rPr>
              <w:t>-1</w:t>
            </w:r>
            <w:r>
              <w:rPr>
                <w:rFonts w:hAnsi="宋体"/>
                <w:color w:val="000000"/>
                <w:sz w:val="24"/>
              </w:rPr>
              <w:t>：</w:t>
            </w:r>
          </w:p>
          <w:p>
            <w:pPr>
              <w:spacing w:line="360" w:lineRule="auto"/>
              <w:jc w:val="center"/>
              <w:rPr>
                <w:b/>
                <w:color w:val="000000"/>
                <w:szCs w:val="21"/>
              </w:rPr>
            </w:pPr>
            <w:r>
              <w:rPr>
                <w:rFonts w:hAnsi="宋体"/>
                <w:b/>
                <w:color w:val="000000"/>
                <w:szCs w:val="21"/>
              </w:rPr>
              <w:t>表</w:t>
            </w:r>
            <w:r>
              <w:rPr>
                <w:rFonts w:hint="eastAsia" w:hAnsi="宋体"/>
                <w:b/>
                <w:color w:val="000000"/>
                <w:szCs w:val="21"/>
              </w:rPr>
              <w:t>8</w:t>
            </w:r>
            <w:r>
              <w:rPr>
                <w:b/>
                <w:color w:val="000000"/>
                <w:szCs w:val="21"/>
              </w:rPr>
              <w:t xml:space="preserve">-1  </w:t>
            </w:r>
            <w:r>
              <w:rPr>
                <w:rFonts w:hAnsi="宋体"/>
                <w:b/>
                <w:color w:val="000000"/>
                <w:szCs w:val="21"/>
              </w:rPr>
              <w:t>对环评批复落实情况</w:t>
            </w:r>
          </w:p>
          <w:tbl>
            <w:tblPr>
              <w:tblStyle w:val="24"/>
              <w:tblW w:w="90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0"/>
              <w:gridCol w:w="3742"/>
              <w:gridCol w:w="3742"/>
              <w:gridCol w:w="6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850" w:type="dxa"/>
                  <w:vAlign w:val="center"/>
                </w:tcPr>
                <w:p>
                  <w:pPr>
                    <w:spacing w:before="12" w:beforeLines="5" w:after="12" w:afterLines="5" w:line="240" w:lineRule="exact"/>
                    <w:ind w:left="-105" w:leftChars="-50" w:right="-105" w:rightChars="-50"/>
                    <w:jc w:val="center"/>
                    <w:rPr>
                      <w:b/>
                      <w:color w:val="000000"/>
                      <w:szCs w:val="21"/>
                    </w:rPr>
                  </w:pPr>
                  <w:r>
                    <w:rPr>
                      <w:rFonts w:hint="eastAsia"/>
                      <w:b/>
                      <w:color w:val="000000"/>
                      <w:szCs w:val="21"/>
                    </w:rPr>
                    <w:t>类型</w:t>
                  </w:r>
                </w:p>
              </w:tc>
              <w:tc>
                <w:tcPr>
                  <w:tcW w:w="3742" w:type="dxa"/>
                  <w:vAlign w:val="center"/>
                </w:tcPr>
                <w:p>
                  <w:pPr>
                    <w:spacing w:before="12" w:beforeLines="5" w:after="12" w:afterLines="5" w:line="240" w:lineRule="exact"/>
                    <w:jc w:val="center"/>
                    <w:rPr>
                      <w:b/>
                      <w:color w:val="000000"/>
                      <w:szCs w:val="21"/>
                    </w:rPr>
                  </w:pPr>
                  <w:r>
                    <w:rPr>
                      <w:b/>
                      <w:color w:val="000000"/>
                      <w:szCs w:val="21"/>
                    </w:rPr>
                    <w:t>环评批复要求</w:t>
                  </w:r>
                </w:p>
              </w:tc>
              <w:tc>
                <w:tcPr>
                  <w:tcW w:w="3742" w:type="dxa"/>
                  <w:vAlign w:val="center"/>
                </w:tcPr>
                <w:p>
                  <w:pPr>
                    <w:spacing w:before="12" w:beforeLines="5" w:after="12" w:afterLines="5" w:line="240" w:lineRule="exact"/>
                    <w:jc w:val="center"/>
                    <w:rPr>
                      <w:b/>
                      <w:color w:val="000000"/>
                      <w:szCs w:val="21"/>
                    </w:rPr>
                  </w:pPr>
                  <w:r>
                    <w:rPr>
                      <w:b/>
                      <w:color w:val="000000"/>
                      <w:szCs w:val="21"/>
                    </w:rPr>
                    <w:t>执行情况</w:t>
                  </w:r>
                </w:p>
              </w:tc>
              <w:tc>
                <w:tcPr>
                  <w:tcW w:w="680" w:type="dxa"/>
                  <w:vAlign w:val="center"/>
                </w:tcPr>
                <w:p>
                  <w:pPr>
                    <w:spacing w:before="12" w:beforeLines="5" w:after="12" w:afterLines="5" w:line="240" w:lineRule="exact"/>
                    <w:jc w:val="center"/>
                    <w:rPr>
                      <w:b/>
                      <w:color w:val="000000"/>
                      <w:szCs w:val="21"/>
                    </w:rPr>
                  </w:pPr>
                  <w:r>
                    <w:rPr>
                      <w:rFonts w:hint="eastAsia"/>
                      <w:b/>
                      <w:color w:val="000000"/>
                      <w:szCs w:val="21"/>
                    </w:rPr>
                    <w:t>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850" w:type="dxa"/>
                  <w:vAlign w:val="center"/>
                </w:tcPr>
                <w:p>
                  <w:pPr>
                    <w:spacing w:before="12" w:beforeLines="5" w:after="12" w:afterLines="5"/>
                    <w:jc w:val="center"/>
                    <w:rPr>
                      <w:bCs/>
                      <w:szCs w:val="21"/>
                    </w:rPr>
                  </w:pPr>
                  <w:r>
                    <w:rPr>
                      <w:rFonts w:hint="eastAsia"/>
                      <w:bCs/>
                      <w:szCs w:val="21"/>
                    </w:rPr>
                    <w:t>废水</w:t>
                  </w:r>
                </w:p>
              </w:tc>
              <w:tc>
                <w:tcPr>
                  <w:tcW w:w="3742" w:type="dxa"/>
                  <w:vAlign w:val="center"/>
                </w:tcPr>
                <w:p>
                  <w:pPr>
                    <w:spacing w:before="12" w:beforeLines="5" w:after="12" w:afterLines="5"/>
                    <w:jc w:val="center"/>
                    <w:rPr>
                      <w:color w:val="000000"/>
                      <w:szCs w:val="21"/>
                      <w:highlight w:val="yellow"/>
                    </w:rPr>
                  </w:pPr>
                  <w:r>
                    <w:rPr>
                      <w:rFonts w:hint="eastAsia"/>
                      <w:sz w:val="21"/>
                      <w:szCs w:val="21"/>
                      <w:highlight w:val="none"/>
                      <w:lang w:eastAsia="zh-CN"/>
                    </w:rPr>
                    <w:t>项目废水为生活污水、地面冲洗废水及洗车废水，主要污染物为</w:t>
                  </w:r>
                  <w:r>
                    <w:rPr>
                      <w:rFonts w:hint="eastAsia"/>
                      <w:sz w:val="21"/>
                      <w:szCs w:val="21"/>
                      <w:highlight w:val="none"/>
                      <w:lang w:val="en-US" w:eastAsia="zh-CN"/>
                    </w:rPr>
                    <w:t>pH、CODcr、BOD</w:t>
                  </w:r>
                  <w:r>
                    <w:rPr>
                      <w:rFonts w:hint="eastAsia"/>
                      <w:sz w:val="21"/>
                      <w:szCs w:val="21"/>
                      <w:highlight w:val="none"/>
                      <w:vertAlign w:val="subscript"/>
                      <w:lang w:val="en-US" w:eastAsia="zh-CN"/>
                    </w:rPr>
                    <w:t>5</w:t>
                  </w:r>
                  <w:r>
                    <w:rPr>
                      <w:rFonts w:hint="eastAsia"/>
                      <w:sz w:val="21"/>
                      <w:szCs w:val="21"/>
                      <w:highlight w:val="none"/>
                      <w:vertAlign w:val="baseline"/>
                      <w:lang w:val="en-US" w:eastAsia="zh-CN"/>
                    </w:rPr>
                    <w:t>、SS、氨氮、石油类。项目洗车废水循环使用不外排，地面冲洗废水经隔油沉淀池处理后与生化污水经化粪池处理后达到资溪县城市污水处理厂接管标准后排入资溪县城市污水处理厂深度处理，达到《城镇污水处理厂污染物排放标准》一级A标准，尾水最终排入泸溪河。</w:t>
                  </w:r>
                </w:p>
              </w:tc>
              <w:tc>
                <w:tcPr>
                  <w:tcW w:w="3742" w:type="dxa"/>
                  <w:vAlign w:val="center"/>
                </w:tcPr>
                <w:p>
                  <w:pPr>
                    <w:spacing w:before="12" w:beforeLines="5" w:after="12" w:afterLines="5"/>
                    <w:jc w:val="center"/>
                    <w:rPr>
                      <w:color w:val="000000"/>
                      <w:szCs w:val="21"/>
                    </w:rPr>
                  </w:pPr>
                  <w:r>
                    <w:rPr>
                      <w:rFonts w:hint="eastAsia"/>
                      <w:sz w:val="21"/>
                      <w:szCs w:val="21"/>
                      <w:highlight w:val="none"/>
                      <w:lang w:eastAsia="zh-CN"/>
                    </w:rPr>
                    <w:t>项目废水为生活污水、地面冲洗废水，主要污染物为</w:t>
                  </w:r>
                  <w:r>
                    <w:rPr>
                      <w:rFonts w:hint="eastAsia"/>
                      <w:sz w:val="21"/>
                      <w:szCs w:val="21"/>
                      <w:highlight w:val="none"/>
                      <w:lang w:val="en-US" w:eastAsia="zh-CN"/>
                    </w:rPr>
                    <w:t>pH、CODcr、BOD</w:t>
                  </w:r>
                  <w:r>
                    <w:rPr>
                      <w:rFonts w:hint="eastAsia"/>
                      <w:sz w:val="21"/>
                      <w:szCs w:val="21"/>
                      <w:highlight w:val="none"/>
                      <w:vertAlign w:val="subscript"/>
                      <w:lang w:val="en-US" w:eastAsia="zh-CN"/>
                    </w:rPr>
                    <w:t>5</w:t>
                  </w:r>
                  <w:r>
                    <w:rPr>
                      <w:rFonts w:hint="eastAsia"/>
                      <w:sz w:val="21"/>
                      <w:szCs w:val="21"/>
                      <w:highlight w:val="none"/>
                      <w:vertAlign w:val="baseline"/>
                      <w:lang w:val="en-US" w:eastAsia="zh-CN"/>
                    </w:rPr>
                    <w:t>、SS、氨氮、石油类。项目目前暂没有洗车房；地面冲洗废水经隔油沉淀池处理后与生化污水经化粪池处理后达到资溪县城市污水处理厂接管标准后排入资溪县城市污水处理厂深度处理。</w:t>
                  </w:r>
                </w:p>
              </w:tc>
              <w:tc>
                <w:tcPr>
                  <w:tcW w:w="680" w:type="dxa"/>
                  <w:vAlign w:val="center"/>
                </w:tcPr>
                <w:p>
                  <w:pPr>
                    <w:spacing w:before="12" w:beforeLines="5" w:after="12" w:afterLines="5" w:line="240" w:lineRule="exact"/>
                    <w:jc w:val="center"/>
                    <w:rPr>
                      <w:bCs/>
                      <w:color w:val="000000"/>
                      <w:szCs w:val="21"/>
                    </w:rPr>
                  </w:pPr>
                  <w:r>
                    <w:rPr>
                      <w:rFonts w:hint="eastAsia"/>
                      <w:bCs/>
                      <w:color w:val="000000"/>
                      <w:szCs w:val="21"/>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850" w:type="dxa"/>
                  <w:vAlign w:val="center"/>
                </w:tcPr>
                <w:p>
                  <w:pPr>
                    <w:spacing w:before="12" w:beforeLines="5" w:after="12" w:afterLines="5"/>
                    <w:jc w:val="center"/>
                    <w:rPr>
                      <w:color w:val="000000"/>
                      <w:szCs w:val="21"/>
                    </w:rPr>
                  </w:pPr>
                  <w:r>
                    <w:rPr>
                      <w:color w:val="000000"/>
                      <w:szCs w:val="21"/>
                    </w:rPr>
                    <w:t>废气</w:t>
                  </w:r>
                </w:p>
              </w:tc>
              <w:tc>
                <w:tcPr>
                  <w:tcW w:w="3742" w:type="dxa"/>
                  <w:vAlign w:val="center"/>
                </w:tcPr>
                <w:p>
                  <w:pPr>
                    <w:spacing w:before="12" w:beforeLines="5" w:after="12" w:afterLines="5"/>
                    <w:jc w:val="center"/>
                    <w:rPr>
                      <w:color w:val="000000"/>
                      <w:szCs w:val="21"/>
                      <w:highlight w:val="yellow"/>
                    </w:rPr>
                  </w:pPr>
                  <w:r>
                    <w:rPr>
                      <w:rFonts w:hint="eastAsia"/>
                      <w:color w:val="000000"/>
                      <w:szCs w:val="21"/>
                      <w:highlight w:val="none"/>
                      <w:lang w:eastAsia="zh-CN"/>
                    </w:rPr>
                    <w:t>废气处理措施为埋地式油罐，增设呼吸阀挡板，以减少油罐大、小呼吸损耗。采用自封式加油枪、密闭加卸油油气回收系统对油罐车卸油、储油及汽车加油过程产生的油气进行回收，减少油气向外界逸散，排放浓度可满足《加油站大气污染物排放标准》（</w:t>
                  </w:r>
                  <w:r>
                    <w:rPr>
                      <w:rFonts w:hint="eastAsia"/>
                      <w:color w:val="000000"/>
                      <w:szCs w:val="21"/>
                      <w:highlight w:val="none"/>
                      <w:lang w:val="en-US" w:eastAsia="zh-CN"/>
                    </w:rPr>
                    <w:t>GB20952-2007</w:t>
                  </w:r>
                  <w:r>
                    <w:rPr>
                      <w:rFonts w:hint="eastAsia"/>
                      <w:color w:val="000000"/>
                      <w:szCs w:val="21"/>
                      <w:highlight w:val="none"/>
                      <w:lang w:eastAsia="zh-CN"/>
                    </w:rPr>
                    <w:t>）中限制要求。</w:t>
                  </w:r>
                </w:p>
              </w:tc>
              <w:tc>
                <w:tcPr>
                  <w:tcW w:w="3742" w:type="dxa"/>
                  <w:vAlign w:val="center"/>
                </w:tcPr>
                <w:p>
                  <w:pPr>
                    <w:spacing w:before="12" w:beforeLines="5" w:after="12" w:afterLines="5"/>
                    <w:jc w:val="center"/>
                    <w:rPr>
                      <w:rFonts w:hint="eastAsia" w:eastAsia="宋体"/>
                      <w:color w:val="000000"/>
                      <w:szCs w:val="21"/>
                      <w:lang w:eastAsia="zh-CN"/>
                    </w:rPr>
                  </w:pPr>
                  <w:r>
                    <w:rPr>
                      <w:color w:val="000000"/>
                      <w:szCs w:val="21"/>
                      <w:highlight w:val="none"/>
                    </w:rPr>
                    <w:t>根据</w:t>
                  </w:r>
                  <w:r>
                    <w:rPr>
                      <w:rFonts w:hint="eastAsia"/>
                      <w:color w:val="000000"/>
                      <w:szCs w:val="21"/>
                      <w:highlight w:val="none"/>
                    </w:rPr>
                    <w:t>现场勘察</w:t>
                  </w:r>
                  <w:r>
                    <w:rPr>
                      <w:color w:val="000000"/>
                      <w:szCs w:val="21"/>
                      <w:highlight w:val="none"/>
                    </w:rPr>
                    <w:t>情况，</w:t>
                  </w:r>
                  <w:r>
                    <w:rPr>
                      <w:rFonts w:hint="eastAsia"/>
                      <w:color w:val="000000"/>
                      <w:szCs w:val="21"/>
                      <w:highlight w:val="none"/>
                    </w:rPr>
                    <w:t>项目采用地埋式</w:t>
                  </w:r>
                  <w:r>
                    <w:rPr>
                      <w:rFonts w:hint="eastAsia"/>
                      <w:color w:val="000000"/>
                      <w:szCs w:val="21"/>
                      <w:highlight w:val="none"/>
                      <w:lang w:val="en-US" w:eastAsia="zh-CN"/>
                    </w:rPr>
                    <w:t>SF双层</w:t>
                  </w:r>
                  <w:r>
                    <w:rPr>
                      <w:rFonts w:hint="eastAsia"/>
                      <w:color w:val="000000"/>
                      <w:szCs w:val="21"/>
                      <w:highlight w:val="none"/>
                    </w:rPr>
                    <w:t>储油罐，由于该罐密闭性较好，储罐埋于地下，储油罐罐室内气温比较稳定，受大气环境稳定影响较小，减少油罐小呼吸蒸发损耗，延缓油品变质，另增设呼吸阀挡板，以减少油罐大、小呼吸损耗。加油站采用自封式加油枪及密闭卸油等方式，可以一定程度上减少非甲烷总烃的排放。为了进一步减少项目卸油、储油、加油工序中油气逸散状况的发生，加油站采用油气回收系统对油罐车卸油、储油及汽车加油过程产生的油气进行回收，减少油气向外界逸散</w:t>
                  </w:r>
                  <w:r>
                    <w:rPr>
                      <w:rFonts w:hint="eastAsia"/>
                      <w:color w:val="000000"/>
                      <w:szCs w:val="21"/>
                      <w:highlight w:val="none"/>
                      <w:lang w:eastAsia="zh-CN"/>
                    </w:rPr>
                    <w:t>。</w:t>
                  </w:r>
                </w:p>
              </w:tc>
              <w:tc>
                <w:tcPr>
                  <w:tcW w:w="680" w:type="dxa"/>
                  <w:vAlign w:val="center"/>
                </w:tcPr>
                <w:p>
                  <w:pPr>
                    <w:spacing w:before="12" w:beforeLines="5" w:after="12" w:afterLines="5" w:line="240" w:lineRule="exact"/>
                    <w:jc w:val="center"/>
                    <w:rPr>
                      <w:bCs/>
                      <w:color w:val="000000"/>
                      <w:szCs w:val="21"/>
                    </w:rPr>
                  </w:pPr>
                  <w:r>
                    <w:rPr>
                      <w:rFonts w:hint="eastAsia"/>
                      <w:bCs/>
                      <w:color w:val="000000"/>
                      <w:szCs w:val="21"/>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2" w:hRule="atLeast"/>
                <w:jc w:val="center"/>
              </w:trPr>
              <w:tc>
                <w:tcPr>
                  <w:tcW w:w="850" w:type="dxa"/>
                  <w:vAlign w:val="center"/>
                </w:tcPr>
                <w:p>
                  <w:pPr>
                    <w:spacing w:before="12" w:beforeLines="5" w:after="12" w:afterLines="5"/>
                    <w:jc w:val="center"/>
                    <w:rPr>
                      <w:color w:val="000000"/>
                      <w:szCs w:val="21"/>
                    </w:rPr>
                  </w:pPr>
                  <w:r>
                    <w:rPr>
                      <w:color w:val="000000"/>
                      <w:szCs w:val="21"/>
                    </w:rPr>
                    <w:t>噪声</w:t>
                  </w:r>
                </w:p>
              </w:tc>
              <w:tc>
                <w:tcPr>
                  <w:tcW w:w="3742" w:type="dxa"/>
                  <w:vAlign w:val="center"/>
                </w:tcPr>
                <w:p>
                  <w:pPr>
                    <w:spacing w:before="12" w:beforeLines="5" w:after="12" w:afterLines="5"/>
                    <w:jc w:val="center"/>
                    <w:rPr>
                      <w:color w:val="000000"/>
                      <w:szCs w:val="21"/>
                      <w:highlight w:val="yellow"/>
                    </w:rPr>
                  </w:pPr>
                  <w:r>
                    <w:rPr>
                      <w:rFonts w:hint="eastAsia"/>
                      <w:color w:val="000000"/>
                      <w:szCs w:val="21"/>
                      <w:highlight w:val="none"/>
                    </w:rPr>
                    <w:t>本项目噪声源来自于</w:t>
                  </w:r>
                  <w:r>
                    <w:rPr>
                      <w:rFonts w:hint="eastAsia"/>
                      <w:color w:val="000000"/>
                      <w:szCs w:val="21"/>
                      <w:highlight w:val="none"/>
                      <w:lang w:eastAsia="zh-CN"/>
                    </w:rPr>
                    <w:t>加油机</w:t>
                  </w:r>
                  <w:r>
                    <w:rPr>
                      <w:rFonts w:hint="eastAsia"/>
                      <w:color w:val="000000"/>
                      <w:szCs w:val="21"/>
                      <w:highlight w:val="none"/>
                    </w:rPr>
                    <w:t>泵类、车辆过往产生的噪声。</w:t>
                  </w:r>
                  <w:r>
                    <w:rPr>
                      <w:rFonts w:hint="eastAsia"/>
                      <w:color w:val="000000"/>
                      <w:szCs w:val="21"/>
                      <w:highlight w:val="none"/>
                      <w:lang w:eastAsia="zh-CN"/>
                    </w:rPr>
                    <w:t>噪声强度约为</w:t>
                  </w:r>
                  <w:r>
                    <w:rPr>
                      <w:rFonts w:hint="eastAsia"/>
                      <w:color w:val="000000"/>
                      <w:szCs w:val="21"/>
                      <w:highlight w:val="none"/>
                      <w:lang w:val="en-US" w:eastAsia="zh-CN"/>
                    </w:rPr>
                    <w:t>65-75dB（A）。加强管理，控制进出车辆的车速，加油机等设备</w:t>
                  </w:r>
                  <w:r>
                    <w:rPr>
                      <w:rFonts w:hint="eastAsia"/>
                      <w:color w:val="000000"/>
                      <w:szCs w:val="21"/>
                      <w:highlight w:val="none"/>
                    </w:rPr>
                    <w:t>采取减霞、隔声等噪声治理措施，运行期厂界噪声须满足《工业企业厂界环境噪声排放标准》(GB12348-2008)中2类及4类标准。</w:t>
                  </w:r>
                </w:p>
              </w:tc>
              <w:tc>
                <w:tcPr>
                  <w:tcW w:w="3742" w:type="dxa"/>
                  <w:vAlign w:val="center"/>
                </w:tcPr>
                <w:p>
                  <w:pPr>
                    <w:spacing w:before="12" w:beforeLines="5" w:after="12" w:afterLines="5"/>
                    <w:jc w:val="center"/>
                    <w:rPr>
                      <w:color w:val="000000"/>
                      <w:szCs w:val="21"/>
                    </w:rPr>
                  </w:pPr>
                  <w:r>
                    <w:rPr>
                      <w:rFonts w:hint="eastAsia"/>
                      <w:color w:val="000000"/>
                      <w:szCs w:val="21"/>
                      <w:highlight w:val="none"/>
                      <w:lang w:val="en-US" w:eastAsia="zh-CN"/>
                    </w:rPr>
                    <w:t>加强管理，控制进出车辆的车速，加油机等设备</w:t>
                  </w:r>
                  <w:r>
                    <w:rPr>
                      <w:rFonts w:hint="eastAsia"/>
                      <w:color w:val="000000"/>
                      <w:szCs w:val="21"/>
                      <w:highlight w:val="none"/>
                    </w:rPr>
                    <w:t>采取减霞、隔声等噪声治理措施，运行期厂界噪声满足《工业企业厂界环境噪声排放标准》(GB12348-2008)中2类及4类标准。</w:t>
                  </w:r>
                </w:p>
              </w:tc>
              <w:tc>
                <w:tcPr>
                  <w:tcW w:w="680" w:type="dxa"/>
                  <w:vAlign w:val="center"/>
                </w:tcPr>
                <w:p>
                  <w:pPr>
                    <w:spacing w:before="12" w:beforeLines="5" w:after="12" w:afterLines="5" w:line="240" w:lineRule="exact"/>
                    <w:jc w:val="center"/>
                    <w:rPr>
                      <w:bCs/>
                      <w:color w:val="000000"/>
                      <w:szCs w:val="21"/>
                    </w:rPr>
                  </w:pPr>
                  <w:r>
                    <w:rPr>
                      <w:rFonts w:hint="eastAsia"/>
                      <w:bCs/>
                      <w:color w:val="000000"/>
                      <w:szCs w:val="21"/>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850" w:type="dxa"/>
                  <w:vAlign w:val="center"/>
                </w:tcPr>
                <w:p>
                  <w:pPr>
                    <w:spacing w:before="12" w:beforeLines="5" w:after="12" w:afterLines="5"/>
                    <w:jc w:val="center"/>
                    <w:rPr>
                      <w:color w:val="000000"/>
                      <w:szCs w:val="21"/>
                    </w:rPr>
                  </w:pPr>
                  <w:r>
                    <w:rPr>
                      <w:color w:val="000000"/>
                      <w:szCs w:val="21"/>
                    </w:rPr>
                    <w:t>固体废物</w:t>
                  </w:r>
                </w:p>
              </w:tc>
              <w:tc>
                <w:tcPr>
                  <w:tcW w:w="3742" w:type="dxa"/>
                  <w:vAlign w:val="center"/>
                </w:tcPr>
                <w:p>
                  <w:pPr>
                    <w:spacing w:before="12" w:beforeLines="5" w:after="12" w:afterLines="5"/>
                    <w:jc w:val="center"/>
                    <w:rPr>
                      <w:color w:val="000000"/>
                      <w:szCs w:val="21"/>
                      <w:highlight w:val="yellow"/>
                    </w:rPr>
                  </w:pPr>
                  <w:r>
                    <w:rPr>
                      <w:rFonts w:hint="eastAsia"/>
                      <w:color w:val="000000"/>
                      <w:szCs w:val="21"/>
                      <w:highlight w:val="none"/>
                      <w:lang w:eastAsia="zh-CN"/>
                    </w:rPr>
                    <w:t>固体废物按“资源化、减量化、无害化”原则处置和综合利用。运营期固废主要有储罐渣、隔油池污泥以及生活垃圾。储罐渣和隔油池污泥属于危险固废，收集后委托有资质单位处理。</w:t>
                  </w:r>
                  <w:r>
                    <w:rPr>
                      <w:rFonts w:hint="eastAsia"/>
                      <w:color w:val="000000"/>
                      <w:szCs w:val="21"/>
                      <w:highlight w:val="none"/>
                    </w:rPr>
                    <w:t>危险废物</w:t>
                  </w:r>
                  <w:r>
                    <w:rPr>
                      <w:rFonts w:hint="eastAsia"/>
                      <w:color w:val="000000"/>
                      <w:szCs w:val="21"/>
                      <w:highlight w:val="none"/>
                      <w:lang w:eastAsia="zh-CN"/>
                    </w:rPr>
                    <w:t>贮存</w:t>
                  </w:r>
                  <w:r>
                    <w:rPr>
                      <w:rFonts w:hint="eastAsia"/>
                      <w:color w:val="000000"/>
                      <w:szCs w:val="21"/>
                      <w:highlight w:val="none"/>
                    </w:rPr>
                    <w:t>应</w:t>
                  </w:r>
                  <w:r>
                    <w:rPr>
                      <w:rFonts w:hint="eastAsia"/>
                      <w:color w:val="000000"/>
                      <w:szCs w:val="21"/>
                      <w:highlight w:val="none"/>
                      <w:lang w:eastAsia="zh-CN"/>
                    </w:rPr>
                    <w:t>严格按照</w:t>
                  </w:r>
                  <w:r>
                    <w:rPr>
                      <w:rFonts w:hint="eastAsia"/>
                      <w:color w:val="000000"/>
                      <w:szCs w:val="21"/>
                      <w:highlight w:val="none"/>
                    </w:rPr>
                    <w:t>《危险废物贮存控制标准》(GB18597-2001)</w:t>
                  </w:r>
                  <w:r>
                    <w:rPr>
                      <w:rFonts w:hint="eastAsia"/>
                      <w:color w:val="000000"/>
                      <w:szCs w:val="21"/>
                      <w:highlight w:val="none"/>
                      <w:lang w:eastAsia="zh-CN"/>
                    </w:rPr>
                    <w:t>及其修改单实行</w:t>
                  </w:r>
                  <w:r>
                    <w:rPr>
                      <w:rFonts w:hint="eastAsia"/>
                      <w:color w:val="000000"/>
                      <w:szCs w:val="21"/>
                      <w:highlight w:val="none"/>
                    </w:rPr>
                    <w:t>。</w:t>
                  </w:r>
                </w:p>
              </w:tc>
              <w:tc>
                <w:tcPr>
                  <w:tcW w:w="3742" w:type="dxa"/>
                  <w:vAlign w:val="center"/>
                </w:tcPr>
                <w:p>
                  <w:pPr>
                    <w:spacing w:before="12" w:beforeLines="5" w:after="12" w:afterLines="5"/>
                    <w:jc w:val="center"/>
                    <w:rPr>
                      <w:color w:val="000000"/>
                      <w:szCs w:val="21"/>
                    </w:rPr>
                  </w:pPr>
                  <w:r>
                    <w:rPr>
                      <w:rFonts w:hint="eastAsia"/>
                      <w:color w:val="auto"/>
                      <w:szCs w:val="21"/>
                      <w:highlight w:val="none"/>
                      <w:lang w:eastAsia="zh-CN"/>
                    </w:rPr>
                    <w:t>运营期固废主要有储罐渣、隔油池污泥以及生活垃圾。</w:t>
                  </w:r>
                  <w:r>
                    <w:rPr>
                      <w:rFonts w:hint="eastAsia"/>
                      <w:color w:val="000000"/>
                      <w:szCs w:val="21"/>
                      <w:highlight w:val="none"/>
                      <w:lang w:eastAsia="zh-CN"/>
                    </w:rPr>
                    <w:t>生活垃圾收集后交由当地环卫部门处理；储罐渣、隔油池污泥</w:t>
                  </w:r>
                  <w:r>
                    <w:rPr>
                      <w:rFonts w:hint="eastAsia" w:eastAsia="宋体"/>
                      <w:highlight w:val="none"/>
                      <w:lang w:eastAsia="zh-CN"/>
                    </w:rPr>
                    <w:t>定期由中国石化销售股份有限公司江西抚州石油分公司统一收集，然后</w:t>
                  </w:r>
                  <w:r>
                    <w:rPr>
                      <w:rFonts w:eastAsia="宋体"/>
                      <w:highlight w:val="none"/>
                    </w:rPr>
                    <w:t>交由</w:t>
                  </w:r>
                  <w:r>
                    <w:rPr>
                      <w:rFonts w:hint="eastAsia" w:eastAsia="宋体"/>
                      <w:highlight w:val="none"/>
                      <w:lang w:eastAsia="zh-CN"/>
                    </w:rPr>
                    <w:t>江西东江环保技术有限</w:t>
                  </w:r>
                  <w:r>
                    <w:rPr>
                      <w:rFonts w:eastAsia="宋体"/>
                      <w:highlight w:val="none"/>
                    </w:rPr>
                    <w:t>公司处理</w:t>
                  </w:r>
                  <w:r>
                    <w:rPr>
                      <w:rFonts w:hint="eastAsia" w:eastAsia="宋体"/>
                      <w:highlight w:val="none"/>
                      <w:lang w:eastAsia="zh-CN"/>
                    </w:rPr>
                    <w:t>，签订的危险废物处置协议见附件五。</w:t>
                  </w:r>
                </w:p>
              </w:tc>
              <w:tc>
                <w:tcPr>
                  <w:tcW w:w="680" w:type="dxa"/>
                  <w:vAlign w:val="center"/>
                </w:tcPr>
                <w:p>
                  <w:pPr>
                    <w:spacing w:before="12" w:beforeLines="5" w:after="12" w:afterLines="5" w:line="240" w:lineRule="exact"/>
                    <w:jc w:val="center"/>
                    <w:rPr>
                      <w:bCs/>
                      <w:color w:val="000000"/>
                      <w:szCs w:val="21"/>
                    </w:rPr>
                  </w:pPr>
                  <w:r>
                    <w:rPr>
                      <w:rFonts w:hint="eastAsia"/>
                      <w:bCs/>
                      <w:color w:val="000000"/>
                      <w:szCs w:val="21"/>
                    </w:rPr>
                    <w:t>已落实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850" w:type="dxa"/>
                  <w:vAlign w:val="center"/>
                </w:tcPr>
                <w:p>
                  <w:pPr>
                    <w:spacing w:before="12" w:beforeLines="5" w:after="12" w:afterLines="5"/>
                    <w:jc w:val="center"/>
                    <w:rPr>
                      <w:rFonts w:hint="eastAsia" w:eastAsia="宋体"/>
                      <w:color w:val="000000"/>
                      <w:szCs w:val="21"/>
                      <w:lang w:eastAsia="zh-CN"/>
                    </w:rPr>
                  </w:pPr>
                  <w:r>
                    <w:rPr>
                      <w:rFonts w:hint="eastAsia"/>
                      <w:szCs w:val="21"/>
                      <w:lang w:eastAsia="zh-CN"/>
                    </w:rPr>
                    <w:t>环境风险防范</w:t>
                  </w:r>
                </w:p>
              </w:tc>
              <w:tc>
                <w:tcPr>
                  <w:tcW w:w="3742" w:type="dxa"/>
                  <w:vAlign w:val="center"/>
                </w:tcPr>
                <w:p>
                  <w:pPr>
                    <w:spacing w:before="12" w:beforeLines="5" w:after="12" w:afterLines="5"/>
                    <w:jc w:val="center"/>
                    <w:rPr>
                      <w:rFonts w:hint="eastAsia" w:eastAsia="宋体"/>
                      <w:color w:val="000000"/>
                      <w:szCs w:val="21"/>
                      <w:highlight w:val="none"/>
                      <w:lang w:eastAsia="zh-CN"/>
                    </w:rPr>
                  </w:pPr>
                  <w:r>
                    <w:rPr>
                      <w:rFonts w:hint="eastAsia"/>
                      <w:color w:val="000000"/>
                      <w:szCs w:val="21"/>
                      <w:highlight w:val="none"/>
                      <w:lang w:eastAsia="zh-CN"/>
                    </w:rPr>
                    <w:t>认真制定环境风险应急预案，一旦发生环境风险事故，必须立即启动环境风险应急预案，控制并消减对外环境的污染影响。</w:t>
                  </w:r>
                </w:p>
              </w:tc>
              <w:tc>
                <w:tcPr>
                  <w:tcW w:w="3742" w:type="dxa"/>
                  <w:vAlign w:val="center"/>
                </w:tcPr>
                <w:p>
                  <w:pPr>
                    <w:spacing w:before="12" w:beforeLines="5" w:after="12" w:afterLines="5"/>
                    <w:jc w:val="center"/>
                    <w:rPr>
                      <w:rFonts w:hint="eastAsia" w:eastAsia="宋体"/>
                      <w:color w:val="000000"/>
                      <w:szCs w:val="21"/>
                      <w:lang w:eastAsia="zh-CN"/>
                    </w:rPr>
                  </w:pPr>
                  <w:r>
                    <w:rPr>
                      <w:rFonts w:hint="eastAsia"/>
                      <w:color w:val="000000"/>
                      <w:szCs w:val="21"/>
                      <w:highlight w:val="none"/>
                      <w:lang w:eastAsia="zh-CN"/>
                    </w:rPr>
                    <w:t>加油站会定期组织员工进行演习和相关知识培训。</w:t>
                  </w:r>
                </w:p>
              </w:tc>
              <w:tc>
                <w:tcPr>
                  <w:tcW w:w="680" w:type="dxa"/>
                  <w:vAlign w:val="center"/>
                </w:tcPr>
                <w:p>
                  <w:pPr>
                    <w:spacing w:before="12" w:beforeLines="5" w:after="12" w:afterLines="5" w:line="240" w:lineRule="exact"/>
                    <w:jc w:val="center"/>
                    <w:rPr>
                      <w:bCs/>
                      <w:color w:val="000000"/>
                      <w:szCs w:val="21"/>
                    </w:rPr>
                  </w:pPr>
                  <w:r>
                    <w:rPr>
                      <w:rFonts w:hint="eastAsia"/>
                      <w:bCs/>
                      <w:color w:val="000000"/>
                      <w:szCs w:val="21"/>
                      <w:lang w:eastAsia="zh-CN"/>
                    </w:rPr>
                    <w:t>基本</w:t>
                  </w:r>
                  <w:r>
                    <w:rPr>
                      <w:rFonts w:hint="eastAsia"/>
                      <w:bCs/>
                      <w:color w:val="000000"/>
                      <w:szCs w:val="21"/>
                    </w:rPr>
                    <w:t>落实</w:t>
                  </w:r>
                </w:p>
              </w:tc>
            </w:tr>
          </w:tbl>
          <w:p>
            <w:pPr>
              <w:pStyle w:val="2"/>
              <w:spacing w:after="0" w:line="360" w:lineRule="auto"/>
              <w:ind w:left="0" w:leftChars="0" w:firstLine="480" w:firstLineChars="200"/>
              <w:rPr>
                <w:color w:val="000000"/>
                <w:sz w:val="24"/>
              </w:rPr>
            </w:pPr>
          </w:p>
        </w:tc>
      </w:tr>
    </w:tbl>
    <w:p>
      <w:bookmarkStart w:id="36" w:name="_Toc52180567"/>
      <w:bookmarkStart w:id="37" w:name="_Toc3889"/>
      <w:bookmarkStart w:id="38" w:name="_Toc15376"/>
    </w:p>
    <w:p>
      <w:pPr>
        <w:pStyle w:val="21"/>
        <w:jc w:val="left"/>
      </w:pPr>
      <w:r>
        <w:t>表</w:t>
      </w:r>
      <w:r>
        <w:rPr>
          <w:rFonts w:hint="eastAsia"/>
        </w:rPr>
        <w:t xml:space="preserve">九 </w:t>
      </w:r>
      <w:r>
        <w:t>验收监测结论及建议</w:t>
      </w:r>
      <w:bookmarkEnd w:id="36"/>
      <w:bookmarkEnd w:id="37"/>
      <w:bookmarkEnd w:id="38"/>
      <w:bookmarkStart w:id="39" w:name="_Toc262478443"/>
    </w:p>
    <w:tbl>
      <w:tblPr>
        <w:tblStyle w:val="24"/>
        <w:tblW w:w="94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80" w:hRule="atLeast"/>
          <w:jc w:val="center"/>
        </w:trPr>
        <w:tc>
          <w:tcPr>
            <w:tcW w:w="9420" w:type="dxa"/>
          </w:tcPr>
          <w:p>
            <w:pPr>
              <w:spacing w:line="360" w:lineRule="auto"/>
              <w:ind w:firstLine="482" w:firstLineChars="200"/>
              <w:rPr>
                <w:b/>
                <w:bCs/>
                <w:color w:val="000000" w:themeColor="text1"/>
                <w:sz w:val="24"/>
                <w14:textFill>
                  <w14:solidFill>
                    <w14:schemeClr w14:val="tx1"/>
                  </w14:solidFill>
                </w14:textFill>
              </w:rPr>
            </w:pPr>
            <w:bookmarkStart w:id="40" w:name="_Toc36122339"/>
            <w:bookmarkStart w:id="41" w:name="_Toc36108380"/>
            <w:r>
              <w:rPr>
                <w:b/>
                <w:bCs/>
                <w:color w:val="000000" w:themeColor="text1"/>
                <w:sz w:val="24"/>
                <w14:textFill>
                  <w14:solidFill>
                    <w14:schemeClr w14:val="tx1"/>
                  </w14:solidFill>
                </w14:textFill>
              </w:rPr>
              <w:t>1</w:t>
            </w:r>
            <w:r>
              <w:rPr>
                <w:rFonts w:hint="eastAsia"/>
                <w:b/>
                <w:bCs/>
                <w:color w:val="000000" w:themeColor="text1"/>
                <w:sz w:val="24"/>
                <w14:textFill>
                  <w14:solidFill>
                    <w14:schemeClr w14:val="tx1"/>
                  </w14:solidFill>
                </w14:textFill>
              </w:rPr>
              <w:t>、</w:t>
            </w:r>
            <w:r>
              <w:rPr>
                <w:b/>
                <w:bCs/>
                <w:color w:val="000000" w:themeColor="text1"/>
                <w:sz w:val="24"/>
                <w14:textFill>
                  <w14:solidFill>
                    <w14:schemeClr w14:val="tx1"/>
                  </w14:solidFill>
                </w14:textFill>
              </w:rPr>
              <w:t>结论</w:t>
            </w:r>
            <w:bookmarkEnd w:id="39"/>
            <w:bookmarkEnd w:id="40"/>
            <w:bookmarkEnd w:id="41"/>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环境管理检查</w:t>
            </w:r>
          </w:p>
          <w:p>
            <w:pPr>
              <w:spacing w:line="360" w:lineRule="auto"/>
              <w:ind w:firstLine="480" w:firstLineChars="200"/>
              <w:rPr>
                <w:color w:val="000000" w:themeColor="text1"/>
                <w:sz w:val="24"/>
                <w14:textFill>
                  <w14:solidFill>
                    <w14:schemeClr w14:val="tx1"/>
                  </w14:solidFill>
                </w14:textFill>
              </w:rPr>
            </w:pPr>
            <w:r>
              <w:rPr>
                <w:rFonts w:hint="eastAsia" w:hAnsi="宋体"/>
                <w:sz w:val="24"/>
              </w:rPr>
              <w:t>中国石化销售股份有限公司江西抚州资溪石油分公司茶博城加油站建设项目</w:t>
            </w:r>
            <w:r>
              <w:rPr>
                <w:color w:val="000000" w:themeColor="text1"/>
                <w:sz w:val="24"/>
                <w14:textFill>
                  <w14:solidFill>
                    <w14:schemeClr w14:val="tx1"/>
                  </w14:solidFill>
                </w14:textFill>
              </w:rPr>
              <w:t>依据国家的环保法律、法规，进行了环境影响评价，按照环评报告表及环评批复的要求进行了相关的环保治理设施建设。</w:t>
            </w:r>
          </w:p>
          <w:p>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（2）</w:t>
            </w:r>
            <w:r>
              <w:rPr>
                <w:color w:val="000000" w:themeColor="text1"/>
                <w:sz w:val="24"/>
                <w:highlight w:val="none"/>
                <w14:textFill>
                  <w14:solidFill>
                    <w14:schemeClr w14:val="tx1"/>
                  </w14:solidFill>
                </w14:textFill>
              </w:rPr>
              <w:t>废水</w:t>
            </w:r>
          </w:p>
          <w:p>
            <w:pPr>
              <w:spacing w:line="360" w:lineRule="auto"/>
              <w:ind w:firstLine="480" w:firstLineChars="200"/>
              <w:rPr>
                <w:color w:val="auto"/>
                <w:sz w:val="24"/>
                <w:highlight w:val="none"/>
              </w:rPr>
            </w:pPr>
            <w:r>
              <w:rPr>
                <w:rFonts w:hint="eastAsia"/>
                <w:color w:val="000000" w:themeColor="text1"/>
                <w:sz w:val="24"/>
                <w:highlight w:val="none"/>
                <w14:textFill>
                  <w14:solidFill>
                    <w14:schemeClr w14:val="tx1"/>
                  </w14:solidFill>
                </w14:textFill>
              </w:rPr>
              <w:t>验收监测期间，</w:t>
            </w:r>
            <w:r>
              <w:rPr>
                <w:color w:val="auto"/>
                <w:sz w:val="24"/>
                <w:highlight w:val="none"/>
              </w:rPr>
              <w:t>该项目</w:t>
            </w:r>
            <w:r>
              <w:rPr>
                <w:rFonts w:hint="eastAsia"/>
                <w:color w:val="auto"/>
                <w:sz w:val="24"/>
                <w:highlight w:val="none"/>
              </w:rPr>
              <w:t>废水经</w:t>
            </w:r>
            <w:r>
              <w:rPr>
                <w:color w:val="auto"/>
                <w:sz w:val="24"/>
                <w:highlight w:val="none"/>
              </w:rPr>
              <w:t>处理后，连续两天所监测的pH</w:t>
            </w:r>
            <w:r>
              <w:rPr>
                <w:rFonts w:hint="eastAsia"/>
                <w:color w:val="auto"/>
                <w:sz w:val="24"/>
                <w:highlight w:val="none"/>
              </w:rPr>
              <w:t>为</w:t>
            </w:r>
            <w:r>
              <w:rPr>
                <w:color w:val="auto"/>
                <w:sz w:val="24"/>
                <w:highlight w:val="none"/>
              </w:rPr>
              <w:t>7.</w:t>
            </w:r>
            <w:r>
              <w:rPr>
                <w:rFonts w:hint="eastAsia"/>
                <w:color w:val="auto"/>
                <w:sz w:val="24"/>
                <w:highlight w:val="none"/>
                <w:lang w:val="en-US" w:eastAsia="zh-CN"/>
              </w:rPr>
              <w:t>48</w:t>
            </w:r>
            <w:r>
              <w:rPr>
                <w:color w:val="auto"/>
                <w:sz w:val="24"/>
                <w:highlight w:val="none"/>
              </w:rPr>
              <w:t>~7.</w:t>
            </w:r>
            <w:r>
              <w:rPr>
                <w:rFonts w:hint="eastAsia"/>
                <w:color w:val="auto"/>
                <w:sz w:val="24"/>
                <w:highlight w:val="none"/>
                <w:lang w:val="en-US" w:eastAsia="zh-CN"/>
              </w:rPr>
              <w:t>60</w:t>
            </w:r>
            <w:r>
              <w:rPr>
                <w:rFonts w:hint="eastAsia"/>
                <w:color w:val="auto"/>
                <w:sz w:val="24"/>
                <w:highlight w:val="none"/>
              </w:rPr>
              <w:t>无纲量</w:t>
            </w:r>
            <w:r>
              <w:rPr>
                <w:color w:val="auto"/>
                <w:sz w:val="24"/>
                <w:highlight w:val="none"/>
              </w:rPr>
              <w:t>、化学需氧量</w:t>
            </w:r>
            <w:r>
              <w:rPr>
                <w:rFonts w:hint="eastAsia"/>
                <w:color w:val="auto"/>
                <w:sz w:val="24"/>
                <w:highlight w:val="none"/>
              </w:rPr>
              <w:t>最大日均值为</w:t>
            </w:r>
            <w:r>
              <w:rPr>
                <w:rFonts w:hint="eastAsia"/>
                <w:color w:val="auto"/>
                <w:sz w:val="24"/>
                <w:highlight w:val="none"/>
                <w:lang w:val="en-US" w:eastAsia="zh-CN"/>
              </w:rPr>
              <w:t>40</w:t>
            </w:r>
            <w:r>
              <w:rPr>
                <w:rFonts w:hint="eastAsia"/>
                <w:color w:val="auto"/>
                <w:sz w:val="24"/>
                <w:highlight w:val="none"/>
              </w:rPr>
              <w:t>mg/L</w:t>
            </w:r>
            <w:r>
              <w:rPr>
                <w:color w:val="auto"/>
                <w:sz w:val="24"/>
                <w:highlight w:val="none"/>
              </w:rPr>
              <w:t>、生化需氧量</w:t>
            </w:r>
            <w:r>
              <w:rPr>
                <w:rFonts w:hint="eastAsia"/>
                <w:color w:val="auto"/>
                <w:sz w:val="24"/>
                <w:highlight w:val="none"/>
              </w:rPr>
              <w:t>最大日均值为</w:t>
            </w:r>
            <w:r>
              <w:rPr>
                <w:rFonts w:hint="eastAsia"/>
                <w:color w:val="auto"/>
                <w:sz w:val="24"/>
                <w:highlight w:val="none"/>
                <w:lang w:val="en-US" w:eastAsia="zh-CN"/>
              </w:rPr>
              <w:t>20.4</w:t>
            </w:r>
            <w:r>
              <w:rPr>
                <w:rFonts w:hint="eastAsia"/>
                <w:color w:val="auto"/>
                <w:sz w:val="24"/>
                <w:highlight w:val="none"/>
              </w:rPr>
              <w:t>mg/L</w:t>
            </w:r>
            <w:r>
              <w:rPr>
                <w:color w:val="auto"/>
                <w:sz w:val="24"/>
                <w:highlight w:val="none"/>
              </w:rPr>
              <w:t>、悬浮物</w:t>
            </w:r>
            <w:r>
              <w:rPr>
                <w:rFonts w:hint="eastAsia"/>
                <w:color w:val="auto"/>
                <w:sz w:val="24"/>
                <w:highlight w:val="none"/>
              </w:rPr>
              <w:t>最大日均值为</w:t>
            </w:r>
            <w:r>
              <w:rPr>
                <w:rFonts w:hint="eastAsia"/>
                <w:color w:val="auto"/>
                <w:sz w:val="24"/>
                <w:highlight w:val="none"/>
                <w:lang w:val="en-US" w:eastAsia="zh-CN"/>
              </w:rPr>
              <w:t>35</w:t>
            </w:r>
            <w:r>
              <w:rPr>
                <w:rFonts w:hint="eastAsia"/>
                <w:color w:val="auto"/>
                <w:sz w:val="24"/>
                <w:highlight w:val="none"/>
              </w:rPr>
              <w:t>mg/L</w:t>
            </w:r>
            <w:r>
              <w:rPr>
                <w:color w:val="auto"/>
                <w:sz w:val="24"/>
                <w:highlight w:val="none"/>
              </w:rPr>
              <w:t>、</w:t>
            </w:r>
            <w:r>
              <w:rPr>
                <w:rFonts w:hint="eastAsia"/>
                <w:color w:val="auto"/>
                <w:sz w:val="24"/>
                <w:highlight w:val="none"/>
              </w:rPr>
              <w:t>氨氮最大日均值为</w:t>
            </w:r>
            <w:r>
              <w:rPr>
                <w:rFonts w:hint="eastAsia"/>
                <w:color w:val="auto"/>
                <w:sz w:val="24"/>
                <w:highlight w:val="none"/>
                <w:lang w:val="en-US" w:eastAsia="zh-CN"/>
              </w:rPr>
              <w:t>0.273</w:t>
            </w:r>
            <w:r>
              <w:rPr>
                <w:rFonts w:hint="eastAsia"/>
                <w:color w:val="auto"/>
                <w:sz w:val="24"/>
                <w:highlight w:val="none"/>
              </w:rPr>
              <w:t>mg/L</w:t>
            </w:r>
            <w:r>
              <w:rPr>
                <w:color w:val="auto"/>
                <w:sz w:val="24"/>
                <w:highlight w:val="none"/>
              </w:rPr>
              <w:t>、</w:t>
            </w:r>
            <w:r>
              <w:rPr>
                <w:rFonts w:hint="eastAsia"/>
                <w:color w:val="auto"/>
                <w:sz w:val="24"/>
                <w:highlight w:val="none"/>
              </w:rPr>
              <w:t>石油类</w:t>
            </w:r>
            <w:r>
              <w:rPr>
                <w:rFonts w:hint="eastAsia"/>
                <w:color w:val="auto"/>
                <w:sz w:val="24"/>
                <w:highlight w:val="none"/>
                <w:lang w:eastAsia="zh-CN"/>
              </w:rPr>
              <w:t>未检出</w:t>
            </w:r>
            <w:r>
              <w:rPr>
                <w:rFonts w:hint="eastAsia"/>
                <w:color w:val="auto"/>
                <w:sz w:val="24"/>
                <w:highlight w:val="none"/>
              </w:rPr>
              <w:t>，</w:t>
            </w:r>
            <w:r>
              <w:rPr>
                <w:color w:val="auto"/>
                <w:sz w:val="24"/>
                <w:highlight w:val="none"/>
              </w:rPr>
              <w:t>均</w:t>
            </w:r>
            <w:r>
              <w:rPr>
                <w:rFonts w:hint="eastAsia"/>
                <w:color w:val="auto"/>
                <w:sz w:val="24"/>
                <w:highlight w:val="none"/>
              </w:rPr>
              <w:t>达到</w:t>
            </w:r>
            <w:r>
              <w:rPr>
                <w:color w:val="auto"/>
                <w:sz w:val="24"/>
                <w:highlight w:val="none"/>
              </w:rPr>
              <w:t>均达到</w:t>
            </w:r>
            <w:r>
              <w:rPr>
                <w:rFonts w:hint="eastAsia"/>
                <w:color w:val="auto"/>
                <w:sz w:val="24"/>
                <w:highlight w:val="none"/>
              </w:rPr>
              <w:t>资溪县城市</w:t>
            </w:r>
            <w:r>
              <w:rPr>
                <w:color w:val="auto"/>
                <w:sz w:val="24"/>
                <w:highlight w:val="none"/>
              </w:rPr>
              <w:t>污水处理厂接管标准。</w:t>
            </w:r>
          </w:p>
          <w:p>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（3）</w:t>
            </w:r>
            <w:r>
              <w:rPr>
                <w:color w:val="000000" w:themeColor="text1"/>
                <w:sz w:val="24"/>
                <w:highlight w:val="none"/>
                <w14:textFill>
                  <w14:solidFill>
                    <w14:schemeClr w14:val="tx1"/>
                  </w14:solidFill>
                </w14:textFill>
              </w:rPr>
              <w:t>废气</w:t>
            </w:r>
          </w:p>
          <w:p>
            <w:pPr>
              <w:spacing w:line="360" w:lineRule="auto"/>
              <w:ind w:firstLine="480" w:firstLineChars="200"/>
              <w:rPr>
                <w:rFonts w:hint="eastAsia" w:asciiTheme="majorBidi" w:hAnsiTheme="majorBidi" w:cstheme="majorBidi"/>
                <w:color w:val="000000" w:themeColor="text1"/>
                <w:sz w:val="24"/>
                <w:szCs w:val="24"/>
                <w:highlight w:val="none"/>
                <w14:textFill>
                  <w14:solidFill>
                    <w14:schemeClr w14:val="tx1"/>
                  </w14:solidFill>
                </w14:textFill>
              </w:rPr>
            </w:pPr>
            <w:r>
              <w:rPr>
                <w:rFonts w:asciiTheme="majorBidi" w:hAnsiTheme="majorBidi" w:cstheme="majorBidi"/>
                <w:color w:val="000000" w:themeColor="text1"/>
                <w:sz w:val="24"/>
                <w:szCs w:val="24"/>
                <w:highlight w:val="none"/>
                <w14:textFill>
                  <w14:solidFill>
                    <w14:schemeClr w14:val="tx1"/>
                  </w14:solidFill>
                </w14:textFill>
              </w:rPr>
              <w:t>无组织废气排放的非甲烷总烃周界外最高浓度为</w:t>
            </w:r>
            <w:r>
              <w:rPr>
                <w:rFonts w:hint="eastAsia" w:asciiTheme="majorBidi" w:hAnsiTheme="majorBidi" w:cstheme="majorBidi"/>
                <w:color w:val="000000" w:themeColor="text1"/>
                <w:sz w:val="24"/>
                <w:szCs w:val="24"/>
                <w:highlight w:val="none"/>
                <w:lang w:val="en-US" w:eastAsia="zh-CN"/>
                <w14:textFill>
                  <w14:solidFill>
                    <w14:schemeClr w14:val="tx1"/>
                  </w14:solidFill>
                </w14:textFill>
              </w:rPr>
              <w:t>0.41</w:t>
            </w:r>
            <w:r>
              <w:rPr>
                <w:rFonts w:asciiTheme="majorBidi" w:hAnsiTheme="majorBidi" w:cstheme="majorBidi"/>
                <w:color w:val="000000" w:themeColor="text1"/>
                <w:sz w:val="24"/>
                <w:szCs w:val="24"/>
                <w:highlight w:val="none"/>
                <w14:textFill>
                  <w14:solidFill>
                    <w14:schemeClr w14:val="tx1"/>
                  </w14:solidFill>
                </w14:textFill>
              </w:rPr>
              <w:t>mg/m</w:t>
            </w:r>
            <w:r>
              <w:rPr>
                <w:rFonts w:asciiTheme="majorBidi" w:hAnsiTheme="majorBidi" w:cstheme="majorBidi"/>
                <w:color w:val="000000" w:themeColor="text1"/>
                <w:sz w:val="24"/>
                <w:szCs w:val="24"/>
                <w:highlight w:val="none"/>
                <w:vertAlign w:val="superscript"/>
                <w14:textFill>
                  <w14:solidFill>
                    <w14:schemeClr w14:val="tx1"/>
                  </w14:solidFill>
                </w14:textFill>
              </w:rPr>
              <w:t>3</w:t>
            </w:r>
            <w:r>
              <w:rPr>
                <w:rFonts w:asciiTheme="majorBidi" w:hAnsiTheme="majorBidi" w:cstheme="majorBidi"/>
                <w:color w:val="000000" w:themeColor="text1"/>
                <w:sz w:val="24"/>
                <w:szCs w:val="24"/>
                <w:highlight w:val="none"/>
                <w14:textFill>
                  <w14:solidFill>
                    <w14:schemeClr w14:val="tx1"/>
                  </w14:solidFill>
                </w14:textFill>
              </w:rPr>
              <w:t>，满足</w:t>
            </w:r>
            <w:r>
              <w:rPr>
                <w:rFonts w:asciiTheme="majorBidi" w:hAnsiTheme="majorBidi" w:cstheme="majorBidi"/>
                <w:bCs/>
                <w:color w:val="000000" w:themeColor="text1"/>
                <w:sz w:val="24"/>
                <w:szCs w:val="24"/>
                <w:highlight w:val="none"/>
                <w14:textFill>
                  <w14:solidFill>
                    <w14:schemeClr w14:val="tx1"/>
                  </w14:solidFill>
                </w14:textFill>
              </w:rPr>
              <w:t>《大气污染物综合排放标准》（GB16297-1996）表2无组织排放监控浓度限值</w:t>
            </w:r>
            <w:r>
              <w:rPr>
                <w:rFonts w:hint="eastAsia" w:asciiTheme="majorBidi" w:hAnsiTheme="majorBidi" w:cstheme="majorBidi"/>
                <w:color w:val="000000" w:themeColor="text1"/>
                <w:sz w:val="24"/>
                <w:szCs w:val="24"/>
                <w:highlight w:val="none"/>
                <w14:textFill>
                  <w14:solidFill>
                    <w14:schemeClr w14:val="tx1"/>
                  </w14:solidFill>
                </w14:textFill>
              </w:rPr>
              <w:t>。</w:t>
            </w:r>
          </w:p>
          <w:p>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（4）</w:t>
            </w:r>
            <w:r>
              <w:rPr>
                <w:color w:val="000000" w:themeColor="text1"/>
                <w:sz w:val="24"/>
                <w:highlight w:val="none"/>
                <w14:textFill>
                  <w14:solidFill>
                    <w14:schemeClr w14:val="tx1"/>
                  </w14:solidFill>
                </w14:textFill>
              </w:rPr>
              <w:t>厂界噪声</w:t>
            </w:r>
          </w:p>
          <w:p>
            <w:pPr>
              <w:pStyle w:val="2"/>
              <w:spacing w:line="360" w:lineRule="auto"/>
              <w:ind w:left="0" w:leftChars="0"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监测期间，加油站厂界</w:t>
            </w:r>
            <w:r>
              <w:rPr>
                <w:rFonts w:hint="eastAsia"/>
                <w:color w:val="000000" w:themeColor="text1"/>
                <w:sz w:val="24"/>
                <w:highlight w:val="none"/>
                <w:lang w:eastAsia="zh-CN"/>
                <w14:textFill>
                  <w14:solidFill>
                    <w14:schemeClr w14:val="tx1"/>
                  </w14:solidFill>
                </w14:textFill>
              </w:rPr>
              <w:t>西</w:t>
            </w:r>
            <w:r>
              <w:rPr>
                <w:rFonts w:hint="eastAsia"/>
                <w:color w:val="000000" w:themeColor="text1"/>
                <w:sz w:val="24"/>
                <w:highlight w:val="none"/>
                <w14:textFill>
                  <w14:solidFill>
                    <w14:schemeClr w14:val="tx1"/>
                  </w14:solidFill>
                </w14:textFill>
              </w:rPr>
              <w:t>侧昼间等效声级</w:t>
            </w:r>
            <w:r>
              <w:rPr>
                <w:rFonts w:hint="eastAsia"/>
                <w:color w:val="000000" w:themeColor="text1"/>
                <w:sz w:val="24"/>
                <w:highlight w:val="none"/>
                <w:lang w:eastAsia="zh-CN"/>
                <w14:textFill>
                  <w14:solidFill>
                    <w14:schemeClr w14:val="tx1"/>
                  </w14:solidFill>
                </w14:textFill>
              </w:rPr>
              <w:t>范围</w:t>
            </w:r>
            <w:r>
              <w:rPr>
                <w:rFonts w:hint="eastAsia"/>
                <w:color w:val="000000" w:themeColor="text1"/>
                <w:sz w:val="24"/>
                <w:highlight w:val="none"/>
                <w14:textFill>
                  <w14:solidFill>
                    <w14:schemeClr w14:val="tx1"/>
                  </w14:solidFill>
                </w14:textFill>
              </w:rPr>
              <w:t>为</w:t>
            </w:r>
            <w:r>
              <w:rPr>
                <w:rFonts w:hint="eastAsia"/>
                <w:color w:val="000000" w:themeColor="text1"/>
                <w:sz w:val="24"/>
                <w:highlight w:val="none"/>
                <w:lang w:val="en-US" w:eastAsia="zh-CN"/>
                <w14:textFill>
                  <w14:solidFill>
                    <w14:schemeClr w14:val="tx1"/>
                  </w14:solidFill>
                </w14:textFill>
              </w:rPr>
              <w:t>55.5~56.5dB</w:t>
            </w:r>
            <w:r>
              <w:rPr>
                <w:rFonts w:hint="eastAsia"/>
                <w:color w:val="000000" w:themeColor="text1"/>
                <w:sz w:val="24"/>
                <w:highlight w:val="none"/>
                <w14:textFill>
                  <w14:solidFill>
                    <w14:schemeClr w14:val="tx1"/>
                  </w14:solidFill>
                </w14:textFill>
              </w:rPr>
              <w:t>，夜间</w:t>
            </w:r>
            <w:r>
              <w:rPr>
                <w:rFonts w:hint="eastAsia"/>
                <w:color w:val="000000" w:themeColor="text1"/>
                <w:sz w:val="24"/>
                <w:highlight w:val="none"/>
                <w:lang w:eastAsia="zh-CN"/>
                <w14:textFill>
                  <w14:solidFill>
                    <w14:schemeClr w14:val="tx1"/>
                  </w14:solidFill>
                </w14:textFill>
              </w:rPr>
              <w:t>范围</w:t>
            </w:r>
            <w:r>
              <w:rPr>
                <w:rFonts w:hint="eastAsia"/>
                <w:color w:val="000000" w:themeColor="text1"/>
                <w:sz w:val="24"/>
                <w:highlight w:val="none"/>
                <w14:textFill>
                  <w14:solidFill>
                    <w14:schemeClr w14:val="tx1"/>
                  </w14:solidFill>
                </w14:textFill>
              </w:rPr>
              <w:t>为</w:t>
            </w:r>
            <w:r>
              <w:rPr>
                <w:rFonts w:hint="eastAsia"/>
                <w:color w:val="000000" w:themeColor="text1"/>
                <w:sz w:val="24"/>
                <w:highlight w:val="none"/>
                <w:lang w:val="en-US" w:eastAsia="zh-CN"/>
                <w14:textFill>
                  <w14:solidFill>
                    <w14:schemeClr w14:val="tx1"/>
                  </w14:solidFill>
                </w14:textFill>
              </w:rPr>
              <w:t>43.5~44.1dB</w:t>
            </w:r>
            <w:r>
              <w:rPr>
                <w:rFonts w:hint="eastAsia"/>
                <w:color w:val="000000" w:themeColor="text1"/>
                <w:sz w:val="24"/>
                <w:highlight w:val="none"/>
                <w14:textFill>
                  <w14:solidFill>
                    <w14:schemeClr w14:val="tx1"/>
                  </w14:solidFill>
                </w14:textFill>
              </w:rPr>
              <w:t>，均</w:t>
            </w:r>
            <w:r>
              <w:rPr>
                <w:rFonts w:hint="eastAsia"/>
                <w:color w:val="000000" w:themeColor="text1"/>
                <w:sz w:val="24"/>
                <w:highlight w:val="none"/>
                <w:lang w:eastAsia="zh-CN"/>
                <w14:textFill>
                  <w14:solidFill>
                    <w14:schemeClr w14:val="tx1"/>
                  </w14:solidFill>
                </w14:textFill>
              </w:rPr>
              <w:t>达到</w:t>
            </w:r>
            <w:r>
              <w:rPr>
                <w:rFonts w:hint="eastAsia"/>
                <w:color w:val="000000" w:themeColor="text1"/>
                <w:sz w:val="24"/>
                <w:highlight w:val="none"/>
                <w14:textFill>
                  <w14:solidFill>
                    <w14:schemeClr w14:val="tx1"/>
                  </w14:solidFill>
                </w14:textFill>
              </w:rPr>
              <w:t>《工业企业厂界环境噪声排放标准》（GB12348-2008）4类区标准；加油站厂界</w:t>
            </w:r>
            <w:r>
              <w:rPr>
                <w:rFonts w:hint="eastAsia"/>
                <w:color w:val="000000" w:themeColor="text1"/>
                <w:sz w:val="24"/>
                <w:highlight w:val="none"/>
                <w:lang w:eastAsia="zh-CN"/>
                <w14:textFill>
                  <w14:solidFill>
                    <w14:schemeClr w14:val="tx1"/>
                  </w14:solidFill>
                </w14:textFill>
              </w:rPr>
              <w:t>东</w:t>
            </w:r>
            <w:r>
              <w:rPr>
                <w:rFonts w:hint="eastAsia"/>
                <w:color w:val="000000" w:themeColor="text1"/>
                <w:sz w:val="24"/>
                <w:highlight w:val="none"/>
                <w14:textFill>
                  <w14:solidFill>
                    <w14:schemeClr w14:val="tx1"/>
                  </w14:solidFill>
                </w14:textFill>
              </w:rPr>
              <w:t>、南、北侧昼间等效声级</w:t>
            </w:r>
            <w:r>
              <w:rPr>
                <w:rFonts w:hint="eastAsia"/>
                <w:color w:val="000000" w:themeColor="text1"/>
                <w:sz w:val="24"/>
                <w:highlight w:val="none"/>
                <w:lang w:eastAsia="zh-CN"/>
                <w14:textFill>
                  <w14:solidFill>
                    <w14:schemeClr w14:val="tx1"/>
                  </w14:solidFill>
                </w14:textFill>
              </w:rPr>
              <w:t>范围</w:t>
            </w:r>
            <w:r>
              <w:rPr>
                <w:rFonts w:hint="eastAsia"/>
                <w:color w:val="000000" w:themeColor="text1"/>
                <w:sz w:val="24"/>
                <w:highlight w:val="none"/>
                <w14:textFill>
                  <w14:solidFill>
                    <w14:schemeClr w14:val="tx1"/>
                  </w14:solidFill>
                </w14:textFill>
              </w:rPr>
              <w:t>为</w:t>
            </w:r>
            <w:r>
              <w:rPr>
                <w:rFonts w:hint="eastAsia"/>
                <w:color w:val="000000" w:themeColor="text1"/>
                <w:sz w:val="24"/>
                <w:highlight w:val="none"/>
                <w:lang w:val="en-US" w:eastAsia="zh-CN"/>
                <w14:textFill>
                  <w14:solidFill>
                    <w14:schemeClr w14:val="tx1"/>
                  </w14:solidFill>
                </w14:textFill>
              </w:rPr>
              <w:t>52.7~</w:t>
            </w:r>
            <w:r>
              <w:rPr>
                <w:rFonts w:hint="eastAsia"/>
                <w:color w:val="000000" w:themeColor="text1"/>
                <w:sz w:val="24"/>
                <w:highlight w:val="none"/>
                <w14:textFill>
                  <w14:solidFill>
                    <w14:schemeClr w14:val="tx1"/>
                  </w14:solidFill>
                </w14:textFill>
              </w:rPr>
              <w:t>56.</w:t>
            </w:r>
            <w:r>
              <w:rPr>
                <w:rFonts w:hint="eastAsia"/>
                <w:color w:val="000000" w:themeColor="text1"/>
                <w:sz w:val="24"/>
                <w:highlight w:val="none"/>
                <w:lang w:val="en-US" w:eastAsia="zh-CN"/>
                <w14:textFill>
                  <w14:solidFill>
                    <w14:schemeClr w14:val="tx1"/>
                  </w14:solidFill>
                </w14:textFill>
              </w:rPr>
              <w:t>9dB</w:t>
            </w:r>
            <w:r>
              <w:rPr>
                <w:rFonts w:hint="eastAsia"/>
                <w:color w:val="000000" w:themeColor="text1"/>
                <w:sz w:val="24"/>
                <w:highlight w:val="none"/>
                <w14:textFill>
                  <w14:solidFill>
                    <w14:schemeClr w14:val="tx1"/>
                  </w14:solidFill>
                </w14:textFill>
              </w:rPr>
              <w:t>，夜间为</w:t>
            </w:r>
            <w:r>
              <w:rPr>
                <w:rFonts w:hint="eastAsia"/>
                <w:color w:val="000000" w:themeColor="text1"/>
                <w:sz w:val="24"/>
                <w:highlight w:val="none"/>
                <w:lang w:val="en-US" w:eastAsia="zh-CN"/>
                <w14:textFill>
                  <w14:solidFill>
                    <w14:schemeClr w14:val="tx1"/>
                  </w14:solidFill>
                </w14:textFill>
              </w:rPr>
              <w:t>43.2~47.2dB</w:t>
            </w:r>
            <w:r>
              <w:rPr>
                <w:rFonts w:hint="eastAsia"/>
                <w:color w:val="000000" w:themeColor="text1"/>
                <w:sz w:val="24"/>
                <w:highlight w:val="none"/>
                <w14:textFill>
                  <w14:solidFill>
                    <w14:schemeClr w14:val="tx1"/>
                  </w14:solidFill>
                </w14:textFill>
              </w:rPr>
              <w:t>，均</w:t>
            </w:r>
            <w:r>
              <w:rPr>
                <w:rFonts w:hint="eastAsia"/>
                <w:color w:val="000000" w:themeColor="text1"/>
                <w:sz w:val="24"/>
                <w:highlight w:val="none"/>
                <w:lang w:eastAsia="zh-CN"/>
                <w14:textFill>
                  <w14:solidFill>
                    <w14:schemeClr w14:val="tx1"/>
                  </w14:solidFill>
                </w14:textFill>
              </w:rPr>
              <w:t>达到</w:t>
            </w:r>
            <w:r>
              <w:rPr>
                <w:rFonts w:hint="eastAsia"/>
                <w:color w:val="000000" w:themeColor="text1"/>
                <w:sz w:val="24"/>
                <w:highlight w:val="none"/>
                <w14:textFill>
                  <w14:solidFill>
                    <w14:schemeClr w14:val="tx1"/>
                  </w14:solidFill>
                </w14:textFill>
              </w:rPr>
              <w:t>《工业企业厂界环境噪声排放标准》（GB12348-2008）2类区标准。</w:t>
            </w:r>
          </w:p>
          <w:p>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固体废物</w:t>
            </w:r>
          </w:p>
          <w:p>
            <w:pPr>
              <w:spacing w:line="360" w:lineRule="auto"/>
              <w:ind w:firstLine="480" w:firstLineChars="200"/>
              <w:rPr>
                <w:bCs/>
                <w:sz w:val="24"/>
                <w:highlight w:val="none"/>
              </w:rPr>
            </w:pPr>
            <w:r>
              <w:rPr>
                <w:sz w:val="24"/>
                <w:highlight w:val="none"/>
              </w:rPr>
              <w:t>根据现场调查，</w:t>
            </w:r>
            <w:r>
              <w:rPr>
                <w:rFonts w:hint="eastAsia"/>
                <w:sz w:val="24"/>
                <w:highlight w:val="none"/>
                <w:lang w:eastAsia="zh-CN"/>
              </w:rPr>
              <w:t>运营期固废主要有储罐渣、隔油池污泥以及生活垃圾。生活垃圾收集后交由当地环卫部门处理；储罐渣、隔油池污泥定期由中国石化销售股份有限公司江西抚州石油分公司统一收集，然后</w:t>
            </w:r>
            <w:r>
              <w:rPr>
                <w:sz w:val="24"/>
                <w:highlight w:val="none"/>
              </w:rPr>
              <w:t>交由</w:t>
            </w:r>
            <w:r>
              <w:rPr>
                <w:rFonts w:hint="eastAsia"/>
                <w:sz w:val="24"/>
                <w:highlight w:val="none"/>
                <w:lang w:eastAsia="zh-CN"/>
              </w:rPr>
              <w:t>江西东江环保技术有限</w:t>
            </w:r>
            <w:r>
              <w:rPr>
                <w:sz w:val="24"/>
                <w:highlight w:val="none"/>
              </w:rPr>
              <w:t>公司处理</w:t>
            </w:r>
            <w:r>
              <w:rPr>
                <w:rFonts w:hint="eastAsia"/>
                <w:sz w:val="24"/>
                <w:highlight w:val="none"/>
                <w:lang w:eastAsia="zh-CN"/>
              </w:rPr>
              <w:t>，签订的危险废物处置协议见附件五。</w:t>
            </w:r>
            <w:r>
              <w:rPr>
                <w:rFonts w:hint="eastAsia"/>
                <w:kern w:val="21"/>
                <w:sz w:val="24"/>
                <w:highlight w:val="none"/>
              </w:rPr>
              <w:t>本项目产生的固体废物经妥善处理后对周围环境影响不大。</w:t>
            </w:r>
          </w:p>
          <w:p>
            <w:pPr>
              <w:spacing w:line="360" w:lineRule="auto"/>
              <w:ind w:firstLine="480" w:firstLineChars="200"/>
              <w:rPr>
                <w:color w:val="000000" w:themeColor="text1"/>
                <w:sz w:val="24"/>
                <w14:textFill>
                  <w14:solidFill>
                    <w14:schemeClr w14:val="tx1"/>
                  </w14:solidFill>
                </w14:textFill>
              </w:rPr>
            </w:pPr>
            <w:bookmarkStart w:id="42" w:name="_Toc211162980"/>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6</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总体结论</w:t>
            </w:r>
          </w:p>
          <w:p>
            <w:pPr>
              <w:spacing w:line="360" w:lineRule="auto"/>
              <w:ind w:firstLine="480" w:firstLineChars="200"/>
              <w:rPr>
                <w:rFonts w:hAnsi="宋体"/>
                <w:color w:val="000000" w:themeColor="text1"/>
                <w:sz w:val="24"/>
                <w14:textFill>
                  <w14:solidFill>
                    <w14:schemeClr w14:val="tx1"/>
                  </w14:solidFill>
                </w14:textFill>
              </w:rPr>
            </w:pPr>
            <w:r>
              <w:rPr>
                <w:color w:val="000000" w:themeColor="text1"/>
                <w:sz w:val="24"/>
                <w14:textFill>
                  <w14:solidFill>
                    <w14:schemeClr w14:val="tx1"/>
                  </w14:solidFill>
                </w14:textFill>
              </w:rPr>
              <w:t>该项目在主体工程建设过程中，能够按照环评及批复文件的要求，执行了“三同时”制度。同时，验收期间该工程</w:t>
            </w:r>
            <w:r>
              <w:rPr>
                <w:rFonts w:hint="eastAsia"/>
                <w:color w:val="000000" w:themeColor="text1"/>
                <w:sz w:val="24"/>
                <w14:textFill>
                  <w14:solidFill>
                    <w14:schemeClr w14:val="tx1"/>
                  </w14:solidFill>
                </w14:textFill>
              </w:rPr>
              <w:t>废水、无组织废气、</w:t>
            </w:r>
            <w:r>
              <w:rPr>
                <w:color w:val="000000" w:themeColor="text1"/>
                <w:sz w:val="24"/>
                <w14:textFill>
                  <w14:solidFill>
                    <w14:schemeClr w14:val="tx1"/>
                  </w14:solidFill>
                </w14:textFill>
              </w:rPr>
              <w:t>厂界噪声均达标</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，固体废物均得到妥善处置。</w:t>
            </w:r>
            <w:bookmarkEnd w:id="42"/>
          </w:p>
          <w:p>
            <w:pPr>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w:t>
            </w:r>
            <w:r>
              <w:rPr>
                <w:rFonts w:hint="eastAsia"/>
                <w:b/>
                <w:bCs/>
                <w:color w:val="000000" w:themeColor="text1"/>
                <w:sz w:val="24"/>
                <w14:textFill>
                  <w14:solidFill>
                    <w14:schemeClr w14:val="tx1"/>
                  </w14:solidFill>
                </w14:textFill>
              </w:rPr>
              <w:t>、</w:t>
            </w:r>
            <w:r>
              <w:rPr>
                <w:b/>
                <w:bCs/>
                <w:color w:val="000000" w:themeColor="text1"/>
                <w:sz w:val="24"/>
                <w14:textFill>
                  <w14:solidFill>
                    <w14:schemeClr w14:val="tx1"/>
                  </w14:solidFill>
                </w14:textFill>
              </w:rPr>
              <w:t>建议</w:t>
            </w:r>
          </w:p>
          <w:p>
            <w:pPr>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（1）在今后的生产过程中应不断加强环境保护管理，逐步健全完善环境保护规章制度。</w:t>
            </w:r>
          </w:p>
          <w:p>
            <w:pPr>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（2）进一步完善环境保护管理制度，建立环境污染突发事故应急处理机制，加强职工环境保护和安全生产教育，防范于未然。</w:t>
            </w:r>
          </w:p>
        </w:tc>
      </w:tr>
    </w:tbl>
    <w:p>
      <w:pPr>
        <w:widowControl/>
        <w:jc w:val="left"/>
        <w:rPr>
          <w:rFonts w:hAnsi="宋体"/>
          <w:b/>
          <w:sz w:val="28"/>
          <w:szCs w:val="28"/>
        </w:rPr>
      </w:pPr>
    </w:p>
    <w:p>
      <w:pPr>
        <w:widowControl/>
        <w:jc w:val="left"/>
        <w:rPr>
          <w:rFonts w:hAnsi="宋体"/>
          <w:b/>
          <w:sz w:val="28"/>
          <w:szCs w:val="28"/>
        </w:rPr>
        <w:sectPr>
          <w:footerReference r:id="rId7" w:type="default"/>
          <w:pgSz w:w="11906" w:h="16838"/>
          <w:pgMar w:top="851" w:right="1134" w:bottom="992" w:left="1134" w:header="851" w:footer="992" w:gutter="0"/>
          <w:pgBorders>
            <w:top w:val="none" w:sz="0" w:space="0"/>
            <w:left w:val="none" w:sz="0" w:space="0"/>
            <w:bottom w:val="none" w:sz="0" w:space="0"/>
            <w:right w:val="none" w:sz="0" w:space="0"/>
          </w:pgBorders>
          <w:pgNumType w:start="1"/>
          <w:cols w:space="720" w:num="1"/>
          <w:docGrid w:linePitch="312" w:charSpace="0"/>
        </w:sectPr>
      </w:pPr>
    </w:p>
    <w:p>
      <w:pPr>
        <w:pStyle w:val="21"/>
      </w:pPr>
      <w:bookmarkStart w:id="43" w:name="_Toc2091"/>
      <w:bookmarkStart w:id="44" w:name="_Toc52180568"/>
      <w:bookmarkStart w:id="45" w:name="_Toc29144"/>
      <w:r>
        <w:t>建设项目工程竣工环境保护“三同时”验收登记表</w:t>
      </w:r>
      <w:bookmarkEnd w:id="43"/>
      <w:bookmarkEnd w:id="44"/>
      <w:bookmarkEnd w:id="45"/>
    </w:p>
    <w:p>
      <w:pPr>
        <w:tabs>
          <w:tab w:val="left" w:pos="4940"/>
          <w:tab w:val="left" w:pos="9787"/>
        </w:tabs>
        <w:kinsoku w:val="0"/>
        <w:overflowPunct w:val="0"/>
        <w:autoSpaceDE w:val="0"/>
        <w:autoSpaceDN w:val="0"/>
        <w:adjustRightInd w:val="0"/>
        <w:ind w:firstLine="458" w:firstLineChars="200"/>
        <w:rPr>
          <w:b/>
          <w:kern w:val="0"/>
          <w:sz w:val="24"/>
          <w:szCs w:val="21"/>
        </w:rPr>
      </w:pPr>
      <w:r>
        <w:rPr>
          <w:b/>
          <w:w w:val="95"/>
          <w:kern w:val="0"/>
          <w:sz w:val="24"/>
          <w:szCs w:val="21"/>
        </w:rPr>
        <w:t>填</w:t>
      </w:r>
      <w:r>
        <w:rPr>
          <w:b/>
          <w:bCs/>
          <w:w w:val="95"/>
          <w:kern w:val="0"/>
          <w:sz w:val="24"/>
          <w:szCs w:val="21"/>
        </w:rPr>
        <w:t>表单位（盖章）：</w:t>
      </w:r>
      <w:r>
        <w:rPr>
          <w:b/>
          <w:bCs/>
          <w:w w:val="95"/>
          <w:kern w:val="0"/>
          <w:sz w:val="24"/>
          <w:szCs w:val="21"/>
        </w:rPr>
        <w:tab/>
      </w:r>
      <w:r>
        <w:rPr>
          <w:b/>
          <w:bCs/>
          <w:w w:val="95"/>
          <w:kern w:val="0"/>
          <w:sz w:val="24"/>
          <w:szCs w:val="21"/>
        </w:rPr>
        <w:t>填表人（签字）：</w:t>
      </w:r>
      <w:r>
        <w:rPr>
          <w:b/>
          <w:bCs/>
          <w:w w:val="95"/>
          <w:kern w:val="0"/>
          <w:sz w:val="24"/>
          <w:szCs w:val="21"/>
        </w:rPr>
        <w:tab/>
      </w:r>
      <w:r>
        <w:rPr>
          <w:b/>
          <w:bCs/>
          <w:kern w:val="0"/>
          <w:sz w:val="24"/>
          <w:szCs w:val="21"/>
        </w:rPr>
        <w:t>项目经办人（签字）：</w:t>
      </w:r>
    </w:p>
    <w:tbl>
      <w:tblPr>
        <w:tblStyle w:val="24"/>
        <w:tblW w:w="16302" w:type="dxa"/>
        <w:jc w:val="center"/>
        <w:tblLayout w:type="fixed"/>
        <w:tblCellMar>
          <w:top w:w="0" w:type="dxa"/>
          <w:left w:w="0" w:type="dxa"/>
          <w:bottom w:w="0" w:type="dxa"/>
          <w:right w:w="0" w:type="dxa"/>
        </w:tblCellMar>
      </w:tblPr>
      <w:tblGrid>
        <w:gridCol w:w="439"/>
        <w:gridCol w:w="174"/>
        <w:gridCol w:w="1129"/>
        <w:gridCol w:w="714"/>
        <w:gridCol w:w="850"/>
        <w:gridCol w:w="1417"/>
        <w:gridCol w:w="1126"/>
        <w:gridCol w:w="1020"/>
        <w:gridCol w:w="361"/>
        <w:gridCol w:w="766"/>
        <w:gridCol w:w="1093"/>
        <w:gridCol w:w="1187"/>
        <w:gridCol w:w="1748"/>
        <w:gridCol w:w="1054"/>
        <w:gridCol w:w="712"/>
        <w:gridCol w:w="567"/>
        <w:gridCol w:w="1132"/>
        <w:gridCol w:w="813"/>
      </w:tblGrid>
      <w:tr>
        <w:tblPrEx>
          <w:tblCellMar>
            <w:top w:w="0" w:type="dxa"/>
            <w:left w:w="0" w:type="dxa"/>
            <w:bottom w:w="0" w:type="dxa"/>
            <w:right w:w="0" w:type="dxa"/>
          </w:tblCellMar>
        </w:tblPrEx>
        <w:trPr>
          <w:jc w:val="center"/>
        </w:trPr>
        <w:tc>
          <w:tcPr>
            <w:tcW w:w="439" w:type="dxa"/>
            <w:vMerge w:val="restart"/>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rFonts w:hint="eastAsia"/>
                <w:b/>
                <w:kern w:val="0"/>
                <w:sz w:val="15"/>
                <w:szCs w:val="15"/>
              </w:rPr>
              <w:t>建</w:t>
            </w:r>
          </w:p>
          <w:p>
            <w:pPr>
              <w:kinsoku w:val="0"/>
              <w:overflowPunct w:val="0"/>
              <w:autoSpaceDE w:val="0"/>
              <w:autoSpaceDN w:val="0"/>
              <w:adjustRightInd w:val="0"/>
              <w:spacing w:line="240" w:lineRule="exact"/>
              <w:jc w:val="center"/>
              <w:rPr>
                <w:b/>
                <w:kern w:val="0"/>
                <w:sz w:val="15"/>
                <w:szCs w:val="15"/>
              </w:rPr>
            </w:pPr>
          </w:p>
          <w:p>
            <w:pPr>
              <w:kinsoku w:val="0"/>
              <w:overflowPunct w:val="0"/>
              <w:autoSpaceDE w:val="0"/>
              <w:autoSpaceDN w:val="0"/>
              <w:adjustRightInd w:val="0"/>
              <w:spacing w:line="240" w:lineRule="exact"/>
              <w:jc w:val="center"/>
              <w:rPr>
                <w:b/>
                <w:kern w:val="0"/>
                <w:sz w:val="15"/>
                <w:szCs w:val="15"/>
              </w:rPr>
            </w:pPr>
            <w:r>
              <w:rPr>
                <w:rFonts w:hint="eastAsia"/>
                <w:b/>
                <w:kern w:val="0"/>
                <w:sz w:val="15"/>
                <w:szCs w:val="15"/>
              </w:rPr>
              <w:t>设</w:t>
            </w:r>
          </w:p>
          <w:p>
            <w:pPr>
              <w:kinsoku w:val="0"/>
              <w:overflowPunct w:val="0"/>
              <w:autoSpaceDE w:val="0"/>
              <w:autoSpaceDN w:val="0"/>
              <w:adjustRightInd w:val="0"/>
              <w:spacing w:line="240" w:lineRule="exact"/>
              <w:jc w:val="center"/>
              <w:rPr>
                <w:b/>
                <w:kern w:val="0"/>
                <w:sz w:val="15"/>
                <w:szCs w:val="15"/>
              </w:rPr>
            </w:pPr>
          </w:p>
          <w:p>
            <w:pPr>
              <w:kinsoku w:val="0"/>
              <w:overflowPunct w:val="0"/>
              <w:autoSpaceDE w:val="0"/>
              <w:autoSpaceDN w:val="0"/>
              <w:adjustRightInd w:val="0"/>
              <w:spacing w:line="240" w:lineRule="exact"/>
              <w:jc w:val="center"/>
              <w:rPr>
                <w:b/>
                <w:kern w:val="0"/>
                <w:sz w:val="15"/>
                <w:szCs w:val="15"/>
              </w:rPr>
            </w:pPr>
            <w:r>
              <w:rPr>
                <w:b/>
                <w:kern w:val="0"/>
                <w:sz w:val="15"/>
                <w:szCs w:val="15"/>
              </w:rPr>
              <w:t>项</w:t>
            </w:r>
          </w:p>
          <w:p>
            <w:pPr>
              <w:kinsoku w:val="0"/>
              <w:overflowPunct w:val="0"/>
              <w:autoSpaceDE w:val="0"/>
              <w:autoSpaceDN w:val="0"/>
              <w:adjustRightInd w:val="0"/>
              <w:spacing w:line="240" w:lineRule="exact"/>
              <w:jc w:val="center"/>
              <w:rPr>
                <w:b/>
                <w:kern w:val="0"/>
                <w:sz w:val="15"/>
                <w:szCs w:val="15"/>
              </w:rPr>
            </w:pPr>
          </w:p>
          <w:p>
            <w:pPr>
              <w:kinsoku w:val="0"/>
              <w:overflowPunct w:val="0"/>
              <w:autoSpaceDE w:val="0"/>
              <w:autoSpaceDN w:val="0"/>
              <w:adjustRightInd w:val="0"/>
              <w:spacing w:line="240" w:lineRule="exact"/>
              <w:jc w:val="center"/>
              <w:rPr>
                <w:b/>
                <w:kern w:val="0"/>
                <w:sz w:val="15"/>
                <w:szCs w:val="15"/>
              </w:rPr>
            </w:pPr>
            <w:r>
              <w:rPr>
                <w:b/>
                <w:kern w:val="0"/>
                <w:sz w:val="15"/>
                <w:szCs w:val="15"/>
              </w:rPr>
              <w:t>目</w:t>
            </w:r>
          </w:p>
        </w:tc>
        <w:tc>
          <w:tcPr>
            <w:tcW w:w="2017" w:type="dxa"/>
            <w:gridSpan w:val="3"/>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项目名称</w:t>
            </w:r>
          </w:p>
        </w:tc>
        <w:tc>
          <w:tcPr>
            <w:tcW w:w="5540" w:type="dxa"/>
            <w:gridSpan w:val="6"/>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r>
              <w:rPr>
                <w:rFonts w:hint="eastAsia"/>
                <w:kern w:val="0"/>
                <w:sz w:val="15"/>
                <w:szCs w:val="15"/>
              </w:rPr>
              <w:t>中国石化销售股份有限公司江西抚州资溪石油分公司茶博城加油站建设项目</w:t>
            </w:r>
          </w:p>
        </w:tc>
        <w:tc>
          <w:tcPr>
            <w:tcW w:w="2280"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项目代码</w:t>
            </w: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r>
              <w:rPr>
                <w:rFonts w:hint="eastAsia"/>
                <w:b w:val="0"/>
                <w:bCs/>
                <w:kern w:val="0"/>
                <w:sz w:val="15"/>
                <w:szCs w:val="15"/>
              </w:rPr>
              <w:t>2020-361028-52-03-027861</w:t>
            </w:r>
          </w:p>
        </w:tc>
        <w:tc>
          <w:tcPr>
            <w:tcW w:w="1766"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建设地点</w:t>
            </w:r>
          </w:p>
        </w:tc>
        <w:tc>
          <w:tcPr>
            <w:tcW w:w="2512" w:type="dxa"/>
            <w:gridSpan w:val="3"/>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r>
              <w:rPr>
                <w:rFonts w:hint="eastAsia"/>
                <w:b w:val="0"/>
                <w:bCs/>
                <w:kern w:val="0"/>
                <w:sz w:val="15"/>
                <w:szCs w:val="15"/>
              </w:rPr>
              <w:t>江西省抚州市资溪</w:t>
            </w:r>
            <w:r>
              <w:rPr>
                <w:b w:val="0"/>
                <w:bCs/>
                <w:kern w:val="0"/>
                <w:sz w:val="15"/>
                <w:szCs w:val="15"/>
              </w:rPr>
              <w:t>县沙苑村新</w:t>
            </w:r>
            <w:r>
              <w:rPr>
                <w:rFonts w:hint="eastAsia"/>
                <w:b w:val="0"/>
                <w:bCs/>
                <w:kern w:val="0"/>
                <w:sz w:val="15"/>
                <w:szCs w:val="15"/>
              </w:rPr>
              <w:t>316国道</w:t>
            </w:r>
            <w:r>
              <w:rPr>
                <w:b w:val="0"/>
                <w:bCs/>
                <w:kern w:val="0"/>
                <w:sz w:val="15"/>
                <w:szCs w:val="15"/>
              </w:rPr>
              <w:t>东侧（</w:t>
            </w:r>
            <w:r>
              <w:rPr>
                <w:rFonts w:hint="eastAsia"/>
                <w:b w:val="0"/>
                <w:bCs/>
                <w:kern w:val="0"/>
                <w:sz w:val="15"/>
                <w:szCs w:val="15"/>
              </w:rPr>
              <w:t>茶博城</w:t>
            </w:r>
            <w:r>
              <w:rPr>
                <w:b w:val="0"/>
                <w:bCs/>
                <w:kern w:val="0"/>
                <w:sz w:val="15"/>
                <w:szCs w:val="15"/>
              </w:rPr>
              <w:t>对</w:t>
            </w:r>
            <w:r>
              <w:rPr>
                <w:rFonts w:hint="eastAsia"/>
                <w:b w:val="0"/>
                <w:bCs/>
                <w:kern w:val="0"/>
                <w:sz w:val="15"/>
                <w:szCs w:val="15"/>
              </w:rPr>
              <w:t>面</w:t>
            </w:r>
            <w:r>
              <w:rPr>
                <w:b w:val="0"/>
                <w:bCs/>
                <w:kern w:val="0"/>
                <w:sz w:val="15"/>
                <w:szCs w:val="15"/>
              </w:rPr>
              <w:t>）</w:t>
            </w:r>
          </w:p>
        </w:tc>
      </w:tr>
      <w:tr>
        <w:tblPrEx>
          <w:tblCellMar>
            <w:top w:w="0" w:type="dxa"/>
            <w:left w:w="0" w:type="dxa"/>
            <w:bottom w:w="0" w:type="dxa"/>
            <w:right w:w="0" w:type="dxa"/>
          </w:tblCellMar>
        </w:tblPrEx>
        <w:trPr>
          <w:jc w:val="center"/>
        </w:trPr>
        <w:tc>
          <w:tcPr>
            <w:tcW w:w="439" w:type="dxa"/>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2017" w:type="dxa"/>
            <w:gridSpan w:val="3"/>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行业类别（分类管理名录）</w:t>
            </w:r>
          </w:p>
        </w:tc>
        <w:tc>
          <w:tcPr>
            <w:tcW w:w="5540" w:type="dxa"/>
            <w:gridSpan w:val="6"/>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r>
              <w:rPr>
                <w:rFonts w:hint="eastAsia"/>
                <w:sz w:val="15"/>
                <w:szCs w:val="15"/>
                <w:lang w:val="en-US" w:eastAsia="zh-CN"/>
              </w:rPr>
              <w:t>F</w:t>
            </w:r>
            <w:r>
              <w:rPr>
                <w:rFonts w:hint="eastAsia"/>
                <w:sz w:val="15"/>
                <w:szCs w:val="15"/>
              </w:rPr>
              <w:t>5264 机动车燃料零售</w:t>
            </w:r>
          </w:p>
        </w:tc>
        <w:tc>
          <w:tcPr>
            <w:tcW w:w="2280"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建设性质</w:t>
            </w:r>
          </w:p>
        </w:tc>
        <w:tc>
          <w:tcPr>
            <w:tcW w:w="6026" w:type="dxa"/>
            <w:gridSpan w:val="6"/>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rFonts w:hint="eastAsia" w:ascii="Segoe UI Symbol" w:hAnsi="Segoe UI Symbol" w:cs="Segoe UI Symbol"/>
                <w:b/>
                <w:bCs/>
                <w:kern w:val="0"/>
                <w:sz w:val="15"/>
                <w:szCs w:val="15"/>
                <w:lang w:eastAsia="zh-CN"/>
              </w:rPr>
              <w:t>☑</w:t>
            </w:r>
            <w:r>
              <w:rPr>
                <w:b/>
                <w:bCs/>
                <w:kern w:val="0"/>
                <w:sz w:val="15"/>
                <w:szCs w:val="15"/>
              </w:rPr>
              <w:t xml:space="preserve">新建  </w:t>
            </w:r>
            <w:r>
              <w:rPr>
                <w:rFonts w:hint="eastAsia"/>
                <w:b/>
                <w:bCs/>
                <w:kern w:val="0"/>
                <w:sz w:val="15"/>
                <w:szCs w:val="15"/>
                <w:lang w:eastAsia="zh-CN"/>
              </w:rPr>
              <w:t>□</w:t>
            </w:r>
            <w:r>
              <w:rPr>
                <w:b/>
                <w:bCs/>
                <w:kern w:val="0"/>
                <w:sz w:val="15"/>
                <w:szCs w:val="15"/>
              </w:rPr>
              <w:t xml:space="preserve"> 改扩建</w:t>
            </w:r>
            <w:r>
              <w:rPr>
                <w:b/>
                <w:bCs/>
                <w:spacing w:val="30"/>
                <w:kern w:val="0"/>
                <w:sz w:val="15"/>
                <w:szCs w:val="15"/>
              </w:rPr>
              <w:t xml:space="preserve"> </w:t>
            </w:r>
            <w:r>
              <w:rPr>
                <w:b/>
                <w:bCs/>
                <w:kern w:val="0"/>
                <w:sz w:val="15"/>
                <w:szCs w:val="15"/>
              </w:rPr>
              <w:t>□技术改造</w:t>
            </w:r>
          </w:p>
        </w:tc>
      </w:tr>
      <w:tr>
        <w:tblPrEx>
          <w:tblCellMar>
            <w:top w:w="0" w:type="dxa"/>
            <w:left w:w="0" w:type="dxa"/>
            <w:bottom w:w="0" w:type="dxa"/>
            <w:right w:w="0" w:type="dxa"/>
          </w:tblCellMar>
        </w:tblPrEx>
        <w:trPr>
          <w:jc w:val="center"/>
        </w:trPr>
        <w:tc>
          <w:tcPr>
            <w:tcW w:w="439" w:type="dxa"/>
            <w:vMerge w:val="continue"/>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p>
        </w:tc>
        <w:tc>
          <w:tcPr>
            <w:tcW w:w="2017" w:type="dxa"/>
            <w:gridSpan w:val="3"/>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00" w:lineRule="exact"/>
              <w:jc w:val="center"/>
              <w:rPr>
                <w:b/>
                <w:kern w:val="0"/>
                <w:sz w:val="15"/>
                <w:szCs w:val="15"/>
              </w:rPr>
            </w:pPr>
            <w:r>
              <w:rPr>
                <w:b/>
                <w:bCs/>
                <w:kern w:val="0"/>
                <w:sz w:val="15"/>
                <w:szCs w:val="15"/>
              </w:rPr>
              <w:t>设计生产能力</w:t>
            </w:r>
          </w:p>
        </w:tc>
        <w:tc>
          <w:tcPr>
            <w:tcW w:w="5540" w:type="dxa"/>
            <w:gridSpan w:val="6"/>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00" w:lineRule="exact"/>
              <w:jc w:val="center"/>
              <w:rPr>
                <w:kern w:val="0"/>
                <w:sz w:val="15"/>
                <w:szCs w:val="15"/>
              </w:rPr>
            </w:pPr>
            <w:r>
              <w:rPr>
                <w:rFonts w:hint="eastAsia"/>
                <w:kern w:val="0"/>
                <w:sz w:val="15"/>
                <w:szCs w:val="15"/>
              </w:rPr>
              <w:t>汽油</w:t>
            </w:r>
            <w:r>
              <w:rPr>
                <w:rFonts w:hint="eastAsia"/>
                <w:kern w:val="0"/>
                <w:sz w:val="15"/>
                <w:szCs w:val="15"/>
                <w:lang w:val="en-US" w:eastAsia="zh-CN"/>
              </w:rPr>
              <w:t>1540</w:t>
            </w:r>
            <w:r>
              <w:rPr>
                <w:rFonts w:hint="eastAsia"/>
                <w:kern w:val="0"/>
                <w:sz w:val="15"/>
                <w:szCs w:val="15"/>
              </w:rPr>
              <w:t>t/a，柴油</w:t>
            </w:r>
            <w:r>
              <w:rPr>
                <w:rFonts w:hint="eastAsia"/>
                <w:kern w:val="0"/>
                <w:sz w:val="15"/>
                <w:szCs w:val="15"/>
                <w:lang w:val="en-US" w:eastAsia="zh-CN"/>
              </w:rPr>
              <w:t>66</w:t>
            </w:r>
            <w:r>
              <w:rPr>
                <w:rFonts w:hint="eastAsia"/>
                <w:kern w:val="0"/>
                <w:sz w:val="15"/>
                <w:szCs w:val="15"/>
              </w:rPr>
              <w:t>0t/a</w:t>
            </w:r>
          </w:p>
        </w:tc>
        <w:tc>
          <w:tcPr>
            <w:tcW w:w="2280"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00" w:lineRule="exact"/>
              <w:jc w:val="center"/>
              <w:rPr>
                <w:b/>
                <w:kern w:val="0"/>
                <w:sz w:val="15"/>
                <w:szCs w:val="15"/>
              </w:rPr>
            </w:pPr>
            <w:r>
              <w:rPr>
                <w:b/>
                <w:bCs/>
                <w:kern w:val="0"/>
                <w:sz w:val="15"/>
                <w:szCs w:val="15"/>
              </w:rPr>
              <w:t>实际生产能力</w:t>
            </w: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00" w:lineRule="exact"/>
              <w:jc w:val="center"/>
              <w:rPr>
                <w:b/>
                <w:bCs/>
                <w:color w:val="000000"/>
                <w:kern w:val="0"/>
                <w:sz w:val="15"/>
                <w:szCs w:val="15"/>
              </w:rPr>
            </w:pPr>
            <w:r>
              <w:rPr>
                <w:rFonts w:hint="eastAsia"/>
                <w:kern w:val="0"/>
                <w:sz w:val="15"/>
                <w:szCs w:val="15"/>
              </w:rPr>
              <w:t>汽油</w:t>
            </w:r>
            <w:r>
              <w:rPr>
                <w:rFonts w:hint="eastAsia"/>
                <w:kern w:val="0"/>
                <w:sz w:val="15"/>
                <w:szCs w:val="15"/>
                <w:lang w:val="en-US" w:eastAsia="zh-CN"/>
              </w:rPr>
              <w:t>1540</w:t>
            </w:r>
            <w:r>
              <w:rPr>
                <w:rFonts w:hint="eastAsia"/>
                <w:kern w:val="0"/>
                <w:sz w:val="15"/>
                <w:szCs w:val="15"/>
              </w:rPr>
              <w:t>t/a，柴油</w:t>
            </w:r>
            <w:r>
              <w:rPr>
                <w:rFonts w:hint="eastAsia"/>
                <w:kern w:val="0"/>
                <w:sz w:val="15"/>
                <w:szCs w:val="15"/>
                <w:lang w:val="en-US" w:eastAsia="zh-CN"/>
              </w:rPr>
              <w:t>66</w:t>
            </w:r>
            <w:r>
              <w:rPr>
                <w:rFonts w:hint="eastAsia"/>
                <w:kern w:val="0"/>
                <w:sz w:val="15"/>
                <w:szCs w:val="15"/>
              </w:rPr>
              <w:t>0t/</w:t>
            </w:r>
            <w:r>
              <w:rPr>
                <w:rFonts w:hint="eastAsia"/>
                <w:color w:val="000000"/>
                <w:kern w:val="0"/>
                <w:sz w:val="15"/>
                <w:szCs w:val="15"/>
              </w:rPr>
              <w:t>a</w:t>
            </w:r>
          </w:p>
        </w:tc>
        <w:tc>
          <w:tcPr>
            <w:tcW w:w="1766"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00" w:lineRule="exact"/>
              <w:jc w:val="center"/>
              <w:rPr>
                <w:b/>
                <w:kern w:val="0"/>
                <w:sz w:val="15"/>
                <w:szCs w:val="15"/>
              </w:rPr>
            </w:pPr>
            <w:r>
              <w:rPr>
                <w:b/>
                <w:bCs/>
                <w:kern w:val="0"/>
                <w:sz w:val="15"/>
                <w:szCs w:val="15"/>
              </w:rPr>
              <w:t>环评单位</w:t>
            </w:r>
          </w:p>
        </w:tc>
        <w:tc>
          <w:tcPr>
            <w:tcW w:w="2512" w:type="dxa"/>
            <w:gridSpan w:val="3"/>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00" w:lineRule="exact"/>
              <w:jc w:val="center"/>
              <w:rPr>
                <w:sz w:val="15"/>
                <w:szCs w:val="15"/>
              </w:rPr>
            </w:pPr>
            <w:r>
              <w:rPr>
                <w:rFonts w:hint="eastAsia"/>
                <w:sz w:val="15"/>
                <w:szCs w:val="15"/>
              </w:rPr>
              <w:t>江西省核工业地质局测试研究中心</w:t>
            </w:r>
          </w:p>
        </w:tc>
      </w:tr>
      <w:tr>
        <w:tblPrEx>
          <w:tblCellMar>
            <w:top w:w="0" w:type="dxa"/>
            <w:left w:w="0" w:type="dxa"/>
            <w:bottom w:w="0" w:type="dxa"/>
            <w:right w:w="0" w:type="dxa"/>
          </w:tblCellMar>
        </w:tblPrEx>
        <w:trPr>
          <w:jc w:val="center"/>
        </w:trPr>
        <w:tc>
          <w:tcPr>
            <w:tcW w:w="439" w:type="dxa"/>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2017" w:type="dxa"/>
            <w:gridSpan w:val="3"/>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环评文件审批机关</w:t>
            </w:r>
          </w:p>
        </w:tc>
        <w:tc>
          <w:tcPr>
            <w:tcW w:w="5540" w:type="dxa"/>
            <w:gridSpan w:val="6"/>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kern w:val="0"/>
                <w:sz w:val="15"/>
                <w:szCs w:val="15"/>
                <w:lang w:eastAsia="zh-CN"/>
              </w:rPr>
            </w:pPr>
            <w:r>
              <w:rPr>
                <w:rFonts w:hint="eastAsia"/>
                <w:bCs/>
                <w:kern w:val="0"/>
                <w:sz w:val="15"/>
                <w:szCs w:val="15"/>
                <w:lang w:eastAsia="zh-CN"/>
              </w:rPr>
              <w:t>资溪县行政审批局</w:t>
            </w:r>
          </w:p>
        </w:tc>
        <w:tc>
          <w:tcPr>
            <w:tcW w:w="2280"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审批文号</w:t>
            </w: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r>
              <w:rPr>
                <w:rFonts w:hint="eastAsia"/>
                <w:kern w:val="0"/>
                <w:sz w:val="15"/>
                <w:szCs w:val="15"/>
                <w:lang w:eastAsia="zh-CN"/>
              </w:rPr>
              <w:t>资行审批</w:t>
            </w:r>
            <w:r>
              <w:rPr>
                <w:rFonts w:hint="eastAsia"/>
                <w:kern w:val="0"/>
                <w:sz w:val="15"/>
                <w:szCs w:val="15"/>
              </w:rPr>
              <w:t>[20</w:t>
            </w:r>
            <w:r>
              <w:rPr>
                <w:rFonts w:hint="eastAsia"/>
                <w:kern w:val="0"/>
                <w:sz w:val="15"/>
                <w:szCs w:val="15"/>
                <w:lang w:val="en-US" w:eastAsia="zh-CN"/>
              </w:rPr>
              <w:t>20</w:t>
            </w:r>
            <w:r>
              <w:rPr>
                <w:rFonts w:hint="eastAsia"/>
                <w:kern w:val="0"/>
                <w:sz w:val="15"/>
                <w:szCs w:val="15"/>
              </w:rPr>
              <w:t>]</w:t>
            </w:r>
            <w:r>
              <w:rPr>
                <w:rFonts w:hint="eastAsia"/>
                <w:kern w:val="0"/>
                <w:sz w:val="15"/>
                <w:szCs w:val="15"/>
                <w:lang w:val="en-US" w:eastAsia="zh-CN"/>
              </w:rPr>
              <w:t>467</w:t>
            </w:r>
            <w:r>
              <w:rPr>
                <w:rFonts w:hint="eastAsia"/>
                <w:kern w:val="0"/>
                <w:sz w:val="15"/>
                <w:szCs w:val="15"/>
              </w:rPr>
              <w:t>号</w:t>
            </w:r>
          </w:p>
        </w:tc>
        <w:tc>
          <w:tcPr>
            <w:tcW w:w="1766"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环评文件类型</w:t>
            </w:r>
          </w:p>
        </w:tc>
        <w:tc>
          <w:tcPr>
            <w:tcW w:w="2512" w:type="dxa"/>
            <w:gridSpan w:val="3"/>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sz w:val="15"/>
                <w:szCs w:val="15"/>
              </w:rPr>
            </w:pPr>
            <w:r>
              <w:rPr>
                <w:sz w:val="15"/>
                <w:szCs w:val="15"/>
              </w:rPr>
              <w:t>环境影响</w:t>
            </w:r>
            <w:r>
              <w:rPr>
                <w:rFonts w:hint="eastAsia"/>
                <w:sz w:val="15"/>
                <w:szCs w:val="15"/>
              </w:rPr>
              <w:t>评价</w:t>
            </w:r>
            <w:r>
              <w:rPr>
                <w:sz w:val="15"/>
                <w:szCs w:val="15"/>
              </w:rPr>
              <w:t>报告</w:t>
            </w:r>
            <w:r>
              <w:rPr>
                <w:rFonts w:hint="eastAsia"/>
                <w:sz w:val="15"/>
                <w:szCs w:val="15"/>
              </w:rPr>
              <w:t>表</w:t>
            </w:r>
          </w:p>
        </w:tc>
      </w:tr>
      <w:tr>
        <w:tblPrEx>
          <w:tblCellMar>
            <w:top w:w="0" w:type="dxa"/>
            <w:left w:w="0" w:type="dxa"/>
            <w:bottom w:w="0" w:type="dxa"/>
            <w:right w:w="0" w:type="dxa"/>
          </w:tblCellMar>
        </w:tblPrEx>
        <w:trPr>
          <w:jc w:val="center"/>
        </w:trPr>
        <w:tc>
          <w:tcPr>
            <w:tcW w:w="439" w:type="dxa"/>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2017" w:type="dxa"/>
            <w:gridSpan w:val="3"/>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开工日期</w:t>
            </w:r>
          </w:p>
        </w:tc>
        <w:tc>
          <w:tcPr>
            <w:tcW w:w="5540" w:type="dxa"/>
            <w:gridSpan w:val="6"/>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color w:val="000000"/>
                <w:kern w:val="0"/>
                <w:sz w:val="15"/>
                <w:szCs w:val="15"/>
                <w:lang w:val="en-US" w:eastAsia="zh-CN"/>
              </w:rPr>
            </w:pPr>
            <w:r>
              <w:rPr>
                <w:rFonts w:hint="eastAsia"/>
                <w:color w:val="000000"/>
                <w:kern w:val="0"/>
                <w:sz w:val="15"/>
                <w:szCs w:val="15"/>
                <w:highlight w:val="none"/>
                <w:lang w:val="en-US" w:eastAsia="zh-CN"/>
              </w:rPr>
              <w:t>2020年11月</w:t>
            </w:r>
          </w:p>
        </w:tc>
        <w:tc>
          <w:tcPr>
            <w:tcW w:w="2280"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竣工日期</w:t>
            </w: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color w:val="000000"/>
                <w:kern w:val="0"/>
                <w:sz w:val="15"/>
                <w:szCs w:val="15"/>
                <w:lang w:val="en-US" w:eastAsia="zh-CN"/>
              </w:rPr>
            </w:pPr>
            <w:r>
              <w:rPr>
                <w:rFonts w:hint="eastAsia"/>
                <w:color w:val="000000"/>
                <w:kern w:val="0"/>
                <w:sz w:val="15"/>
                <w:szCs w:val="15"/>
                <w:lang w:val="en-US" w:eastAsia="zh-CN"/>
              </w:rPr>
              <w:t>2020年12月</w:t>
            </w:r>
          </w:p>
        </w:tc>
        <w:tc>
          <w:tcPr>
            <w:tcW w:w="1766"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排污许可证申领时间</w:t>
            </w:r>
          </w:p>
        </w:tc>
        <w:tc>
          <w:tcPr>
            <w:tcW w:w="2512" w:type="dxa"/>
            <w:gridSpan w:val="3"/>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sz w:val="15"/>
                <w:szCs w:val="15"/>
                <w:lang w:val="en-US" w:eastAsia="zh-CN"/>
              </w:rPr>
            </w:pPr>
            <w:r>
              <w:rPr>
                <w:rFonts w:hint="eastAsia"/>
                <w:sz w:val="15"/>
                <w:szCs w:val="15"/>
                <w:lang w:val="en-US" w:eastAsia="zh-CN"/>
              </w:rPr>
              <w:t>/</w:t>
            </w:r>
          </w:p>
        </w:tc>
      </w:tr>
      <w:tr>
        <w:tblPrEx>
          <w:tblCellMar>
            <w:top w:w="0" w:type="dxa"/>
            <w:left w:w="0" w:type="dxa"/>
            <w:bottom w:w="0" w:type="dxa"/>
            <w:right w:w="0" w:type="dxa"/>
          </w:tblCellMar>
        </w:tblPrEx>
        <w:trPr>
          <w:jc w:val="center"/>
        </w:trPr>
        <w:tc>
          <w:tcPr>
            <w:tcW w:w="439" w:type="dxa"/>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2017" w:type="dxa"/>
            <w:gridSpan w:val="3"/>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环保设施设计单位</w:t>
            </w:r>
          </w:p>
        </w:tc>
        <w:tc>
          <w:tcPr>
            <w:tcW w:w="5540" w:type="dxa"/>
            <w:gridSpan w:val="6"/>
            <w:tcBorders>
              <w:top w:val="single" w:color="231F20" w:sz="4" w:space="0"/>
              <w:left w:val="single" w:color="231F20" w:sz="4" w:space="0"/>
              <w:bottom w:val="single" w:color="231F20" w:sz="4" w:space="0"/>
              <w:right w:val="single" w:color="231F20" w:sz="4" w:space="0"/>
            </w:tcBorders>
            <w:vAlign w:val="center"/>
          </w:tcPr>
          <w:p>
            <w:pPr>
              <w:spacing w:line="240" w:lineRule="exact"/>
              <w:jc w:val="center"/>
              <w:rPr>
                <w:kern w:val="0"/>
                <w:sz w:val="15"/>
                <w:szCs w:val="15"/>
              </w:rPr>
            </w:pPr>
            <w:r>
              <w:rPr>
                <w:rFonts w:hint="eastAsia"/>
                <w:bCs/>
                <w:kern w:val="0"/>
                <w:sz w:val="15"/>
                <w:szCs w:val="15"/>
              </w:rPr>
              <w:t>中国石化销售股份有限公司</w:t>
            </w:r>
            <w:r>
              <w:rPr>
                <w:rFonts w:hint="eastAsia"/>
                <w:kern w:val="0"/>
                <w:sz w:val="15"/>
                <w:szCs w:val="15"/>
              </w:rPr>
              <w:t>江西抚州资溪石油分公司</w:t>
            </w:r>
          </w:p>
        </w:tc>
        <w:tc>
          <w:tcPr>
            <w:tcW w:w="2280"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环保设施施工单位</w:t>
            </w: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color w:val="000000"/>
                <w:kern w:val="0"/>
                <w:sz w:val="15"/>
                <w:szCs w:val="15"/>
              </w:rPr>
            </w:pPr>
            <w:r>
              <w:rPr>
                <w:rFonts w:hint="eastAsia"/>
                <w:bCs/>
                <w:kern w:val="0"/>
                <w:sz w:val="15"/>
                <w:szCs w:val="15"/>
              </w:rPr>
              <w:t>中国石化销售股份有限公司</w:t>
            </w:r>
            <w:r>
              <w:rPr>
                <w:rFonts w:hint="eastAsia"/>
                <w:kern w:val="0"/>
                <w:sz w:val="15"/>
                <w:szCs w:val="15"/>
              </w:rPr>
              <w:t>江西抚州资溪石油分公司</w:t>
            </w:r>
          </w:p>
        </w:tc>
        <w:tc>
          <w:tcPr>
            <w:tcW w:w="1766"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本工程排污许可证编号</w:t>
            </w:r>
          </w:p>
        </w:tc>
        <w:tc>
          <w:tcPr>
            <w:tcW w:w="2512" w:type="dxa"/>
            <w:gridSpan w:val="3"/>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sz w:val="15"/>
                <w:szCs w:val="15"/>
                <w:lang w:val="en-US" w:eastAsia="zh-CN"/>
              </w:rPr>
            </w:pPr>
            <w:r>
              <w:rPr>
                <w:rFonts w:hint="eastAsia"/>
                <w:sz w:val="15"/>
                <w:szCs w:val="15"/>
                <w:lang w:val="en-US" w:eastAsia="zh-CN"/>
              </w:rPr>
              <w:t>/</w:t>
            </w:r>
          </w:p>
        </w:tc>
      </w:tr>
      <w:tr>
        <w:tblPrEx>
          <w:tblCellMar>
            <w:top w:w="0" w:type="dxa"/>
            <w:left w:w="0" w:type="dxa"/>
            <w:bottom w:w="0" w:type="dxa"/>
            <w:right w:w="0" w:type="dxa"/>
          </w:tblCellMar>
        </w:tblPrEx>
        <w:trPr>
          <w:jc w:val="center"/>
        </w:trPr>
        <w:tc>
          <w:tcPr>
            <w:tcW w:w="439" w:type="dxa"/>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2017" w:type="dxa"/>
            <w:gridSpan w:val="3"/>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验收单位</w:t>
            </w:r>
          </w:p>
        </w:tc>
        <w:tc>
          <w:tcPr>
            <w:tcW w:w="5540" w:type="dxa"/>
            <w:gridSpan w:val="6"/>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r>
              <w:rPr>
                <w:rFonts w:hint="eastAsia"/>
                <w:kern w:val="0"/>
                <w:sz w:val="15"/>
                <w:szCs w:val="15"/>
              </w:rPr>
              <w:t>江西省粤环科检测技术有限公司</w:t>
            </w:r>
          </w:p>
        </w:tc>
        <w:tc>
          <w:tcPr>
            <w:tcW w:w="2280"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环保设施监测单位</w:t>
            </w: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color w:val="000000"/>
                <w:kern w:val="0"/>
                <w:sz w:val="15"/>
                <w:szCs w:val="15"/>
              </w:rPr>
            </w:pPr>
            <w:r>
              <w:rPr>
                <w:rFonts w:hint="eastAsia"/>
                <w:color w:val="000000"/>
                <w:kern w:val="0"/>
                <w:sz w:val="15"/>
                <w:szCs w:val="15"/>
              </w:rPr>
              <w:t>/</w:t>
            </w:r>
          </w:p>
        </w:tc>
        <w:tc>
          <w:tcPr>
            <w:tcW w:w="1766"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验收监测时工况</w:t>
            </w:r>
          </w:p>
        </w:tc>
        <w:tc>
          <w:tcPr>
            <w:tcW w:w="2512" w:type="dxa"/>
            <w:gridSpan w:val="3"/>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sz w:val="15"/>
                <w:szCs w:val="15"/>
              </w:rPr>
            </w:pPr>
            <w:r>
              <w:rPr>
                <w:sz w:val="15"/>
                <w:szCs w:val="15"/>
              </w:rPr>
              <w:t>＞设计产能的75%</w:t>
            </w:r>
          </w:p>
        </w:tc>
      </w:tr>
      <w:tr>
        <w:tblPrEx>
          <w:tblCellMar>
            <w:top w:w="0" w:type="dxa"/>
            <w:left w:w="0" w:type="dxa"/>
            <w:bottom w:w="0" w:type="dxa"/>
            <w:right w:w="0" w:type="dxa"/>
          </w:tblCellMar>
        </w:tblPrEx>
        <w:trPr>
          <w:jc w:val="center"/>
        </w:trPr>
        <w:tc>
          <w:tcPr>
            <w:tcW w:w="439" w:type="dxa"/>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2017" w:type="dxa"/>
            <w:gridSpan w:val="3"/>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投资总概算（万元）</w:t>
            </w:r>
          </w:p>
        </w:tc>
        <w:tc>
          <w:tcPr>
            <w:tcW w:w="5540" w:type="dxa"/>
            <w:gridSpan w:val="6"/>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color w:val="000000" w:themeColor="text1"/>
                <w:kern w:val="0"/>
                <w:sz w:val="15"/>
                <w:szCs w:val="15"/>
                <w:lang w:val="en-US" w:eastAsia="zh-CN"/>
                <w14:textFill>
                  <w14:solidFill>
                    <w14:schemeClr w14:val="tx1"/>
                  </w14:solidFill>
                </w14:textFill>
              </w:rPr>
            </w:pPr>
            <w:r>
              <w:rPr>
                <w:rFonts w:hint="eastAsia"/>
                <w:color w:val="000000" w:themeColor="text1"/>
                <w:kern w:val="0"/>
                <w:sz w:val="15"/>
                <w:szCs w:val="15"/>
                <w:lang w:val="en-US" w:eastAsia="zh-CN"/>
                <w14:textFill>
                  <w14:solidFill>
                    <w14:schemeClr w14:val="tx1"/>
                  </w14:solidFill>
                </w14:textFill>
              </w:rPr>
              <w:t>534</w:t>
            </w:r>
          </w:p>
        </w:tc>
        <w:tc>
          <w:tcPr>
            <w:tcW w:w="2280"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color w:val="000000" w:themeColor="text1"/>
                <w:kern w:val="0"/>
                <w:sz w:val="15"/>
                <w:szCs w:val="15"/>
                <w14:textFill>
                  <w14:solidFill>
                    <w14:schemeClr w14:val="tx1"/>
                  </w14:solidFill>
                </w14:textFill>
              </w:rPr>
            </w:pPr>
            <w:r>
              <w:rPr>
                <w:b/>
                <w:bCs/>
                <w:color w:val="000000" w:themeColor="text1"/>
                <w:kern w:val="0"/>
                <w:sz w:val="15"/>
                <w:szCs w:val="15"/>
                <w14:textFill>
                  <w14:solidFill>
                    <w14:schemeClr w14:val="tx1"/>
                  </w14:solidFill>
                </w14:textFill>
              </w:rPr>
              <w:t>环保投资总概算（万元）</w:t>
            </w: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color w:val="000000" w:themeColor="text1"/>
                <w:kern w:val="0"/>
                <w:sz w:val="15"/>
                <w:szCs w:val="15"/>
                <w:lang w:val="en-US" w:eastAsia="zh-CN"/>
                <w14:textFill>
                  <w14:solidFill>
                    <w14:schemeClr w14:val="tx1"/>
                  </w14:solidFill>
                </w14:textFill>
              </w:rPr>
            </w:pPr>
            <w:r>
              <w:rPr>
                <w:rFonts w:hint="eastAsia"/>
                <w:color w:val="000000" w:themeColor="text1"/>
                <w:kern w:val="0"/>
                <w:sz w:val="15"/>
                <w:szCs w:val="15"/>
                <w:lang w:val="en-US" w:eastAsia="zh-CN"/>
                <w14:textFill>
                  <w14:solidFill>
                    <w14:schemeClr w14:val="tx1"/>
                  </w14:solidFill>
                </w14:textFill>
              </w:rPr>
              <w:t>41</w:t>
            </w:r>
          </w:p>
        </w:tc>
        <w:tc>
          <w:tcPr>
            <w:tcW w:w="1766"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color w:val="000000" w:themeColor="text1"/>
                <w:kern w:val="0"/>
                <w:sz w:val="15"/>
                <w:szCs w:val="15"/>
                <w14:textFill>
                  <w14:solidFill>
                    <w14:schemeClr w14:val="tx1"/>
                  </w14:solidFill>
                </w14:textFill>
              </w:rPr>
            </w:pPr>
            <w:r>
              <w:rPr>
                <w:b/>
                <w:bCs/>
                <w:color w:val="000000" w:themeColor="text1"/>
                <w:kern w:val="0"/>
                <w:sz w:val="15"/>
                <w:szCs w:val="15"/>
                <w14:textFill>
                  <w14:solidFill>
                    <w14:schemeClr w14:val="tx1"/>
                  </w14:solidFill>
                </w14:textFill>
              </w:rPr>
              <w:t>所占比例（%）</w:t>
            </w:r>
          </w:p>
        </w:tc>
        <w:tc>
          <w:tcPr>
            <w:tcW w:w="2512" w:type="dxa"/>
            <w:gridSpan w:val="3"/>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color w:val="000000" w:themeColor="text1"/>
                <w:sz w:val="15"/>
                <w:szCs w:val="15"/>
                <w:lang w:val="en-US" w:eastAsia="zh-CN"/>
                <w14:textFill>
                  <w14:solidFill>
                    <w14:schemeClr w14:val="tx1"/>
                  </w14:solidFill>
                </w14:textFill>
              </w:rPr>
            </w:pPr>
            <w:r>
              <w:rPr>
                <w:rFonts w:hint="eastAsia"/>
                <w:color w:val="000000" w:themeColor="text1"/>
                <w:sz w:val="15"/>
                <w:szCs w:val="15"/>
                <w:lang w:val="en-US" w:eastAsia="zh-CN"/>
                <w14:textFill>
                  <w14:solidFill>
                    <w14:schemeClr w14:val="tx1"/>
                  </w14:solidFill>
                </w14:textFill>
              </w:rPr>
              <w:t>7.68</w:t>
            </w:r>
          </w:p>
        </w:tc>
      </w:tr>
      <w:tr>
        <w:tblPrEx>
          <w:tblCellMar>
            <w:top w:w="0" w:type="dxa"/>
            <w:left w:w="0" w:type="dxa"/>
            <w:bottom w:w="0" w:type="dxa"/>
            <w:right w:w="0" w:type="dxa"/>
          </w:tblCellMar>
        </w:tblPrEx>
        <w:trPr>
          <w:jc w:val="center"/>
        </w:trPr>
        <w:tc>
          <w:tcPr>
            <w:tcW w:w="439" w:type="dxa"/>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2017" w:type="dxa"/>
            <w:gridSpan w:val="3"/>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实际总投资（万元）</w:t>
            </w:r>
          </w:p>
        </w:tc>
        <w:tc>
          <w:tcPr>
            <w:tcW w:w="5540" w:type="dxa"/>
            <w:gridSpan w:val="6"/>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color w:val="000000" w:themeColor="text1"/>
                <w:kern w:val="0"/>
                <w:sz w:val="15"/>
                <w:szCs w:val="15"/>
                <w:lang w:val="en-US" w:eastAsia="zh-CN"/>
                <w14:textFill>
                  <w14:solidFill>
                    <w14:schemeClr w14:val="tx1"/>
                  </w14:solidFill>
                </w14:textFill>
              </w:rPr>
            </w:pPr>
            <w:r>
              <w:rPr>
                <w:rFonts w:hint="eastAsia"/>
                <w:color w:val="000000" w:themeColor="text1"/>
                <w:kern w:val="0"/>
                <w:sz w:val="15"/>
                <w:szCs w:val="15"/>
                <w:lang w:val="en-US" w:eastAsia="zh-CN"/>
                <w14:textFill>
                  <w14:solidFill>
                    <w14:schemeClr w14:val="tx1"/>
                  </w14:solidFill>
                </w14:textFill>
              </w:rPr>
              <w:t>534</w:t>
            </w:r>
          </w:p>
        </w:tc>
        <w:tc>
          <w:tcPr>
            <w:tcW w:w="2280"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color w:val="000000" w:themeColor="text1"/>
                <w:kern w:val="0"/>
                <w:sz w:val="15"/>
                <w:szCs w:val="15"/>
                <w14:textFill>
                  <w14:solidFill>
                    <w14:schemeClr w14:val="tx1"/>
                  </w14:solidFill>
                </w14:textFill>
              </w:rPr>
            </w:pPr>
            <w:r>
              <w:rPr>
                <w:b/>
                <w:bCs/>
                <w:color w:val="000000" w:themeColor="text1"/>
                <w:kern w:val="0"/>
                <w:sz w:val="15"/>
                <w:szCs w:val="15"/>
                <w14:textFill>
                  <w14:solidFill>
                    <w14:schemeClr w14:val="tx1"/>
                  </w14:solidFill>
                </w14:textFill>
              </w:rPr>
              <w:t>实际环保投资（万元）</w:t>
            </w: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color w:val="000000" w:themeColor="text1"/>
                <w:kern w:val="0"/>
                <w:sz w:val="15"/>
                <w:szCs w:val="15"/>
                <w:lang w:val="en-US" w:eastAsia="zh-CN"/>
                <w14:textFill>
                  <w14:solidFill>
                    <w14:schemeClr w14:val="tx1"/>
                  </w14:solidFill>
                </w14:textFill>
              </w:rPr>
            </w:pPr>
            <w:r>
              <w:rPr>
                <w:rFonts w:hint="eastAsia"/>
                <w:color w:val="000000" w:themeColor="text1"/>
                <w:kern w:val="0"/>
                <w:sz w:val="15"/>
                <w:szCs w:val="15"/>
                <w:lang w:val="en-US" w:eastAsia="zh-CN"/>
                <w14:textFill>
                  <w14:solidFill>
                    <w14:schemeClr w14:val="tx1"/>
                  </w14:solidFill>
                </w14:textFill>
              </w:rPr>
              <w:t>41</w:t>
            </w:r>
          </w:p>
        </w:tc>
        <w:tc>
          <w:tcPr>
            <w:tcW w:w="1766"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color w:val="000000" w:themeColor="text1"/>
                <w:kern w:val="0"/>
                <w:sz w:val="15"/>
                <w:szCs w:val="15"/>
                <w14:textFill>
                  <w14:solidFill>
                    <w14:schemeClr w14:val="tx1"/>
                  </w14:solidFill>
                </w14:textFill>
              </w:rPr>
            </w:pPr>
            <w:r>
              <w:rPr>
                <w:b/>
                <w:bCs/>
                <w:color w:val="000000" w:themeColor="text1"/>
                <w:kern w:val="0"/>
                <w:sz w:val="15"/>
                <w:szCs w:val="15"/>
                <w14:textFill>
                  <w14:solidFill>
                    <w14:schemeClr w14:val="tx1"/>
                  </w14:solidFill>
                </w14:textFill>
              </w:rPr>
              <w:t>所占比例（%）</w:t>
            </w:r>
          </w:p>
        </w:tc>
        <w:tc>
          <w:tcPr>
            <w:tcW w:w="2512" w:type="dxa"/>
            <w:gridSpan w:val="3"/>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color w:val="000000" w:themeColor="text1"/>
                <w:sz w:val="15"/>
                <w:szCs w:val="15"/>
                <w:lang w:val="en-US" w:eastAsia="zh-CN"/>
                <w14:textFill>
                  <w14:solidFill>
                    <w14:schemeClr w14:val="tx1"/>
                  </w14:solidFill>
                </w14:textFill>
              </w:rPr>
            </w:pPr>
            <w:r>
              <w:rPr>
                <w:rFonts w:hint="eastAsia"/>
                <w:color w:val="000000" w:themeColor="text1"/>
                <w:sz w:val="15"/>
                <w:szCs w:val="15"/>
                <w:lang w:val="en-US" w:eastAsia="zh-CN"/>
                <w14:textFill>
                  <w14:solidFill>
                    <w14:schemeClr w14:val="tx1"/>
                  </w14:solidFill>
                </w14:textFill>
              </w:rPr>
              <w:t>7.68</w:t>
            </w:r>
          </w:p>
        </w:tc>
      </w:tr>
      <w:tr>
        <w:tblPrEx>
          <w:tblCellMar>
            <w:top w:w="0" w:type="dxa"/>
            <w:left w:w="0" w:type="dxa"/>
            <w:bottom w:w="0" w:type="dxa"/>
            <w:right w:w="0" w:type="dxa"/>
          </w:tblCellMar>
        </w:tblPrEx>
        <w:trPr>
          <w:jc w:val="center"/>
        </w:trPr>
        <w:tc>
          <w:tcPr>
            <w:tcW w:w="439" w:type="dxa"/>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2017" w:type="dxa"/>
            <w:gridSpan w:val="3"/>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color w:val="000000"/>
                <w:kern w:val="0"/>
                <w:sz w:val="15"/>
                <w:szCs w:val="15"/>
              </w:rPr>
            </w:pPr>
            <w:r>
              <w:rPr>
                <w:b/>
                <w:bCs/>
                <w:color w:val="000000"/>
                <w:kern w:val="0"/>
                <w:sz w:val="15"/>
                <w:szCs w:val="15"/>
              </w:rPr>
              <w:t>废水治理（万元）</w:t>
            </w:r>
          </w:p>
        </w:tc>
        <w:tc>
          <w:tcPr>
            <w:tcW w:w="85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color w:val="000000" w:themeColor="text1"/>
                <w:kern w:val="0"/>
                <w:sz w:val="15"/>
                <w:szCs w:val="15"/>
                <w:lang w:val="en-US" w:eastAsia="zh-CN"/>
                <w14:textFill>
                  <w14:solidFill>
                    <w14:schemeClr w14:val="tx1"/>
                  </w14:solidFill>
                </w14:textFill>
              </w:rPr>
            </w:pPr>
            <w:r>
              <w:rPr>
                <w:rFonts w:hint="eastAsia"/>
                <w:color w:val="000000" w:themeColor="text1"/>
                <w:kern w:val="0"/>
                <w:sz w:val="15"/>
                <w:szCs w:val="15"/>
                <w:lang w:val="en-US" w:eastAsia="zh-CN"/>
                <w14:textFill>
                  <w14:solidFill>
                    <w14:schemeClr w14:val="tx1"/>
                  </w14:solidFill>
                </w14:textFill>
              </w:rPr>
              <w:t>9</w:t>
            </w:r>
          </w:p>
        </w:tc>
        <w:tc>
          <w:tcPr>
            <w:tcW w:w="1417"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color w:val="000000" w:themeColor="text1"/>
                <w:kern w:val="0"/>
                <w:sz w:val="15"/>
                <w:szCs w:val="15"/>
                <w14:textFill>
                  <w14:solidFill>
                    <w14:schemeClr w14:val="tx1"/>
                  </w14:solidFill>
                </w14:textFill>
              </w:rPr>
            </w:pPr>
            <w:r>
              <w:rPr>
                <w:b/>
                <w:bCs/>
                <w:color w:val="000000" w:themeColor="text1"/>
                <w:kern w:val="0"/>
                <w:sz w:val="15"/>
                <w:szCs w:val="15"/>
                <w14:textFill>
                  <w14:solidFill>
                    <w14:schemeClr w14:val="tx1"/>
                  </w14:solidFill>
                </w14:textFill>
              </w:rPr>
              <w:t>废气治理（万元）</w:t>
            </w: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color w:val="000000" w:themeColor="text1"/>
                <w:kern w:val="0"/>
                <w:sz w:val="15"/>
                <w:szCs w:val="15"/>
                <w:lang w:val="en-US" w:eastAsia="zh-CN"/>
                <w14:textFill>
                  <w14:solidFill>
                    <w14:schemeClr w14:val="tx1"/>
                  </w14:solidFill>
                </w14:textFill>
              </w:rPr>
            </w:pPr>
            <w:r>
              <w:rPr>
                <w:rFonts w:hint="eastAsia"/>
                <w:color w:val="000000" w:themeColor="text1"/>
                <w:kern w:val="0"/>
                <w:sz w:val="15"/>
                <w:szCs w:val="15"/>
                <w:lang w:val="en-US" w:eastAsia="zh-CN"/>
                <w14:textFill>
                  <w14:solidFill>
                    <w14:schemeClr w14:val="tx1"/>
                  </w14:solidFill>
                </w14:textFill>
              </w:rPr>
              <w:t>13</w:t>
            </w:r>
          </w:p>
        </w:tc>
        <w:tc>
          <w:tcPr>
            <w:tcW w:w="1381"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color w:val="000000" w:themeColor="text1"/>
                <w:kern w:val="0"/>
                <w:sz w:val="15"/>
                <w:szCs w:val="15"/>
                <w14:textFill>
                  <w14:solidFill>
                    <w14:schemeClr w14:val="tx1"/>
                  </w14:solidFill>
                </w14:textFill>
              </w:rPr>
            </w:pPr>
            <w:r>
              <w:rPr>
                <w:b/>
                <w:bCs/>
                <w:color w:val="000000" w:themeColor="text1"/>
                <w:kern w:val="0"/>
                <w:sz w:val="15"/>
                <w:szCs w:val="15"/>
                <w14:textFill>
                  <w14:solidFill>
                    <w14:schemeClr w14:val="tx1"/>
                  </w14:solidFill>
                </w14:textFill>
              </w:rPr>
              <w:t>噪声治理（万元）</w:t>
            </w:r>
          </w:p>
        </w:tc>
        <w:tc>
          <w:tcPr>
            <w:tcW w:w="76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color w:val="000000" w:themeColor="text1"/>
                <w:kern w:val="0"/>
                <w:sz w:val="15"/>
                <w:szCs w:val="15"/>
                <w:lang w:val="en-US" w:eastAsia="zh-CN"/>
                <w14:textFill>
                  <w14:solidFill>
                    <w14:schemeClr w14:val="tx1"/>
                  </w14:solidFill>
                </w14:textFill>
              </w:rPr>
            </w:pPr>
            <w:r>
              <w:rPr>
                <w:rFonts w:hint="eastAsia"/>
                <w:color w:val="000000" w:themeColor="text1"/>
                <w:kern w:val="0"/>
                <w:sz w:val="15"/>
                <w:szCs w:val="15"/>
                <w:lang w:val="en-US" w:eastAsia="zh-CN"/>
                <w14:textFill>
                  <w14:solidFill>
                    <w14:schemeClr w14:val="tx1"/>
                  </w14:solidFill>
                </w14:textFill>
              </w:rPr>
              <w:t>10</w:t>
            </w:r>
          </w:p>
        </w:tc>
        <w:tc>
          <w:tcPr>
            <w:tcW w:w="2280"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color w:val="000000" w:themeColor="text1"/>
                <w:kern w:val="0"/>
                <w:sz w:val="15"/>
                <w:szCs w:val="15"/>
                <w14:textFill>
                  <w14:solidFill>
                    <w14:schemeClr w14:val="tx1"/>
                  </w14:solidFill>
                </w14:textFill>
              </w:rPr>
            </w:pPr>
            <w:r>
              <w:rPr>
                <w:b/>
                <w:bCs/>
                <w:color w:val="000000" w:themeColor="text1"/>
                <w:kern w:val="0"/>
                <w:sz w:val="15"/>
                <w:szCs w:val="15"/>
                <w14:textFill>
                  <w14:solidFill>
                    <w14:schemeClr w14:val="tx1"/>
                  </w14:solidFill>
                </w14:textFill>
              </w:rPr>
              <w:t>固体废物治理（万元）</w:t>
            </w: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color w:val="000000" w:themeColor="text1"/>
                <w:kern w:val="0"/>
                <w:sz w:val="15"/>
                <w:szCs w:val="15"/>
                <w:lang w:val="en-US" w:eastAsia="zh-CN"/>
                <w14:textFill>
                  <w14:solidFill>
                    <w14:schemeClr w14:val="tx1"/>
                  </w14:solidFill>
                </w14:textFill>
              </w:rPr>
            </w:pPr>
            <w:r>
              <w:rPr>
                <w:rFonts w:hint="eastAsia"/>
                <w:color w:val="000000" w:themeColor="text1"/>
                <w:kern w:val="0"/>
                <w:sz w:val="15"/>
                <w:szCs w:val="15"/>
                <w:lang w:val="en-US" w:eastAsia="zh-CN"/>
                <w14:textFill>
                  <w14:solidFill>
                    <w14:schemeClr w14:val="tx1"/>
                  </w14:solidFill>
                </w14:textFill>
              </w:rPr>
              <w:t>4</w:t>
            </w:r>
          </w:p>
        </w:tc>
        <w:tc>
          <w:tcPr>
            <w:tcW w:w="1766"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color w:val="000000" w:themeColor="text1"/>
                <w:kern w:val="0"/>
                <w:sz w:val="15"/>
                <w:szCs w:val="15"/>
                <w14:textFill>
                  <w14:solidFill>
                    <w14:schemeClr w14:val="tx1"/>
                  </w14:solidFill>
                </w14:textFill>
              </w:rPr>
            </w:pPr>
            <w:r>
              <w:rPr>
                <w:b/>
                <w:bCs/>
                <w:color w:val="000000" w:themeColor="text1"/>
                <w:kern w:val="0"/>
                <w:sz w:val="15"/>
                <w:szCs w:val="15"/>
                <w14:textFill>
                  <w14:solidFill>
                    <w14:schemeClr w14:val="tx1"/>
                  </w14:solidFill>
                </w14:textFill>
              </w:rPr>
              <w:t>绿化及生态（万元）</w:t>
            </w:r>
          </w:p>
        </w:tc>
        <w:tc>
          <w:tcPr>
            <w:tcW w:w="56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color w:val="000000" w:themeColor="text1"/>
                <w:kern w:val="0"/>
                <w:sz w:val="15"/>
                <w:szCs w:val="15"/>
                <w:lang w:val="en-US" w:eastAsia="zh-CN"/>
                <w14:textFill>
                  <w14:solidFill>
                    <w14:schemeClr w14:val="tx1"/>
                  </w14:solidFill>
                </w14:textFill>
              </w:rPr>
            </w:pPr>
            <w:r>
              <w:rPr>
                <w:rFonts w:hint="eastAsia"/>
                <w:color w:val="000000" w:themeColor="text1"/>
                <w:kern w:val="0"/>
                <w:sz w:val="15"/>
                <w:szCs w:val="15"/>
                <w:lang w:val="en-US" w:eastAsia="zh-CN"/>
                <w14:textFill>
                  <w14:solidFill>
                    <w14:schemeClr w14:val="tx1"/>
                  </w14:solidFill>
                </w14:textFill>
              </w:rPr>
              <w:t>2</w:t>
            </w:r>
          </w:p>
        </w:tc>
        <w:tc>
          <w:tcPr>
            <w:tcW w:w="1132"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color w:val="000000" w:themeColor="text1"/>
                <w:kern w:val="0"/>
                <w:sz w:val="15"/>
                <w:szCs w:val="15"/>
                <w14:textFill>
                  <w14:solidFill>
                    <w14:schemeClr w14:val="tx1"/>
                  </w14:solidFill>
                </w14:textFill>
              </w:rPr>
            </w:pPr>
            <w:r>
              <w:rPr>
                <w:b/>
                <w:bCs/>
                <w:color w:val="000000" w:themeColor="text1"/>
                <w:kern w:val="0"/>
                <w:sz w:val="15"/>
                <w:szCs w:val="15"/>
                <w14:textFill>
                  <w14:solidFill>
                    <w14:schemeClr w14:val="tx1"/>
                  </w14:solidFill>
                </w14:textFill>
              </w:rPr>
              <w:t>其他（万元）</w:t>
            </w: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bCs/>
                <w:color w:val="000000" w:themeColor="text1"/>
                <w:kern w:val="0"/>
                <w:sz w:val="15"/>
                <w:szCs w:val="15"/>
                <w:lang w:val="en-US" w:eastAsia="zh-CN"/>
                <w14:textFill>
                  <w14:solidFill>
                    <w14:schemeClr w14:val="tx1"/>
                  </w14:solidFill>
                </w14:textFill>
              </w:rPr>
            </w:pPr>
            <w:r>
              <w:rPr>
                <w:rFonts w:hint="eastAsia"/>
                <w:bCs/>
                <w:color w:val="000000" w:themeColor="text1"/>
                <w:kern w:val="0"/>
                <w:sz w:val="15"/>
                <w:szCs w:val="15"/>
                <w:lang w:val="en-US" w:eastAsia="zh-CN"/>
                <w14:textFill>
                  <w14:solidFill>
                    <w14:schemeClr w14:val="tx1"/>
                  </w14:solidFill>
                </w14:textFill>
              </w:rPr>
              <w:t>3</w:t>
            </w:r>
          </w:p>
        </w:tc>
      </w:tr>
      <w:tr>
        <w:tblPrEx>
          <w:tblCellMar>
            <w:top w:w="0" w:type="dxa"/>
            <w:left w:w="0" w:type="dxa"/>
            <w:bottom w:w="0" w:type="dxa"/>
            <w:right w:w="0" w:type="dxa"/>
          </w:tblCellMar>
        </w:tblPrEx>
        <w:trPr>
          <w:jc w:val="center"/>
        </w:trPr>
        <w:tc>
          <w:tcPr>
            <w:tcW w:w="439" w:type="dxa"/>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2017" w:type="dxa"/>
            <w:gridSpan w:val="3"/>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color w:val="000000" w:themeColor="text1"/>
                <w:kern w:val="0"/>
                <w:sz w:val="15"/>
                <w:szCs w:val="15"/>
                <w14:textFill>
                  <w14:solidFill>
                    <w14:schemeClr w14:val="tx1"/>
                  </w14:solidFill>
                </w14:textFill>
              </w:rPr>
            </w:pPr>
            <w:r>
              <w:rPr>
                <w:b/>
                <w:bCs/>
                <w:color w:val="000000" w:themeColor="text1"/>
                <w:kern w:val="0"/>
                <w:sz w:val="15"/>
                <w:szCs w:val="15"/>
                <w14:textFill>
                  <w14:solidFill>
                    <w14:schemeClr w14:val="tx1"/>
                  </w14:solidFill>
                </w14:textFill>
              </w:rPr>
              <w:t>新增废水处理设施能力</w:t>
            </w:r>
          </w:p>
        </w:tc>
        <w:tc>
          <w:tcPr>
            <w:tcW w:w="5540" w:type="dxa"/>
            <w:gridSpan w:val="6"/>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b/>
                <w:color w:val="000000" w:themeColor="text1"/>
                <w:kern w:val="0"/>
                <w:sz w:val="15"/>
                <w:szCs w:val="15"/>
                <w:lang w:val="en-US" w:eastAsia="zh-CN"/>
                <w14:textFill>
                  <w14:solidFill>
                    <w14:schemeClr w14:val="tx1"/>
                  </w14:solidFill>
                </w14:textFill>
              </w:rPr>
            </w:pPr>
            <w:r>
              <w:rPr>
                <w:rFonts w:hint="eastAsia"/>
                <w:b/>
                <w:color w:val="000000" w:themeColor="text1"/>
                <w:kern w:val="0"/>
                <w:sz w:val="15"/>
                <w:szCs w:val="15"/>
                <w:lang w:val="en-US" w:eastAsia="zh-CN"/>
                <w14:textFill>
                  <w14:solidFill>
                    <w14:schemeClr w14:val="tx1"/>
                  </w14:solidFill>
                </w14:textFill>
              </w:rPr>
              <w:t>/</w:t>
            </w:r>
          </w:p>
        </w:tc>
        <w:tc>
          <w:tcPr>
            <w:tcW w:w="2280"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color w:val="000000" w:themeColor="text1"/>
                <w:kern w:val="0"/>
                <w:sz w:val="15"/>
                <w:szCs w:val="15"/>
                <w14:textFill>
                  <w14:solidFill>
                    <w14:schemeClr w14:val="tx1"/>
                  </w14:solidFill>
                </w14:textFill>
              </w:rPr>
            </w:pPr>
            <w:r>
              <w:rPr>
                <w:b/>
                <w:bCs/>
                <w:color w:val="000000" w:themeColor="text1"/>
                <w:kern w:val="0"/>
                <w:sz w:val="15"/>
                <w:szCs w:val="15"/>
                <w14:textFill>
                  <w14:solidFill>
                    <w14:schemeClr w14:val="tx1"/>
                  </w14:solidFill>
                </w14:textFill>
              </w:rPr>
              <w:t>新增废气处理设施能力</w:t>
            </w: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color w:val="000000" w:themeColor="text1"/>
                <w:kern w:val="0"/>
                <w:sz w:val="15"/>
                <w:szCs w:val="15"/>
                <w:lang w:val="en-US" w:eastAsia="zh-CN"/>
                <w14:textFill>
                  <w14:solidFill>
                    <w14:schemeClr w14:val="tx1"/>
                  </w14:solidFill>
                </w14:textFill>
              </w:rPr>
            </w:pPr>
            <w:r>
              <w:rPr>
                <w:rFonts w:hint="eastAsia"/>
                <w:color w:val="000000" w:themeColor="text1"/>
                <w:kern w:val="0"/>
                <w:sz w:val="15"/>
                <w:szCs w:val="15"/>
                <w:lang w:val="en-US" w:eastAsia="zh-CN"/>
                <w14:textFill>
                  <w14:solidFill>
                    <w14:schemeClr w14:val="tx1"/>
                  </w14:solidFill>
                </w14:textFill>
              </w:rPr>
              <w:t>/</w:t>
            </w:r>
          </w:p>
        </w:tc>
        <w:tc>
          <w:tcPr>
            <w:tcW w:w="1766"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rFonts w:hint="eastAsia" w:eastAsia="宋体"/>
                <w:b/>
                <w:color w:val="000000" w:themeColor="text1"/>
                <w:kern w:val="0"/>
                <w:sz w:val="15"/>
                <w:szCs w:val="15"/>
                <w:lang w:eastAsia="zh-CN"/>
                <w14:textFill>
                  <w14:solidFill>
                    <w14:schemeClr w14:val="tx1"/>
                  </w14:solidFill>
                </w14:textFill>
              </w:rPr>
            </w:pPr>
            <w:r>
              <w:rPr>
                <w:b/>
                <w:bCs/>
                <w:color w:val="000000" w:themeColor="text1"/>
                <w:kern w:val="0"/>
                <w:sz w:val="15"/>
                <w:szCs w:val="15"/>
                <w14:textFill>
                  <w14:solidFill>
                    <w14:schemeClr w14:val="tx1"/>
                  </w14:solidFill>
                </w14:textFill>
              </w:rPr>
              <w:t>年平均工</w:t>
            </w:r>
            <w:r>
              <w:rPr>
                <w:b/>
                <w:bCs/>
                <w:color w:val="000000" w:themeColor="text1"/>
                <w:kern w:val="0"/>
                <w:sz w:val="15"/>
                <w:szCs w:val="15"/>
                <w:highlight w:val="none"/>
                <w14:textFill>
                  <w14:solidFill>
                    <w14:schemeClr w14:val="tx1"/>
                  </w14:solidFill>
                </w14:textFill>
              </w:rPr>
              <w:t>作</w:t>
            </w:r>
            <w:r>
              <w:rPr>
                <w:rFonts w:hint="eastAsia"/>
                <w:b/>
                <w:bCs/>
                <w:color w:val="000000" w:themeColor="text1"/>
                <w:kern w:val="0"/>
                <w:sz w:val="15"/>
                <w:szCs w:val="15"/>
                <w:highlight w:val="none"/>
                <w:lang w:eastAsia="zh-CN"/>
                <w14:textFill>
                  <w14:solidFill>
                    <w14:schemeClr w14:val="tx1"/>
                  </w14:solidFill>
                </w14:textFill>
              </w:rPr>
              <w:t>时间</w:t>
            </w:r>
          </w:p>
        </w:tc>
        <w:tc>
          <w:tcPr>
            <w:tcW w:w="2512" w:type="dxa"/>
            <w:gridSpan w:val="3"/>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000000" w:themeColor="text1"/>
                <w:kern w:val="0"/>
                <w:sz w:val="15"/>
                <w:szCs w:val="15"/>
                <w14:textFill>
                  <w14:solidFill>
                    <w14:schemeClr w14:val="tx1"/>
                  </w14:solidFill>
                </w14:textFill>
              </w:rPr>
            </w:pPr>
            <w:r>
              <w:rPr>
                <w:rFonts w:hint="eastAsia"/>
                <w:color w:val="000000" w:themeColor="text1"/>
                <w:kern w:val="0"/>
                <w:sz w:val="15"/>
                <w:szCs w:val="15"/>
                <w14:textFill>
                  <w14:solidFill>
                    <w14:schemeClr w14:val="tx1"/>
                  </w14:solidFill>
                </w14:textFill>
              </w:rPr>
              <w:t>8760</w:t>
            </w:r>
          </w:p>
        </w:tc>
      </w:tr>
      <w:tr>
        <w:tblPrEx>
          <w:tblCellMar>
            <w:top w:w="0" w:type="dxa"/>
            <w:left w:w="0" w:type="dxa"/>
            <w:bottom w:w="0" w:type="dxa"/>
            <w:right w:w="0" w:type="dxa"/>
          </w:tblCellMar>
        </w:tblPrEx>
        <w:trPr>
          <w:jc w:val="center"/>
        </w:trPr>
        <w:tc>
          <w:tcPr>
            <w:tcW w:w="2456" w:type="dxa"/>
            <w:gridSpan w:val="4"/>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运营单位</w:t>
            </w:r>
          </w:p>
        </w:tc>
        <w:tc>
          <w:tcPr>
            <w:tcW w:w="4413" w:type="dxa"/>
            <w:gridSpan w:val="4"/>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Cs/>
                <w:kern w:val="0"/>
                <w:sz w:val="15"/>
                <w:szCs w:val="15"/>
              </w:rPr>
            </w:pPr>
            <w:r>
              <w:rPr>
                <w:rFonts w:hint="eastAsia"/>
                <w:bCs/>
                <w:kern w:val="0"/>
                <w:sz w:val="15"/>
                <w:szCs w:val="15"/>
              </w:rPr>
              <w:t>中国石化销售股份有限公司</w:t>
            </w:r>
            <w:r>
              <w:rPr>
                <w:rFonts w:hint="eastAsia"/>
                <w:kern w:val="0"/>
                <w:sz w:val="15"/>
                <w:szCs w:val="15"/>
              </w:rPr>
              <w:t>江西抚州资溪石油分公司</w:t>
            </w:r>
          </w:p>
        </w:tc>
        <w:tc>
          <w:tcPr>
            <w:tcW w:w="3407" w:type="dxa"/>
            <w:gridSpan w:val="4"/>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运营单位社会统一信用代码（或组织机构代码）</w:t>
            </w: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kern w:val="0"/>
                <w:sz w:val="15"/>
                <w:szCs w:val="15"/>
                <w:lang w:val="en-US" w:eastAsia="zh-CN"/>
              </w:rPr>
            </w:pPr>
            <w:r>
              <w:rPr>
                <w:rFonts w:hint="eastAsia"/>
                <w:kern w:val="0"/>
                <w:sz w:val="15"/>
                <w:szCs w:val="15"/>
                <w:lang w:val="en-US" w:eastAsia="zh-CN"/>
              </w:rPr>
              <w:t>91361028MA35MWE62T</w:t>
            </w:r>
          </w:p>
        </w:tc>
        <w:tc>
          <w:tcPr>
            <w:tcW w:w="1766"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验收时间</w:t>
            </w:r>
          </w:p>
        </w:tc>
        <w:tc>
          <w:tcPr>
            <w:tcW w:w="2512" w:type="dxa"/>
            <w:gridSpan w:val="3"/>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b/>
                <w:kern w:val="0"/>
                <w:sz w:val="15"/>
                <w:szCs w:val="15"/>
                <w:lang w:val="en-US" w:eastAsia="zh-CN"/>
              </w:rPr>
            </w:pPr>
            <w:r>
              <w:rPr>
                <w:rFonts w:hint="eastAsia"/>
                <w:b/>
                <w:kern w:val="0"/>
                <w:sz w:val="15"/>
                <w:szCs w:val="15"/>
                <w:lang w:val="en-US" w:eastAsia="zh-CN"/>
              </w:rPr>
              <w:t>2021年01月</w:t>
            </w:r>
          </w:p>
        </w:tc>
      </w:tr>
      <w:tr>
        <w:tblPrEx>
          <w:tblCellMar>
            <w:top w:w="0" w:type="dxa"/>
            <w:left w:w="0" w:type="dxa"/>
            <w:bottom w:w="0" w:type="dxa"/>
            <w:right w:w="0" w:type="dxa"/>
          </w:tblCellMar>
        </w:tblPrEx>
        <w:trPr>
          <w:jc w:val="center"/>
        </w:trPr>
        <w:tc>
          <w:tcPr>
            <w:tcW w:w="613" w:type="dxa"/>
            <w:gridSpan w:val="2"/>
            <w:vMerge w:val="restart"/>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污</w:t>
            </w:r>
            <w:r>
              <w:rPr>
                <w:b/>
                <w:bCs/>
                <w:spacing w:val="-58"/>
                <w:kern w:val="0"/>
                <w:sz w:val="15"/>
                <w:szCs w:val="15"/>
              </w:rPr>
              <w:t xml:space="preserve"> </w:t>
            </w:r>
            <w:r>
              <w:rPr>
                <w:b/>
                <w:bCs/>
                <w:kern w:val="0"/>
                <w:sz w:val="15"/>
                <w:szCs w:val="15"/>
              </w:rPr>
              <w:t>染物</w:t>
            </w:r>
            <w:r>
              <w:rPr>
                <w:b/>
                <w:bCs/>
                <w:spacing w:val="-58"/>
                <w:kern w:val="0"/>
                <w:sz w:val="15"/>
                <w:szCs w:val="15"/>
              </w:rPr>
              <w:t xml:space="preserve"> </w:t>
            </w:r>
            <w:r>
              <w:rPr>
                <w:b/>
                <w:bCs/>
                <w:kern w:val="0"/>
                <w:sz w:val="15"/>
                <w:szCs w:val="15"/>
              </w:rPr>
              <w:t>排 放</w:t>
            </w:r>
            <w:r>
              <w:rPr>
                <w:b/>
                <w:bCs/>
                <w:spacing w:val="-58"/>
                <w:kern w:val="0"/>
                <w:sz w:val="15"/>
                <w:szCs w:val="15"/>
              </w:rPr>
              <w:t xml:space="preserve"> </w:t>
            </w:r>
            <w:r>
              <w:rPr>
                <w:b/>
                <w:bCs/>
                <w:kern w:val="0"/>
                <w:sz w:val="15"/>
                <w:szCs w:val="15"/>
              </w:rPr>
              <w:t>达标</w:t>
            </w:r>
            <w:r>
              <w:rPr>
                <w:b/>
                <w:bCs/>
                <w:spacing w:val="-58"/>
                <w:kern w:val="0"/>
                <w:sz w:val="15"/>
                <w:szCs w:val="15"/>
              </w:rPr>
              <w:t xml:space="preserve"> </w:t>
            </w:r>
            <w:r>
              <w:rPr>
                <w:b/>
                <w:bCs/>
                <w:kern w:val="0"/>
                <w:sz w:val="15"/>
                <w:szCs w:val="15"/>
              </w:rPr>
              <w:t>与 总</w:t>
            </w:r>
            <w:r>
              <w:rPr>
                <w:b/>
                <w:bCs/>
                <w:spacing w:val="-58"/>
                <w:kern w:val="0"/>
                <w:sz w:val="15"/>
                <w:szCs w:val="15"/>
              </w:rPr>
              <w:t xml:space="preserve"> </w:t>
            </w:r>
            <w:r>
              <w:rPr>
                <w:b/>
                <w:bCs/>
                <w:kern w:val="0"/>
                <w:sz w:val="15"/>
                <w:szCs w:val="15"/>
              </w:rPr>
              <w:t>量控</w:t>
            </w:r>
            <w:r>
              <w:rPr>
                <w:b/>
                <w:bCs/>
                <w:spacing w:val="-59"/>
                <w:kern w:val="0"/>
                <w:sz w:val="15"/>
                <w:szCs w:val="15"/>
              </w:rPr>
              <w:t xml:space="preserve"> </w:t>
            </w:r>
            <w:r>
              <w:rPr>
                <w:b/>
                <w:bCs/>
                <w:kern w:val="0"/>
                <w:sz w:val="15"/>
                <w:szCs w:val="15"/>
              </w:rPr>
              <w:t>制</w:t>
            </w:r>
          </w:p>
          <w:p>
            <w:pPr>
              <w:kinsoku w:val="0"/>
              <w:overflowPunct w:val="0"/>
              <w:autoSpaceDE w:val="0"/>
              <w:autoSpaceDN w:val="0"/>
              <w:adjustRightInd w:val="0"/>
              <w:spacing w:line="240" w:lineRule="exact"/>
              <w:jc w:val="center"/>
              <w:rPr>
                <w:b/>
                <w:kern w:val="0"/>
                <w:sz w:val="15"/>
                <w:szCs w:val="15"/>
              </w:rPr>
            </w:pPr>
            <w:r>
              <w:rPr>
                <w:b/>
                <w:bCs/>
                <w:kern w:val="0"/>
                <w:sz w:val="15"/>
                <w:szCs w:val="15"/>
              </w:rPr>
              <w:t>（</w:t>
            </w:r>
            <w:r>
              <w:rPr>
                <w:b/>
                <w:bCs/>
                <w:spacing w:val="-58"/>
                <w:kern w:val="0"/>
                <w:sz w:val="15"/>
                <w:szCs w:val="15"/>
              </w:rPr>
              <w:t xml:space="preserve"> </w:t>
            </w:r>
            <w:r>
              <w:rPr>
                <w:b/>
                <w:bCs/>
                <w:kern w:val="0"/>
                <w:sz w:val="15"/>
                <w:szCs w:val="15"/>
              </w:rPr>
              <w:t>工 业</w:t>
            </w:r>
            <w:r>
              <w:rPr>
                <w:b/>
                <w:bCs/>
                <w:spacing w:val="-59"/>
                <w:kern w:val="0"/>
                <w:sz w:val="15"/>
                <w:szCs w:val="15"/>
              </w:rPr>
              <w:t xml:space="preserve"> </w:t>
            </w:r>
            <w:r>
              <w:rPr>
                <w:b/>
                <w:bCs/>
                <w:kern w:val="0"/>
                <w:sz w:val="15"/>
                <w:szCs w:val="15"/>
              </w:rPr>
              <w:t>建设</w:t>
            </w:r>
            <w:r>
              <w:rPr>
                <w:b/>
                <w:bCs/>
                <w:spacing w:val="-58"/>
                <w:kern w:val="0"/>
                <w:sz w:val="15"/>
                <w:szCs w:val="15"/>
              </w:rPr>
              <w:t xml:space="preserve"> </w:t>
            </w:r>
            <w:r>
              <w:rPr>
                <w:b/>
                <w:bCs/>
                <w:kern w:val="0"/>
                <w:sz w:val="15"/>
                <w:szCs w:val="15"/>
              </w:rPr>
              <w:t>项目</w:t>
            </w:r>
            <w:r>
              <w:rPr>
                <w:b/>
                <w:bCs/>
                <w:spacing w:val="-59"/>
                <w:kern w:val="0"/>
                <w:sz w:val="15"/>
                <w:szCs w:val="15"/>
              </w:rPr>
              <w:t xml:space="preserve"> </w:t>
            </w:r>
            <w:r>
              <w:rPr>
                <w:b/>
                <w:bCs/>
                <w:kern w:val="0"/>
                <w:sz w:val="15"/>
                <w:szCs w:val="15"/>
              </w:rPr>
              <w:t>详填</w:t>
            </w:r>
            <w:r>
              <w:rPr>
                <w:b/>
                <w:bCs/>
                <w:spacing w:val="-59"/>
                <w:kern w:val="0"/>
                <w:sz w:val="15"/>
                <w:szCs w:val="15"/>
              </w:rPr>
              <w:t xml:space="preserve"> </w:t>
            </w:r>
            <w:r>
              <w:rPr>
                <w:b/>
                <w:bCs/>
                <w:kern w:val="0"/>
                <w:sz w:val="15"/>
                <w:szCs w:val="15"/>
              </w:rPr>
              <w:t>）</w:t>
            </w:r>
          </w:p>
        </w:tc>
        <w:tc>
          <w:tcPr>
            <w:tcW w:w="1843"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污染物</w:t>
            </w:r>
          </w:p>
        </w:tc>
        <w:tc>
          <w:tcPr>
            <w:tcW w:w="850"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原有排放量(1)</w:t>
            </w:r>
          </w:p>
        </w:tc>
        <w:tc>
          <w:tcPr>
            <w:tcW w:w="1417"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w w:val="95"/>
                <w:kern w:val="0"/>
                <w:sz w:val="15"/>
                <w:szCs w:val="15"/>
              </w:rPr>
              <w:t>本期工程实际排放</w:t>
            </w:r>
            <w:r>
              <w:rPr>
                <w:b/>
                <w:bCs/>
                <w:kern w:val="0"/>
                <w:sz w:val="15"/>
                <w:szCs w:val="15"/>
              </w:rPr>
              <w:t>浓度(2)</w:t>
            </w:r>
          </w:p>
        </w:tc>
        <w:tc>
          <w:tcPr>
            <w:tcW w:w="1126"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w w:val="95"/>
                <w:kern w:val="0"/>
                <w:sz w:val="15"/>
                <w:szCs w:val="15"/>
              </w:rPr>
              <w:t>本期工程允许</w:t>
            </w:r>
            <w:r>
              <w:rPr>
                <w:b/>
                <w:bCs/>
                <w:kern w:val="0"/>
                <w:sz w:val="15"/>
                <w:szCs w:val="15"/>
              </w:rPr>
              <w:t>排放浓度(3)</w:t>
            </w:r>
          </w:p>
        </w:tc>
        <w:tc>
          <w:tcPr>
            <w:tcW w:w="1020"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本期工程产生量(4)</w:t>
            </w: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w w:val="95"/>
                <w:kern w:val="0"/>
                <w:sz w:val="15"/>
                <w:szCs w:val="15"/>
              </w:rPr>
              <w:t>本期工程自身</w:t>
            </w:r>
            <w:r>
              <w:rPr>
                <w:b/>
                <w:bCs/>
                <w:kern w:val="0"/>
                <w:sz w:val="15"/>
                <w:szCs w:val="15"/>
              </w:rPr>
              <w:t>削减量(5)</w:t>
            </w:r>
          </w:p>
        </w:tc>
        <w:tc>
          <w:tcPr>
            <w:tcW w:w="1093"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w w:val="95"/>
                <w:kern w:val="0"/>
                <w:sz w:val="15"/>
                <w:szCs w:val="15"/>
              </w:rPr>
              <w:t>本期工程实际</w:t>
            </w:r>
            <w:r>
              <w:rPr>
                <w:b/>
                <w:bCs/>
                <w:kern w:val="0"/>
                <w:sz w:val="15"/>
                <w:szCs w:val="15"/>
              </w:rPr>
              <w:t>排放量(6)</w:t>
            </w:r>
          </w:p>
        </w:tc>
        <w:tc>
          <w:tcPr>
            <w:tcW w:w="1187"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w w:val="95"/>
                <w:kern w:val="0"/>
                <w:sz w:val="15"/>
                <w:szCs w:val="15"/>
              </w:rPr>
              <w:t>本期工程核定</w:t>
            </w:r>
            <w:r>
              <w:rPr>
                <w:b/>
                <w:bCs/>
                <w:kern w:val="0"/>
                <w:sz w:val="15"/>
                <w:szCs w:val="15"/>
              </w:rPr>
              <w:t>排放总量(7)</w:t>
            </w:r>
          </w:p>
        </w:tc>
        <w:tc>
          <w:tcPr>
            <w:tcW w:w="1748"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w w:val="95"/>
                <w:kern w:val="0"/>
                <w:sz w:val="15"/>
                <w:szCs w:val="15"/>
              </w:rPr>
              <w:t xml:space="preserve">本期工程“以新带老” </w:t>
            </w:r>
            <w:r>
              <w:rPr>
                <w:b/>
                <w:bCs/>
                <w:kern w:val="0"/>
                <w:sz w:val="15"/>
                <w:szCs w:val="15"/>
              </w:rPr>
              <w:t>削减量(8)</w:t>
            </w:r>
          </w:p>
        </w:tc>
        <w:tc>
          <w:tcPr>
            <w:tcW w:w="1054"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全厂实际排放总量(9)</w:t>
            </w: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w w:val="95"/>
                <w:kern w:val="0"/>
                <w:sz w:val="15"/>
                <w:szCs w:val="15"/>
              </w:rPr>
              <w:t>全厂核定排放总</w:t>
            </w:r>
            <w:r>
              <w:rPr>
                <w:b/>
                <w:bCs/>
                <w:kern w:val="0"/>
                <w:sz w:val="15"/>
                <w:szCs w:val="15"/>
              </w:rPr>
              <w:t>量(10)</w:t>
            </w:r>
          </w:p>
        </w:tc>
        <w:tc>
          <w:tcPr>
            <w:tcW w:w="1132"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w w:val="95"/>
                <w:kern w:val="0"/>
                <w:sz w:val="15"/>
                <w:szCs w:val="15"/>
              </w:rPr>
              <w:t>区域平衡替代</w:t>
            </w:r>
            <w:r>
              <w:rPr>
                <w:b/>
                <w:bCs/>
                <w:kern w:val="0"/>
                <w:sz w:val="15"/>
                <w:szCs w:val="15"/>
              </w:rPr>
              <w:t>削减量(11)</w:t>
            </w:r>
          </w:p>
        </w:tc>
        <w:tc>
          <w:tcPr>
            <w:tcW w:w="813"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排放增减量(12)</w:t>
            </w:r>
          </w:p>
        </w:tc>
      </w:tr>
      <w:tr>
        <w:tblPrEx>
          <w:tblCellMar>
            <w:top w:w="0" w:type="dxa"/>
            <w:left w:w="0" w:type="dxa"/>
            <w:bottom w:w="0" w:type="dxa"/>
            <w:right w:w="0" w:type="dxa"/>
          </w:tblCellMar>
        </w:tblPrEx>
        <w:trPr>
          <w:jc w:val="center"/>
        </w:trPr>
        <w:tc>
          <w:tcPr>
            <w:tcW w:w="613" w:type="dxa"/>
            <w:gridSpan w:val="2"/>
            <w:vMerge w:val="continue"/>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p>
        </w:tc>
        <w:tc>
          <w:tcPr>
            <w:tcW w:w="1843"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废水</w:t>
            </w:r>
          </w:p>
        </w:tc>
        <w:tc>
          <w:tcPr>
            <w:tcW w:w="85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41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02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09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18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054"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32"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r>
      <w:tr>
        <w:tblPrEx>
          <w:tblCellMar>
            <w:top w:w="0" w:type="dxa"/>
            <w:left w:w="0" w:type="dxa"/>
            <w:bottom w:w="0" w:type="dxa"/>
            <w:right w:w="0" w:type="dxa"/>
          </w:tblCellMar>
        </w:tblPrEx>
        <w:trPr>
          <w:jc w:val="center"/>
        </w:trPr>
        <w:tc>
          <w:tcPr>
            <w:tcW w:w="613" w:type="dxa"/>
            <w:gridSpan w:val="2"/>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843"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化学需氧量</w:t>
            </w:r>
          </w:p>
        </w:tc>
        <w:tc>
          <w:tcPr>
            <w:tcW w:w="850" w:type="dxa"/>
            <w:tcBorders>
              <w:top w:val="single" w:color="231F20" w:sz="4" w:space="0"/>
              <w:left w:val="single" w:color="231F20" w:sz="4" w:space="0"/>
              <w:bottom w:val="single" w:color="231F20" w:sz="4" w:space="0"/>
              <w:right w:val="single" w:color="231F20" w:sz="4" w:space="0"/>
            </w:tcBorders>
            <w:vAlign w:val="center"/>
          </w:tcPr>
          <w:p>
            <w:pPr>
              <w:tabs>
                <w:tab w:val="left" w:pos="556"/>
              </w:tabs>
              <w:autoSpaceDE w:val="0"/>
              <w:autoSpaceDN w:val="0"/>
              <w:adjustRightInd w:val="0"/>
              <w:spacing w:line="240" w:lineRule="exact"/>
              <w:jc w:val="center"/>
              <w:rPr>
                <w:rFonts w:hint="default" w:eastAsia="宋体"/>
                <w:bCs/>
                <w:kern w:val="0"/>
                <w:sz w:val="15"/>
                <w:szCs w:val="15"/>
                <w:lang w:val="en-US" w:eastAsia="zh-CN"/>
              </w:rPr>
            </w:pPr>
          </w:p>
        </w:tc>
        <w:tc>
          <w:tcPr>
            <w:tcW w:w="1417" w:type="dxa"/>
            <w:tcBorders>
              <w:top w:val="single" w:color="231F20" w:sz="4" w:space="0"/>
              <w:left w:val="single" w:color="231F20" w:sz="4" w:space="0"/>
              <w:bottom w:val="single" w:color="231F20" w:sz="4" w:space="0"/>
              <w:right w:val="single" w:color="231F20" w:sz="4" w:space="0"/>
            </w:tcBorders>
            <w:vAlign w:val="center"/>
          </w:tcPr>
          <w:p>
            <w:pPr>
              <w:widowControl/>
              <w:jc w:val="center"/>
              <w:rPr>
                <w:rFonts w:hint="default" w:eastAsia="宋体"/>
                <w:color w:val="000000" w:themeColor="text1"/>
                <w:kern w:val="0"/>
                <w:sz w:val="15"/>
                <w:szCs w:val="15"/>
                <w:lang w:val="en-US" w:eastAsia="zh-CN"/>
                <w14:textFill>
                  <w14:solidFill>
                    <w14:schemeClr w14:val="tx1"/>
                  </w14:solidFill>
                </w14:textFill>
              </w:rPr>
            </w:pP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bCs/>
                <w:kern w:val="0"/>
                <w:sz w:val="15"/>
                <w:szCs w:val="15"/>
                <w:lang w:val="en-US" w:eastAsia="zh-CN"/>
              </w:rPr>
            </w:pPr>
          </w:p>
        </w:tc>
        <w:tc>
          <w:tcPr>
            <w:tcW w:w="1020" w:type="dxa"/>
            <w:tcBorders>
              <w:top w:val="single" w:color="231F20" w:sz="4" w:space="0"/>
              <w:left w:val="single" w:color="231F20" w:sz="4" w:space="0"/>
              <w:bottom w:val="single" w:color="231F20" w:sz="4" w:space="0"/>
              <w:right w:val="single" w:color="231F20" w:sz="4" w:space="0"/>
            </w:tcBorders>
            <w:vAlign w:val="center"/>
          </w:tcPr>
          <w:p>
            <w:pPr>
              <w:widowControl/>
              <w:jc w:val="center"/>
              <w:rPr>
                <w:rFonts w:hint="eastAsia" w:eastAsia="宋体"/>
                <w:color w:val="000000" w:themeColor="text1"/>
                <w:kern w:val="0"/>
                <w:sz w:val="15"/>
                <w:szCs w:val="15"/>
                <w:lang w:val="en-US" w:eastAsia="zh-CN"/>
                <w14:textFill>
                  <w14:solidFill>
                    <w14:schemeClr w14:val="tx1"/>
                  </w14:solidFill>
                </w14:textFill>
              </w:rPr>
            </w:pP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adjustRightInd w:val="0"/>
              <w:snapToGrid w:val="0"/>
              <w:jc w:val="center"/>
              <w:rPr>
                <w:rFonts w:hint="eastAsia" w:eastAsia="宋体" w:cs="宋体"/>
                <w:bCs/>
                <w:snapToGrid w:val="0"/>
                <w:color w:val="000000"/>
                <w:kern w:val="18"/>
                <w:sz w:val="15"/>
                <w:szCs w:val="15"/>
                <w:lang w:val="en-US" w:eastAsia="zh-CN"/>
              </w:rPr>
            </w:pPr>
          </w:p>
        </w:tc>
        <w:tc>
          <w:tcPr>
            <w:tcW w:w="1093" w:type="dxa"/>
            <w:tcBorders>
              <w:top w:val="single" w:color="231F20" w:sz="4" w:space="0"/>
              <w:left w:val="single" w:color="231F20" w:sz="4" w:space="0"/>
              <w:bottom w:val="single" w:color="231F20" w:sz="4" w:space="0"/>
              <w:right w:val="single" w:color="231F20" w:sz="4" w:space="0"/>
            </w:tcBorders>
            <w:vAlign w:val="center"/>
          </w:tcPr>
          <w:p>
            <w:pPr>
              <w:widowControl/>
              <w:jc w:val="center"/>
              <w:rPr>
                <w:rFonts w:hint="default" w:ascii="Times New Roman" w:hAnsi="Times New Roman" w:eastAsia="宋体" w:cs="Times New Roman"/>
                <w:color w:val="000000" w:themeColor="text1"/>
                <w:kern w:val="0"/>
                <w:sz w:val="15"/>
                <w:szCs w:val="15"/>
                <w:lang w:val="en-US" w:eastAsia="zh-CN" w:bidi="ar-SA"/>
                <w14:textFill>
                  <w14:solidFill>
                    <w14:schemeClr w14:val="tx1"/>
                  </w14:solidFill>
                </w14:textFill>
              </w:rPr>
            </w:pPr>
          </w:p>
        </w:tc>
        <w:tc>
          <w:tcPr>
            <w:tcW w:w="1187" w:type="dxa"/>
            <w:tcBorders>
              <w:top w:val="single" w:color="231F20" w:sz="4" w:space="0"/>
              <w:left w:val="single" w:color="231F20" w:sz="4" w:space="0"/>
              <w:bottom w:val="single" w:color="231F20" w:sz="4" w:space="0"/>
              <w:right w:val="single" w:color="231F20" w:sz="4" w:space="0"/>
            </w:tcBorders>
            <w:vAlign w:val="center"/>
          </w:tcPr>
          <w:p>
            <w:pPr>
              <w:adjustRightInd w:val="0"/>
              <w:snapToGrid w:val="0"/>
              <w:jc w:val="center"/>
              <w:rPr>
                <w:rFonts w:hint="default" w:ascii="Times New Roman" w:hAnsi="Times New Roman" w:eastAsia="宋体" w:cs="宋体"/>
                <w:bCs/>
                <w:snapToGrid w:val="0"/>
                <w:color w:val="000000"/>
                <w:kern w:val="18"/>
                <w:sz w:val="15"/>
                <w:szCs w:val="15"/>
                <w:lang w:val="en-US" w:eastAsia="zh-CN" w:bidi="ar-SA"/>
              </w:rPr>
            </w:pP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b/>
                <w:kern w:val="0"/>
                <w:sz w:val="15"/>
                <w:szCs w:val="15"/>
                <w:lang w:val="en-US" w:eastAsia="zh-CN"/>
              </w:rPr>
            </w:pPr>
          </w:p>
        </w:tc>
        <w:tc>
          <w:tcPr>
            <w:tcW w:w="1054" w:type="dxa"/>
            <w:tcBorders>
              <w:top w:val="single" w:color="231F20" w:sz="4" w:space="0"/>
              <w:left w:val="single" w:color="231F20" w:sz="4" w:space="0"/>
              <w:bottom w:val="single" w:color="231F20" w:sz="4" w:space="0"/>
              <w:right w:val="single" w:color="231F20" w:sz="4" w:space="0"/>
            </w:tcBorders>
            <w:vAlign w:val="center"/>
          </w:tcPr>
          <w:p>
            <w:pPr>
              <w:widowControl/>
              <w:jc w:val="center"/>
              <w:rPr>
                <w:rFonts w:hint="default" w:ascii="Times New Roman" w:hAnsi="Times New Roman" w:eastAsia="宋体" w:cs="Times New Roman"/>
                <w:color w:val="000000" w:themeColor="text1"/>
                <w:kern w:val="0"/>
                <w:sz w:val="15"/>
                <w:szCs w:val="15"/>
                <w:lang w:val="en-US" w:eastAsia="zh-CN" w:bidi="ar-SA"/>
                <w14:textFill>
                  <w14:solidFill>
                    <w14:schemeClr w14:val="tx1"/>
                  </w14:solidFill>
                </w14:textFill>
              </w:rPr>
            </w:pP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adjustRightInd w:val="0"/>
              <w:snapToGrid w:val="0"/>
              <w:jc w:val="center"/>
              <w:rPr>
                <w:rFonts w:hint="default" w:ascii="Times New Roman" w:hAnsi="Times New Roman" w:eastAsia="宋体" w:cs="宋体"/>
                <w:bCs/>
                <w:snapToGrid w:val="0"/>
                <w:color w:val="000000"/>
                <w:kern w:val="18"/>
                <w:sz w:val="15"/>
                <w:szCs w:val="15"/>
                <w:lang w:val="en-US" w:eastAsia="zh-CN" w:bidi="ar-SA"/>
              </w:rPr>
            </w:pPr>
          </w:p>
        </w:tc>
        <w:tc>
          <w:tcPr>
            <w:tcW w:w="1132"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b/>
                <w:kern w:val="0"/>
                <w:sz w:val="15"/>
                <w:szCs w:val="15"/>
                <w:lang w:val="en-US" w:eastAsia="zh-CN"/>
              </w:rPr>
            </w:pP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b/>
                <w:kern w:val="0"/>
                <w:sz w:val="15"/>
                <w:szCs w:val="15"/>
                <w:lang w:val="en-US" w:eastAsia="zh-CN"/>
              </w:rPr>
            </w:pPr>
          </w:p>
        </w:tc>
      </w:tr>
      <w:tr>
        <w:tblPrEx>
          <w:tblCellMar>
            <w:top w:w="0" w:type="dxa"/>
            <w:left w:w="0" w:type="dxa"/>
            <w:bottom w:w="0" w:type="dxa"/>
            <w:right w:w="0" w:type="dxa"/>
          </w:tblCellMar>
        </w:tblPrEx>
        <w:trPr>
          <w:jc w:val="center"/>
        </w:trPr>
        <w:tc>
          <w:tcPr>
            <w:tcW w:w="613" w:type="dxa"/>
            <w:gridSpan w:val="2"/>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843"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氨氮</w:t>
            </w:r>
          </w:p>
        </w:tc>
        <w:tc>
          <w:tcPr>
            <w:tcW w:w="85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bCs/>
                <w:kern w:val="0"/>
                <w:sz w:val="15"/>
                <w:szCs w:val="15"/>
                <w:lang w:val="en-US" w:eastAsia="zh-CN"/>
              </w:rPr>
            </w:pPr>
          </w:p>
        </w:tc>
        <w:tc>
          <w:tcPr>
            <w:tcW w:w="1417" w:type="dxa"/>
            <w:tcBorders>
              <w:top w:val="single" w:color="231F20" w:sz="4" w:space="0"/>
              <w:left w:val="single" w:color="231F20" w:sz="4" w:space="0"/>
              <w:bottom w:val="single" w:color="231F20" w:sz="4" w:space="0"/>
              <w:right w:val="single" w:color="231F20" w:sz="4" w:space="0"/>
            </w:tcBorders>
            <w:vAlign w:val="center"/>
          </w:tcPr>
          <w:p>
            <w:pPr>
              <w:widowControl/>
              <w:jc w:val="center"/>
              <w:rPr>
                <w:rFonts w:hint="default" w:eastAsia="宋体"/>
                <w:color w:val="000000" w:themeColor="text1"/>
                <w:kern w:val="0"/>
                <w:sz w:val="15"/>
                <w:szCs w:val="15"/>
                <w:lang w:val="en-US" w:eastAsia="zh-CN"/>
                <w14:textFill>
                  <w14:solidFill>
                    <w14:schemeClr w14:val="tx1"/>
                  </w14:solidFill>
                </w14:textFill>
              </w:rPr>
            </w:pP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default" w:eastAsia="宋体"/>
                <w:bCs/>
                <w:kern w:val="0"/>
                <w:sz w:val="15"/>
                <w:szCs w:val="15"/>
                <w:lang w:val="en-US" w:eastAsia="zh-CN"/>
              </w:rPr>
            </w:pPr>
          </w:p>
        </w:tc>
        <w:tc>
          <w:tcPr>
            <w:tcW w:w="1020" w:type="dxa"/>
            <w:tcBorders>
              <w:top w:val="single" w:color="231F20" w:sz="4" w:space="0"/>
              <w:left w:val="single" w:color="231F20" w:sz="4" w:space="0"/>
              <w:bottom w:val="single" w:color="231F20" w:sz="4" w:space="0"/>
              <w:right w:val="single" w:color="231F20" w:sz="4" w:space="0"/>
            </w:tcBorders>
            <w:vAlign w:val="center"/>
          </w:tcPr>
          <w:p>
            <w:pPr>
              <w:widowControl/>
              <w:jc w:val="center"/>
              <w:rPr>
                <w:rFonts w:hint="eastAsia" w:eastAsia="宋体"/>
                <w:color w:val="000000" w:themeColor="text1"/>
                <w:kern w:val="0"/>
                <w:sz w:val="15"/>
                <w:szCs w:val="15"/>
                <w:lang w:val="en-US" w:eastAsia="zh-CN"/>
                <w14:textFill>
                  <w14:solidFill>
                    <w14:schemeClr w14:val="tx1"/>
                  </w14:solidFill>
                </w14:textFill>
              </w:rPr>
            </w:pP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adjustRightInd w:val="0"/>
              <w:snapToGrid w:val="0"/>
              <w:jc w:val="center"/>
              <w:rPr>
                <w:rFonts w:hint="eastAsia" w:eastAsia="宋体" w:cs="宋体"/>
                <w:bCs/>
                <w:snapToGrid w:val="0"/>
                <w:color w:val="000000"/>
                <w:kern w:val="18"/>
                <w:sz w:val="15"/>
                <w:szCs w:val="15"/>
                <w:lang w:val="en-US" w:eastAsia="zh-CN"/>
              </w:rPr>
            </w:pPr>
          </w:p>
        </w:tc>
        <w:tc>
          <w:tcPr>
            <w:tcW w:w="1093" w:type="dxa"/>
            <w:tcBorders>
              <w:top w:val="single" w:color="231F20" w:sz="4" w:space="0"/>
              <w:left w:val="single" w:color="231F20" w:sz="4" w:space="0"/>
              <w:bottom w:val="single" w:color="231F20" w:sz="4" w:space="0"/>
              <w:right w:val="single" w:color="231F20" w:sz="4" w:space="0"/>
            </w:tcBorders>
            <w:vAlign w:val="center"/>
          </w:tcPr>
          <w:p>
            <w:pPr>
              <w:widowControl/>
              <w:jc w:val="center"/>
              <w:rPr>
                <w:rFonts w:hint="default" w:ascii="Times New Roman" w:hAnsi="Times New Roman" w:eastAsia="宋体" w:cs="Times New Roman"/>
                <w:color w:val="000000" w:themeColor="text1"/>
                <w:kern w:val="0"/>
                <w:sz w:val="15"/>
                <w:szCs w:val="15"/>
                <w:lang w:val="en-US" w:eastAsia="zh-CN" w:bidi="ar-SA"/>
                <w14:textFill>
                  <w14:solidFill>
                    <w14:schemeClr w14:val="tx1"/>
                  </w14:solidFill>
                </w14:textFill>
              </w:rPr>
            </w:pPr>
          </w:p>
        </w:tc>
        <w:tc>
          <w:tcPr>
            <w:tcW w:w="1187" w:type="dxa"/>
            <w:tcBorders>
              <w:top w:val="single" w:color="231F20" w:sz="4" w:space="0"/>
              <w:left w:val="single" w:color="231F20" w:sz="4" w:space="0"/>
              <w:bottom w:val="single" w:color="231F20" w:sz="4" w:space="0"/>
              <w:right w:val="single" w:color="231F20" w:sz="4" w:space="0"/>
            </w:tcBorders>
            <w:vAlign w:val="center"/>
          </w:tcPr>
          <w:p>
            <w:pPr>
              <w:adjustRightInd w:val="0"/>
              <w:snapToGrid w:val="0"/>
              <w:jc w:val="center"/>
              <w:rPr>
                <w:rFonts w:hint="default" w:ascii="Times New Roman" w:hAnsi="Times New Roman" w:eastAsia="宋体" w:cs="宋体"/>
                <w:bCs/>
                <w:snapToGrid w:val="0"/>
                <w:color w:val="000000"/>
                <w:kern w:val="18"/>
                <w:sz w:val="15"/>
                <w:szCs w:val="15"/>
                <w:lang w:val="en-US" w:eastAsia="zh-CN" w:bidi="ar-SA"/>
              </w:rPr>
            </w:pP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b/>
                <w:kern w:val="0"/>
                <w:sz w:val="15"/>
                <w:szCs w:val="15"/>
                <w:lang w:val="en-US" w:eastAsia="zh-CN"/>
              </w:rPr>
            </w:pPr>
          </w:p>
        </w:tc>
        <w:tc>
          <w:tcPr>
            <w:tcW w:w="1054" w:type="dxa"/>
            <w:tcBorders>
              <w:top w:val="single" w:color="231F20" w:sz="4" w:space="0"/>
              <w:left w:val="single" w:color="231F20" w:sz="4" w:space="0"/>
              <w:bottom w:val="single" w:color="231F20" w:sz="4" w:space="0"/>
              <w:right w:val="single" w:color="231F20" w:sz="4" w:space="0"/>
            </w:tcBorders>
            <w:vAlign w:val="center"/>
          </w:tcPr>
          <w:p>
            <w:pPr>
              <w:widowControl/>
              <w:jc w:val="center"/>
              <w:rPr>
                <w:rFonts w:hint="default" w:ascii="Times New Roman" w:hAnsi="Times New Roman" w:eastAsia="宋体" w:cs="Times New Roman"/>
                <w:color w:val="000000" w:themeColor="text1"/>
                <w:kern w:val="0"/>
                <w:sz w:val="15"/>
                <w:szCs w:val="15"/>
                <w:lang w:val="en-US" w:eastAsia="zh-CN" w:bidi="ar-SA"/>
                <w14:textFill>
                  <w14:solidFill>
                    <w14:schemeClr w14:val="tx1"/>
                  </w14:solidFill>
                </w14:textFill>
              </w:rPr>
            </w:pP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adjustRightInd w:val="0"/>
              <w:snapToGrid w:val="0"/>
              <w:jc w:val="center"/>
              <w:rPr>
                <w:rFonts w:hint="default" w:ascii="Times New Roman" w:hAnsi="Times New Roman" w:eastAsia="宋体" w:cs="宋体"/>
                <w:bCs/>
                <w:snapToGrid w:val="0"/>
                <w:color w:val="000000"/>
                <w:kern w:val="18"/>
                <w:sz w:val="15"/>
                <w:szCs w:val="15"/>
                <w:lang w:val="en-US" w:eastAsia="zh-CN" w:bidi="ar-SA"/>
              </w:rPr>
            </w:pPr>
          </w:p>
        </w:tc>
        <w:tc>
          <w:tcPr>
            <w:tcW w:w="1132"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b/>
                <w:kern w:val="0"/>
                <w:sz w:val="15"/>
                <w:szCs w:val="15"/>
                <w:lang w:val="en-US" w:eastAsia="zh-CN"/>
              </w:rPr>
            </w:pP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b/>
                <w:kern w:val="0"/>
                <w:sz w:val="15"/>
                <w:szCs w:val="15"/>
                <w:lang w:val="en-US" w:eastAsia="zh-CN"/>
              </w:rPr>
            </w:pPr>
          </w:p>
        </w:tc>
      </w:tr>
      <w:tr>
        <w:tblPrEx>
          <w:tblCellMar>
            <w:top w:w="0" w:type="dxa"/>
            <w:left w:w="0" w:type="dxa"/>
            <w:bottom w:w="0" w:type="dxa"/>
            <w:right w:w="0" w:type="dxa"/>
          </w:tblCellMar>
        </w:tblPrEx>
        <w:trPr>
          <w:jc w:val="center"/>
        </w:trPr>
        <w:tc>
          <w:tcPr>
            <w:tcW w:w="613" w:type="dxa"/>
            <w:gridSpan w:val="2"/>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843"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石油类</w:t>
            </w:r>
          </w:p>
        </w:tc>
        <w:tc>
          <w:tcPr>
            <w:tcW w:w="85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41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02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09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18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rFonts w:hint="eastAsia" w:eastAsia="宋体"/>
                <w:b/>
                <w:color w:val="FF0000"/>
                <w:kern w:val="0"/>
                <w:sz w:val="15"/>
                <w:szCs w:val="15"/>
                <w:lang w:val="en-US" w:eastAsia="zh-CN"/>
              </w:rPr>
            </w:pPr>
          </w:p>
        </w:tc>
        <w:tc>
          <w:tcPr>
            <w:tcW w:w="1054"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color w:val="FF0000"/>
                <w:kern w:val="0"/>
                <w:sz w:val="15"/>
                <w:szCs w:val="15"/>
              </w:rPr>
            </w:pP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32"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r>
      <w:tr>
        <w:tblPrEx>
          <w:tblCellMar>
            <w:top w:w="0" w:type="dxa"/>
            <w:left w:w="0" w:type="dxa"/>
            <w:bottom w:w="0" w:type="dxa"/>
            <w:right w:w="0" w:type="dxa"/>
          </w:tblCellMar>
        </w:tblPrEx>
        <w:trPr>
          <w:jc w:val="center"/>
        </w:trPr>
        <w:tc>
          <w:tcPr>
            <w:tcW w:w="613" w:type="dxa"/>
            <w:gridSpan w:val="2"/>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843"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废气</w:t>
            </w:r>
          </w:p>
        </w:tc>
        <w:tc>
          <w:tcPr>
            <w:tcW w:w="85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41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02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09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8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054"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32"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r>
      <w:tr>
        <w:tblPrEx>
          <w:tblCellMar>
            <w:top w:w="0" w:type="dxa"/>
            <w:left w:w="0" w:type="dxa"/>
            <w:bottom w:w="0" w:type="dxa"/>
            <w:right w:w="0" w:type="dxa"/>
          </w:tblCellMar>
        </w:tblPrEx>
        <w:trPr>
          <w:jc w:val="center"/>
        </w:trPr>
        <w:tc>
          <w:tcPr>
            <w:tcW w:w="613" w:type="dxa"/>
            <w:gridSpan w:val="2"/>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843"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二氧化硫</w:t>
            </w:r>
          </w:p>
        </w:tc>
        <w:tc>
          <w:tcPr>
            <w:tcW w:w="85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41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2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9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8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054"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32"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r>
      <w:tr>
        <w:tblPrEx>
          <w:tblCellMar>
            <w:top w:w="0" w:type="dxa"/>
            <w:left w:w="0" w:type="dxa"/>
            <w:bottom w:w="0" w:type="dxa"/>
            <w:right w:w="0" w:type="dxa"/>
          </w:tblCellMar>
        </w:tblPrEx>
        <w:trPr>
          <w:jc w:val="center"/>
        </w:trPr>
        <w:tc>
          <w:tcPr>
            <w:tcW w:w="613" w:type="dxa"/>
            <w:gridSpan w:val="2"/>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843"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烟尘</w:t>
            </w:r>
          </w:p>
        </w:tc>
        <w:tc>
          <w:tcPr>
            <w:tcW w:w="85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41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2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9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8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054"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32"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r>
      <w:tr>
        <w:tblPrEx>
          <w:tblCellMar>
            <w:top w:w="0" w:type="dxa"/>
            <w:left w:w="0" w:type="dxa"/>
            <w:bottom w:w="0" w:type="dxa"/>
            <w:right w:w="0" w:type="dxa"/>
          </w:tblCellMar>
        </w:tblPrEx>
        <w:trPr>
          <w:jc w:val="center"/>
        </w:trPr>
        <w:tc>
          <w:tcPr>
            <w:tcW w:w="613" w:type="dxa"/>
            <w:gridSpan w:val="2"/>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843"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工业粉尘</w:t>
            </w:r>
          </w:p>
        </w:tc>
        <w:tc>
          <w:tcPr>
            <w:tcW w:w="85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41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2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9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8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054"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32"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r>
      <w:tr>
        <w:tblPrEx>
          <w:tblCellMar>
            <w:top w:w="0" w:type="dxa"/>
            <w:left w:w="0" w:type="dxa"/>
            <w:bottom w:w="0" w:type="dxa"/>
            <w:right w:w="0" w:type="dxa"/>
          </w:tblCellMar>
        </w:tblPrEx>
        <w:trPr>
          <w:jc w:val="center"/>
        </w:trPr>
        <w:tc>
          <w:tcPr>
            <w:tcW w:w="613" w:type="dxa"/>
            <w:gridSpan w:val="2"/>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843"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氮氧化物</w:t>
            </w:r>
          </w:p>
        </w:tc>
        <w:tc>
          <w:tcPr>
            <w:tcW w:w="85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41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2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9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8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054"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32"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r>
      <w:tr>
        <w:tblPrEx>
          <w:tblCellMar>
            <w:top w:w="0" w:type="dxa"/>
            <w:left w:w="0" w:type="dxa"/>
            <w:bottom w:w="0" w:type="dxa"/>
            <w:right w:w="0" w:type="dxa"/>
          </w:tblCellMar>
        </w:tblPrEx>
        <w:trPr>
          <w:jc w:val="center"/>
        </w:trPr>
        <w:tc>
          <w:tcPr>
            <w:tcW w:w="613" w:type="dxa"/>
            <w:gridSpan w:val="2"/>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843" w:type="dxa"/>
            <w:gridSpan w:val="2"/>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kern w:val="0"/>
                <w:sz w:val="15"/>
                <w:szCs w:val="15"/>
              </w:rPr>
              <w:t>工业固体废物</w:t>
            </w:r>
          </w:p>
        </w:tc>
        <w:tc>
          <w:tcPr>
            <w:tcW w:w="85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41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2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9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8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054"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32"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r>
      <w:tr>
        <w:tblPrEx>
          <w:tblCellMar>
            <w:top w:w="0" w:type="dxa"/>
            <w:left w:w="0" w:type="dxa"/>
            <w:bottom w:w="0" w:type="dxa"/>
            <w:right w:w="0" w:type="dxa"/>
          </w:tblCellMar>
        </w:tblPrEx>
        <w:trPr>
          <w:jc w:val="center"/>
        </w:trPr>
        <w:tc>
          <w:tcPr>
            <w:tcW w:w="613" w:type="dxa"/>
            <w:gridSpan w:val="2"/>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29" w:type="dxa"/>
            <w:vMerge w:val="restart"/>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r>
              <w:rPr>
                <w:b/>
                <w:bCs/>
                <w:spacing w:val="3"/>
                <w:kern w:val="0"/>
                <w:sz w:val="15"/>
                <w:szCs w:val="15"/>
              </w:rPr>
              <w:t>与项目有关的</w:t>
            </w:r>
          </w:p>
          <w:p>
            <w:pPr>
              <w:kinsoku w:val="0"/>
              <w:overflowPunct w:val="0"/>
              <w:autoSpaceDE w:val="0"/>
              <w:autoSpaceDN w:val="0"/>
              <w:adjustRightInd w:val="0"/>
              <w:spacing w:line="240" w:lineRule="exact"/>
              <w:jc w:val="center"/>
              <w:rPr>
                <w:b/>
                <w:kern w:val="0"/>
                <w:sz w:val="15"/>
                <w:szCs w:val="15"/>
              </w:rPr>
            </w:pPr>
            <w:r>
              <w:rPr>
                <w:b/>
                <w:bCs/>
                <w:spacing w:val="3"/>
                <w:w w:val="95"/>
                <w:kern w:val="0"/>
                <w:sz w:val="15"/>
                <w:szCs w:val="15"/>
              </w:rPr>
              <w:t>其他特征污染</w:t>
            </w:r>
            <w:r>
              <w:rPr>
                <w:b/>
                <w:bCs/>
                <w:kern w:val="0"/>
                <w:sz w:val="15"/>
                <w:szCs w:val="15"/>
              </w:rPr>
              <w:t>物</w:t>
            </w:r>
          </w:p>
        </w:tc>
        <w:tc>
          <w:tcPr>
            <w:tcW w:w="714"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p>
        </w:tc>
        <w:tc>
          <w:tcPr>
            <w:tcW w:w="85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41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2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9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8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054"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32"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r>
      <w:tr>
        <w:tblPrEx>
          <w:tblCellMar>
            <w:top w:w="0" w:type="dxa"/>
            <w:left w:w="0" w:type="dxa"/>
            <w:bottom w:w="0" w:type="dxa"/>
            <w:right w:w="0" w:type="dxa"/>
          </w:tblCellMar>
        </w:tblPrEx>
        <w:trPr>
          <w:jc w:val="center"/>
        </w:trPr>
        <w:tc>
          <w:tcPr>
            <w:tcW w:w="613" w:type="dxa"/>
            <w:gridSpan w:val="2"/>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29" w:type="dxa"/>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714" w:type="dxa"/>
            <w:tcBorders>
              <w:top w:val="single" w:color="231F20" w:sz="4" w:space="0"/>
              <w:left w:val="single" w:color="231F20" w:sz="4" w:space="0"/>
              <w:bottom w:val="single" w:color="231F20" w:sz="4" w:space="0"/>
              <w:right w:val="single" w:color="231F20" w:sz="4" w:space="0"/>
            </w:tcBorders>
            <w:vAlign w:val="center"/>
          </w:tcPr>
          <w:p>
            <w:pPr>
              <w:kinsoku w:val="0"/>
              <w:overflowPunct w:val="0"/>
              <w:autoSpaceDE w:val="0"/>
              <w:autoSpaceDN w:val="0"/>
              <w:adjustRightInd w:val="0"/>
              <w:spacing w:line="240" w:lineRule="exact"/>
              <w:jc w:val="center"/>
              <w:rPr>
                <w:b/>
                <w:kern w:val="0"/>
                <w:sz w:val="15"/>
                <w:szCs w:val="15"/>
              </w:rPr>
            </w:pPr>
          </w:p>
        </w:tc>
        <w:tc>
          <w:tcPr>
            <w:tcW w:w="85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41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2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09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18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kern w:val="0"/>
                <w:sz w:val="15"/>
                <w:szCs w:val="15"/>
              </w:rPr>
            </w:pP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054"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32"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r>
      <w:tr>
        <w:tblPrEx>
          <w:tblCellMar>
            <w:top w:w="0" w:type="dxa"/>
            <w:left w:w="0" w:type="dxa"/>
            <w:bottom w:w="0" w:type="dxa"/>
            <w:right w:w="0" w:type="dxa"/>
          </w:tblCellMar>
        </w:tblPrEx>
        <w:trPr>
          <w:jc w:val="center"/>
        </w:trPr>
        <w:tc>
          <w:tcPr>
            <w:tcW w:w="613" w:type="dxa"/>
            <w:gridSpan w:val="2"/>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29" w:type="dxa"/>
            <w:vMerge w:val="continue"/>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714"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85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41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26"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020"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27"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09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87"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748"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054"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279" w:type="dxa"/>
            <w:gridSpan w:val="2"/>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1132"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c>
          <w:tcPr>
            <w:tcW w:w="813" w:type="dxa"/>
            <w:tcBorders>
              <w:top w:val="single" w:color="231F20" w:sz="4" w:space="0"/>
              <w:left w:val="single" w:color="231F20" w:sz="4" w:space="0"/>
              <w:bottom w:val="single" w:color="231F20" w:sz="4" w:space="0"/>
              <w:right w:val="single" w:color="231F20" w:sz="4" w:space="0"/>
            </w:tcBorders>
            <w:vAlign w:val="center"/>
          </w:tcPr>
          <w:p>
            <w:pPr>
              <w:autoSpaceDE w:val="0"/>
              <w:autoSpaceDN w:val="0"/>
              <w:adjustRightInd w:val="0"/>
              <w:spacing w:line="240" w:lineRule="exact"/>
              <w:jc w:val="center"/>
              <w:rPr>
                <w:b/>
                <w:kern w:val="0"/>
                <w:sz w:val="15"/>
                <w:szCs w:val="15"/>
              </w:rPr>
            </w:pPr>
          </w:p>
        </w:tc>
      </w:tr>
    </w:tbl>
    <w:p>
      <w:pPr>
        <w:kinsoku w:val="0"/>
        <w:overflowPunct w:val="0"/>
        <w:autoSpaceDE w:val="0"/>
        <w:autoSpaceDN w:val="0"/>
        <w:adjustRightInd w:val="0"/>
        <w:spacing w:line="226" w:lineRule="exact"/>
        <w:ind w:left="2" w:leftChars="-208" w:hanging="439" w:hangingChars="308"/>
        <w:rPr>
          <w:kern w:val="0"/>
          <w:sz w:val="15"/>
          <w:szCs w:val="15"/>
        </w:rPr>
      </w:pPr>
      <w:r>
        <w:rPr>
          <w:b/>
          <w:bCs/>
          <w:spacing w:val="-4"/>
          <w:kern w:val="0"/>
          <w:sz w:val="15"/>
          <w:szCs w:val="15"/>
        </w:rPr>
        <w:t>注</w:t>
      </w:r>
      <w:r>
        <w:rPr>
          <w:spacing w:val="-4"/>
          <w:kern w:val="0"/>
          <w:sz w:val="15"/>
          <w:szCs w:val="15"/>
        </w:rPr>
        <w:t xml:space="preserve">：1、排放增减量：（+）表示增加，（-）表示减少。2、(12)=(6)-(8)-(11)，（9）= </w:t>
      </w:r>
      <w:r>
        <w:rPr>
          <w:spacing w:val="-5"/>
          <w:kern w:val="0"/>
          <w:sz w:val="15"/>
          <w:szCs w:val="15"/>
        </w:rPr>
        <w:t xml:space="preserve">(4)-(5)-(8)- </w:t>
      </w:r>
      <w:r>
        <w:rPr>
          <w:spacing w:val="-3"/>
          <w:kern w:val="0"/>
          <w:sz w:val="15"/>
          <w:szCs w:val="15"/>
        </w:rPr>
        <w:t>(11)</w:t>
      </w:r>
      <w:r>
        <w:rPr>
          <w:spacing w:val="-7"/>
          <w:kern w:val="0"/>
          <w:sz w:val="15"/>
          <w:szCs w:val="15"/>
        </w:rPr>
        <w:t xml:space="preserve"> </w:t>
      </w:r>
      <w:r>
        <w:rPr>
          <w:spacing w:val="-4"/>
          <w:kern w:val="0"/>
          <w:sz w:val="15"/>
          <w:szCs w:val="15"/>
        </w:rPr>
        <w:t>+（1）。</w:t>
      </w:r>
      <w:r>
        <w:rPr>
          <w:rFonts w:hint="eastAsia"/>
          <w:spacing w:val="-4"/>
          <w:kern w:val="0"/>
          <w:sz w:val="15"/>
          <w:szCs w:val="15"/>
        </w:rPr>
        <w:t>3.  计量单位：废水排放量--万吨/天；废气排放量--万标立方米/年；工业固体废物排放量--万吨/年；水污染物排放浓度--毫克/升；大气污染物排放浓度--毫克/立方米；水污染物排放量--吨/年；大气污染物排放量--吨/年</w:t>
      </w:r>
    </w:p>
    <w:p>
      <w:pPr>
        <w:widowControl/>
        <w:jc w:val="left"/>
        <w:rPr>
          <w:rFonts w:hAnsi="宋体"/>
          <w:b/>
          <w:sz w:val="28"/>
          <w:szCs w:val="28"/>
        </w:rPr>
        <w:sectPr>
          <w:pgSz w:w="16838" w:h="11906" w:orient="landscape"/>
          <w:pgMar w:top="1021" w:right="851" w:bottom="1021" w:left="851" w:header="850" w:footer="992" w:gutter="0"/>
          <w:pgBorders>
            <w:top w:val="none" w:sz="0" w:space="0"/>
            <w:left w:val="none" w:sz="0" w:space="0"/>
            <w:bottom w:val="none" w:sz="0" w:space="0"/>
            <w:right w:val="none" w:sz="0" w:space="0"/>
          </w:pgBorders>
          <w:cols w:space="720" w:num="1"/>
          <w:docGrid w:linePitch="312" w:charSpace="0"/>
        </w:sectPr>
      </w:pPr>
    </w:p>
    <w:p>
      <w:pPr>
        <w:spacing w:line="360" w:lineRule="auto"/>
        <w:jc w:val="left"/>
        <w:rPr>
          <w:rFonts w:hint="eastAsia"/>
          <w:b/>
          <w:sz w:val="28"/>
          <w:szCs w:val="28"/>
        </w:rPr>
      </w:pPr>
      <w:r>
        <w:rPr>
          <w:rFonts w:hint="eastAsia"/>
          <w:b/>
          <w:sz w:val="28"/>
          <w:szCs w:val="28"/>
        </w:rPr>
        <w:t>附件一：环评批复</w:t>
      </w:r>
    </w:p>
    <w:p>
      <w:pPr>
        <w:spacing w:line="360" w:lineRule="auto"/>
        <w:jc w:val="left"/>
        <w:rPr>
          <w:b/>
          <w:sz w:val="28"/>
          <w:szCs w:val="28"/>
        </w:rPr>
      </w:pPr>
      <w:r>
        <w:rPr>
          <w:b/>
          <w:sz w:val="28"/>
          <w:szCs w:val="28"/>
        </w:rPr>
        <w:drawing>
          <wp:inline distT="0" distB="0" distL="114300" distR="114300">
            <wp:extent cx="6103620" cy="8597900"/>
            <wp:effectExtent l="0" t="0" r="11430" b="12700"/>
            <wp:docPr id="17" name="图片 17" descr="批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批复"/>
                    <pic:cNvPicPr>
                      <a:picLocks noChangeAspect="1"/>
                    </pic:cNvPicPr>
                  </pic:nvPicPr>
                  <pic:blipFill>
                    <a:blip r:embed="rId21"/>
                    <a:srcRect r="6654" b="1378"/>
                    <a:stretch>
                      <a:fillRect/>
                    </a:stretch>
                  </pic:blipFill>
                  <pic:spPr>
                    <a:xfrm>
                      <a:off x="0" y="0"/>
                      <a:ext cx="6103620" cy="8597900"/>
                    </a:xfrm>
                    <a:prstGeom prst="rect">
                      <a:avLst/>
                    </a:prstGeom>
                  </pic:spPr>
                </pic:pic>
              </a:graphicData>
            </a:graphic>
          </wp:inline>
        </w:drawing>
      </w:r>
    </w:p>
    <w:p>
      <w:pPr>
        <w:spacing w:line="360" w:lineRule="auto"/>
        <w:jc w:val="left"/>
        <w:rPr>
          <w:b/>
          <w:sz w:val="28"/>
          <w:szCs w:val="28"/>
        </w:rPr>
      </w:pPr>
      <w:r>
        <w:rPr>
          <w:b/>
          <w:sz w:val="28"/>
          <w:szCs w:val="28"/>
        </w:rPr>
        <w:drawing>
          <wp:inline distT="0" distB="0" distL="114300" distR="114300">
            <wp:extent cx="6092825" cy="8833485"/>
            <wp:effectExtent l="0" t="0" r="3175" b="5715"/>
            <wp:docPr id="28" name="图片 28" descr="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批复2"/>
                    <pic:cNvPicPr>
                      <a:picLocks noChangeAspect="1"/>
                    </pic:cNvPicPr>
                  </pic:nvPicPr>
                  <pic:blipFill>
                    <a:blip r:embed="rId22"/>
                    <a:srcRect l="4815" t="1170" r="6240" b="2129"/>
                    <a:stretch>
                      <a:fillRect/>
                    </a:stretch>
                  </pic:blipFill>
                  <pic:spPr>
                    <a:xfrm>
                      <a:off x="0" y="0"/>
                      <a:ext cx="6092825" cy="8833485"/>
                    </a:xfrm>
                    <a:prstGeom prst="rect">
                      <a:avLst/>
                    </a:prstGeom>
                  </pic:spPr>
                </pic:pic>
              </a:graphicData>
            </a:graphic>
          </wp:inline>
        </w:drawing>
      </w:r>
      <w:r>
        <w:rPr>
          <w:b/>
          <w:sz w:val="28"/>
          <w:szCs w:val="28"/>
        </w:rPr>
        <w:drawing>
          <wp:inline distT="0" distB="0" distL="114300" distR="114300">
            <wp:extent cx="6038850" cy="9060815"/>
            <wp:effectExtent l="0" t="0" r="0" b="6985"/>
            <wp:docPr id="35" name="图片 35" descr="批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批复3"/>
                    <pic:cNvPicPr>
                      <a:picLocks noChangeAspect="1"/>
                    </pic:cNvPicPr>
                  </pic:nvPicPr>
                  <pic:blipFill>
                    <a:blip r:embed="rId23"/>
                    <a:srcRect l="6934" t="2608" r="6519"/>
                    <a:stretch>
                      <a:fillRect/>
                    </a:stretch>
                  </pic:blipFill>
                  <pic:spPr>
                    <a:xfrm>
                      <a:off x="0" y="0"/>
                      <a:ext cx="6038850" cy="9060815"/>
                    </a:xfrm>
                    <a:prstGeom prst="rect">
                      <a:avLst/>
                    </a:prstGeom>
                  </pic:spPr>
                </pic:pic>
              </a:graphicData>
            </a:graphic>
          </wp:inline>
        </w:drawing>
      </w:r>
    </w:p>
    <w:p>
      <w:pPr>
        <w:spacing w:line="360" w:lineRule="auto"/>
        <w:jc w:val="left"/>
        <w:rPr>
          <w:b/>
          <w:sz w:val="28"/>
          <w:szCs w:val="28"/>
        </w:rPr>
      </w:pPr>
      <w:r>
        <w:rPr>
          <w:b/>
          <w:sz w:val="28"/>
          <w:szCs w:val="28"/>
        </w:rPr>
        <w:drawing>
          <wp:inline distT="0" distB="0" distL="114300" distR="114300">
            <wp:extent cx="6142990" cy="8970010"/>
            <wp:effectExtent l="0" t="0" r="10160" b="2540"/>
            <wp:docPr id="40" name="图片 40" descr="批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批复4"/>
                    <pic:cNvPicPr>
                      <a:picLocks noChangeAspect="1"/>
                    </pic:cNvPicPr>
                  </pic:nvPicPr>
                  <pic:blipFill>
                    <a:blip r:embed="rId24"/>
                    <a:srcRect t="1487" r="10048"/>
                    <a:stretch>
                      <a:fillRect/>
                    </a:stretch>
                  </pic:blipFill>
                  <pic:spPr>
                    <a:xfrm>
                      <a:off x="0" y="0"/>
                      <a:ext cx="6142990" cy="8970010"/>
                    </a:xfrm>
                    <a:prstGeom prst="rect">
                      <a:avLst/>
                    </a:prstGeom>
                  </pic:spPr>
                </pic:pic>
              </a:graphicData>
            </a:graphic>
          </wp:inline>
        </w:drawing>
      </w:r>
    </w:p>
    <w:p>
      <w:pPr>
        <w:spacing w:line="360" w:lineRule="auto"/>
        <w:jc w:val="left"/>
        <w:rPr>
          <w:b/>
          <w:sz w:val="28"/>
          <w:szCs w:val="28"/>
        </w:rPr>
      </w:pPr>
      <w:r>
        <w:rPr>
          <w:b/>
          <w:sz w:val="28"/>
          <w:szCs w:val="28"/>
        </w:rPr>
        <w:drawing>
          <wp:inline distT="0" distB="0" distL="114300" distR="114300">
            <wp:extent cx="5849620" cy="9133205"/>
            <wp:effectExtent l="0" t="0" r="17780" b="10795"/>
            <wp:docPr id="51" name="图片 51" descr="批复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批复5"/>
                    <pic:cNvPicPr>
                      <a:picLocks noChangeAspect="1"/>
                    </pic:cNvPicPr>
                  </pic:nvPicPr>
                  <pic:blipFill>
                    <a:blip r:embed="rId25"/>
                    <a:srcRect l="8916" t="6431" r="11179"/>
                    <a:stretch>
                      <a:fillRect/>
                    </a:stretch>
                  </pic:blipFill>
                  <pic:spPr>
                    <a:xfrm>
                      <a:off x="0" y="0"/>
                      <a:ext cx="5849620" cy="9133205"/>
                    </a:xfrm>
                    <a:prstGeom prst="rect">
                      <a:avLst/>
                    </a:prstGeom>
                  </pic:spPr>
                </pic:pic>
              </a:graphicData>
            </a:graphic>
          </wp:inline>
        </w:drawing>
      </w:r>
      <w:r>
        <w:rPr>
          <w:b/>
          <w:sz w:val="28"/>
          <w:szCs w:val="28"/>
        </w:rPr>
        <w:br w:type="page"/>
      </w:r>
    </w:p>
    <w:p>
      <w:pPr>
        <w:spacing w:line="360" w:lineRule="auto"/>
        <w:jc w:val="left"/>
        <w:rPr>
          <w:rFonts w:hint="eastAsia" w:eastAsia="宋体"/>
          <w:b/>
          <w:sz w:val="28"/>
          <w:szCs w:val="28"/>
          <w:lang w:eastAsia="zh-CN"/>
        </w:rPr>
      </w:pPr>
      <w:r>
        <w:rPr>
          <w:rFonts w:hint="eastAsia"/>
          <w:b/>
          <w:sz w:val="28"/>
          <w:szCs w:val="28"/>
        </w:rPr>
        <w:t>附件二：环保验收委托书</w:t>
      </w:r>
    </w:p>
    <w:p>
      <w:pPr>
        <w:pStyle w:val="2"/>
        <w:ind w:left="0" w:leftChars="0"/>
        <w:rPr>
          <w:b/>
          <w:sz w:val="28"/>
          <w:szCs w:val="28"/>
        </w:rPr>
      </w:pPr>
      <w:r>
        <w:drawing>
          <wp:inline distT="0" distB="0" distL="114300" distR="114300">
            <wp:extent cx="6114415" cy="7491730"/>
            <wp:effectExtent l="0" t="0" r="635" b="1397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6"/>
                    <a:stretch>
                      <a:fillRect/>
                    </a:stretch>
                  </pic:blipFill>
                  <pic:spPr>
                    <a:xfrm>
                      <a:off x="0" y="0"/>
                      <a:ext cx="6114415" cy="7491730"/>
                    </a:xfrm>
                    <a:prstGeom prst="rect">
                      <a:avLst/>
                    </a:prstGeom>
                    <a:noFill/>
                    <a:ln>
                      <a:noFill/>
                    </a:ln>
                  </pic:spPr>
                </pic:pic>
              </a:graphicData>
            </a:graphic>
          </wp:inline>
        </w:drawing>
      </w:r>
    </w:p>
    <w:p>
      <w:pPr>
        <w:spacing w:line="360" w:lineRule="auto"/>
        <w:jc w:val="left"/>
        <w:rPr>
          <w:rFonts w:hint="eastAsia"/>
          <w:b/>
          <w:sz w:val="28"/>
          <w:szCs w:val="28"/>
        </w:rPr>
      </w:pPr>
    </w:p>
    <w:p>
      <w:pPr>
        <w:spacing w:line="360" w:lineRule="auto"/>
        <w:jc w:val="left"/>
        <w:rPr>
          <w:rFonts w:hint="eastAsia"/>
          <w:b/>
          <w:sz w:val="28"/>
          <w:szCs w:val="28"/>
        </w:rPr>
      </w:pPr>
    </w:p>
    <w:p>
      <w:pPr>
        <w:spacing w:line="360" w:lineRule="auto"/>
        <w:jc w:val="left"/>
        <w:rPr>
          <w:rFonts w:hint="eastAsia"/>
          <w:b/>
          <w:sz w:val="28"/>
          <w:szCs w:val="28"/>
        </w:rPr>
      </w:pPr>
    </w:p>
    <w:p>
      <w:pPr>
        <w:spacing w:line="360" w:lineRule="auto"/>
        <w:jc w:val="left"/>
        <w:rPr>
          <w:b/>
          <w:sz w:val="28"/>
          <w:szCs w:val="28"/>
        </w:rPr>
      </w:pPr>
      <w:r>
        <w:rPr>
          <w:rFonts w:hint="eastAsia"/>
          <w:b/>
          <w:sz w:val="28"/>
          <w:szCs w:val="28"/>
        </w:rPr>
        <w:t>附件三：生产负荷证明</w:t>
      </w:r>
    </w:p>
    <w:p>
      <w:pPr>
        <w:pStyle w:val="2"/>
        <w:ind w:left="0" w:leftChars="0"/>
        <w:rPr>
          <w:rFonts w:hint="eastAsia" w:eastAsia="宋体"/>
          <w:lang w:eastAsia="zh-CN"/>
        </w:rPr>
      </w:pPr>
      <w:r>
        <w:rPr>
          <w:rFonts w:hint="eastAsia" w:eastAsia="宋体"/>
          <w:lang w:eastAsia="zh-CN"/>
        </w:rPr>
        <w:drawing>
          <wp:inline distT="0" distB="0" distL="114300" distR="114300">
            <wp:extent cx="6117590" cy="8555355"/>
            <wp:effectExtent l="0" t="0" r="16510" b="17145"/>
            <wp:docPr id="4" name="图片 4" descr="lADPDgfLQAjdYHzNC7zNCGQ_2148_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lADPDgfLQAjdYHzNC7zNCGQ_2148_3004"/>
                    <pic:cNvPicPr>
                      <a:picLocks noChangeAspect="1"/>
                    </pic:cNvPicPr>
                  </pic:nvPicPr>
                  <pic:blipFill>
                    <a:blip r:embed="rId27"/>
                    <a:stretch>
                      <a:fillRect/>
                    </a:stretch>
                  </pic:blipFill>
                  <pic:spPr>
                    <a:xfrm>
                      <a:off x="0" y="0"/>
                      <a:ext cx="6117590" cy="8555355"/>
                    </a:xfrm>
                    <a:prstGeom prst="rect">
                      <a:avLst/>
                    </a:prstGeom>
                  </pic:spPr>
                </pic:pic>
              </a:graphicData>
            </a:graphic>
          </wp:inline>
        </w:drawing>
      </w:r>
    </w:p>
    <w:p>
      <w:pPr>
        <w:spacing w:line="360" w:lineRule="auto"/>
        <w:jc w:val="left"/>
        <w:rPr>
          <w:b/>
          <w:sz w:val="28"/>
          <w:szCs w:val="28"/>
        </w:rPr>
      </w:pPr>
      <w:r>
        <w:rPr>
          <w:rFonts w:hint="eastAsia"/>
          <w:b/>
          <w:sz w:val="28"/>
          <w:szCs w:val="28"/>
        </w:rPr>
        <w:t>附件四：工作时间证明</w:t>
      </w:r>
    </w:p>
    <w:p>
      <w:pPr>
        <w:pStyle w:val="2"/>
        <w:ind w:left="0" w:leftChars="0"/>
        <w:rPr>
          <w:rFonts w:hint="eastAsia" w:eastAsia="宋体"/>
          <w:lang w:eastAsia="zh-CN"/>
        </w:rPr>
      </w:pPr>
      <w:r>
        <w:rPr>
          <w:rFonts w:hint="eastAsia" w:eastAsia="宋体"/>
          <w:lang w:eastAsia="zh-CN"/>
        </w:rPr>
        <w:drawing>
          <wp:inline distT="0" distB="0" distL="114300" distR="114300">
            <wp:extent cx="5974715" cy="8780780"/>
            <wp:effectExtent l="0" t="0" r="6985" b="1270"/>
            <wp:docPr id="8" name="图片 8" descr="lADPDhmOuUC94I3NC1jNB7g_1976_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lADPDhmOuUC94I3NC1jNB7g_1976_2904"/>
                    <pic:cNvPicPr>
                      <a:picLocks noChangeAspect="1"/>
                    </pic:cNvPicPr>
                  </pic:nvPicPr>
                  <pic:blipFill>
                    <a:blip r:embed="rId28"/>
                    <a:stretch>
                      <a:fillRect/>
                    </a:stretch>
                  </pic:blipFill>
                  <pic:spPr>
                    <a:xfrm>
                      <a:off x="0" y="0"/>
                      <a:ext cx="5974715" cy="8780780"/>
                    </a:xfrm>
                    <a:prstGeom prst="rect">
                      <a:avLst/>
                    </a:prstGeom>
                  </pic:spPr>
                </pic:pic>
              </a:graphicData>
            </a:graphic>
          </wp:inline>
        </w:drawing>
      </w:r>
    </w:p>
    <w:p>
      <w:pPr>
        <w:spacing w:line="360" w:lineRule="auto"/>
        <w:jc w:val="left"/>
      </w:pPr>
      <w:r>
        <w:rPr>
          <w:rFonts w:hint="eastAsia"/>
          <w:b/>
          <w:sz w:val="28"/>
          <w:szCs w:val="28"/>
        </w:rPr>
        <w:t>附件五：危险废物（液）处理处置合同</w:t>
      </w:r>
      <w:r>
        <w:drawing>
          <wp:inline distT="0" distB="0" distL="114300" distR="114300">
            <wp:extent cx="6117590" cy="8467090"/>
            <wp:effectExtent l="0" t="0" r="16510" b="1016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29"/>
                    <a:stretch>
                      <a:fillRect/>
                    </a:stretch>
                  </pic:blipFill>
                  <pic:spPr>
                    <a:xfrm>
                      <a:off x="0" y="0"/>
                      <a:ext cx="6117590" cy="8467090"/>
                    </a:xfrm>
                    <a:prstGeom prst="rect">
                      <a:avLst/>
                    </a:prstGeom>
                    <a:noFill/>
                    <a:ln>
                      <a:noFill/>
                    </a:ln>
                  </pic:spPr>
                </pic:pic>
              </a:graphicData>
            </a:graphic>
          </wp:inline>
        </w:drawing>
      </w:r>
      <w:r>
        <w:drawing>
          <wp:inline distT="0" distB="0" distL="114300" distR="114300">
            <wp:extent cx="8900795" cy="6299200"/>
            <wp:effectExtent l="0" t="0" r="6350" b="14605"/>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30"/>
                    <a:stretch>
                      <a:fillRect/>
                    </a:stretch>
                  </pic:blipFill>
                  <pic:spPr>
                    <a:xfrm rot="5400000">
                      <a:off x="0" y="0"/>
                      <a:ext cx="8900795" cy="6299200"/>
                    </a:xfrm>
                    <a:prstGeom prst="rect">
                      <a:avLst/>
                    </a:prstGeom>
                    <a:noFill/>
                    <a:ln>
                      <a:noFill/>
                    </a:ln>
                  </pic:spPr>
                </pic:pic>
              </a:graphicData>
            </a:graphic>
          </wp:inline>
        </w:drawing>
      </w:r>
    </w:p>
    <w:p>
      <w:pPr>
        <w:spacing w:line="360" w:lineRule="auto"/>
        <w:jc w:val="left"/>
      </w:pPr>
    </w:p>
    <w:p>
      <w:pPr>
        <w:spacing w:line="360" w:lineRule="auto"/>
        <w:jc w:val="left"/>
        <w:rPr>
          <w:rFonts w:hint="eastAsia"/>
          <w:b/>
          <w:bCs/>
          <w:sz w:val="28"/>
          <w:szCs w:val="28"/>
        </w:rPr>
      </w:pPr>
      <w:r>
        <w:drawing>
          <wp:inline distT="0" distB="0" distL="114300" distR="114300">
            <wp:extent cx="6114415" cy="7956550"/>
            <wp:effectExtent l="0" t="0" r="635" b="6350"/>
            <wp:docPr id="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
                    <pic:cNvPicPr>
                      <a:picLocks noChangeAspect="1"/>
                    </pic:cNvPicPr>
                  </pic:nvPicPr>
                  <pic:blipFill>
                    <a:blip r:embed="rId31"/>
                    <a:stretch>
                      <a:fillRect/>
                    </a:stretch>
                  </pic:blipFill>
                  <pic:spPr>
                    <a:xfrm>
                      <a:off x="0" y="0"/>
                      <a:ext cx="6114415" cy="7956550"/>
                    </a:xfrm>
                    <a:prstGeom prst="rect">
                      <a:avLst/>
                    </a:prstGeom>
                    <a:noFill/>
                    <a:ln>
                      <a:noFill/>
                    </a:ln>
                  </pic:spPr>
                </pic:pic>
              </a:graphicData>
            </a:graphic>
          </wp:inline>
        </w:drawing>
      </w:r>
      <w:r>
        <w:drawing>
          <wp:inline distT="0" distB="0" distL="114300" distR="114300">
            <wp:extent cx="8905240" cy="6280785"/>
            <wp:effectExtent l="0" t="0" r="5715" b="10160"/>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32"/>
                    <a:stretch>
                      <a:fillRect/>
                    </a:stretch>
                  </pic:blipFill>
                  <pic:spPr>
                    <a:xfrm rot="5400000">
                      <a:off x="0" y="0"/>
                      <a:ext cx="8905240" cy="6280785"/>
                    </a:xfrm>
                    <a:prstGeom prst="rect">
                      <a:avLst/>
                    </a:prstGeom>
                    <a:noFill/>
                    <a:ln>
                      <a:noFill/>
                    </a:ln>
                  </pic:spPr>
                </pic:pic>
              </a:graphicData>
            </a:graphic>
          </wp:inline>
        </w:drawing>
      </w:r>
      <w:r>
        <w:drawing>
          <wp:inline distT="0" distB="0" distL="114300" distR="114300">
            <wp:extent cx="8994140" cy="6336030"/>
            <wp:effectExtent l="0" t="0" r="7620" b="16510"/>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pic:cNvPicPr>
                      <a:picLocks noChangeAspect="1"/>
                    </pic:cNvPicPr>
                  </pic:nvPicPr>
                  <pic:blipFill>
                    <a:blip r:embed="rId33"/>
                    <a:stretch>
                      <a:fillRect/>
                    </a:stretch>
                  </pic:blipFill>
                  <pic:spPr>
                    <a:xfrm rot="5400000">
                      <a:off x="0" y="0"/>
                      <a:ext cx="8994140" cy="6336030"/>
                    </a:xfrm>
                    <a:prstGeom prst="rect">
                      <a:avLst/>
                    </a:prstGeom>
                    <a:noFill/>
                    <a:ln>
                      <a:noFill/>
                    </a:ln>
                  </pic:spPr>
                </pic:pic>
              </a:graphicData>
            </a:graphic>
          </wp:inline>
        </w:drawing>
      </w:r>
      <w:r>
        <w:drawing>
          <wp:inline distT="0" distB="0" distL="114300" distR="114300">
            <wp:extent cx="8889365" cy="6305550"/>
            <wp:effectExtent l="0" t="0" r="0" b="6985"/>
            <wp:docPr id="5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
                    <pic:cNvPicPr>
                      <a:picLocks noChangeAspect="1"/>
                    </pic:cNvPicPr>
                  </pic:nvPicPr>
                  <pic:blipFill>
                    <a:blip r:embed="rId34"/>
                    <a:stretch>
                      <a:fillRect/>
                    </a:stretch>
                  </pic:blipFill>
                  <pic:spPr>
                    <a:xfrm rot="5400000">
                      <a:off x="0" y="0"/>
                      <a:ext cx="8889365" cy="6305550"/>
                    </a:xfrm>
                    <a:prstGeom prst="rect">
                      <a:avLst/>
                    </a:prstGeom>
                    <a:noFill/>
                    <a:ln>
                      <a:noFill/>
                    </a:ln>
                  </pic:spPr>
                </pic:pic>
              </a:graphicData>
            </a:graphic>
          </wp:inline>
        </w:drawing>
      </w:r>
      <w:r>
        <w:drawing>
          <wp:inline distT="0" distB="0" distL="114300" distR="114300">
            <wp:extent cx="8975725" cy="6306820"/>
            <wp:effectExtent l="0" t="0" r="17780" b="15875"/>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35"/>
                    <a:stretch>
                      <a:fillRect/>
                    </a:stretch>
                  </pic:blipFill>
                  <pic:spPr>
                    <a:xfrm rot="5400000">
                      <a:off x="0" y="0"/>
                      <a:ext cx="8975725" cy="6306820"/>
                    </a:xfrm>
                    <a:prstGeom prst="rect">
                      <a:avLst/>
                    </a:prstGeom>
                    <a:noFill/>
                    <a:ln>
                      <a:noFill/>
                    </a:ln>
                  </pic:spPr>
                </pic:pic>
              </a:graphicData>
            </a:graphic>
          </wp:inline>
        </w:drawing>
      </w:r>
      <w:r>
        <w:drawing>
          <wp:inline distT="0" distB="0" distL="114300" distR="114300">
            <wp:extent cx="8909050" cy="6282690"/>
            <wp:effectExtent l="0" t="0" r="3810" b="6350"/>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36"/>
                    <a:stretch>
                      <a:fillRect/>
                    </a:stretch>
                  </pic:blipFill>
                  <pic:spPr>
                    <a:xfrm rot="5400000">
                      <a:off x="0" y="0"/>
                      <a:ext cx="8909050" cy="6282690"/>
                    </a:xfrm>
                    <a:prstGeom prst="rect">
                      <a:avLst/>
                    </a:prstGeom>
                    <a:noFill/>
                    <a:ln>
                      <a:noFill/>
                    </a:ln>
                  </pic:spPr>
                </pic:pic>
              </a:graphicData>
            </a:graphic>
          </wp:inline>
        </w:drawing>
      </w:r>
      <w:r>
        <w:rPr>
          <w:b/>
          <w:sz w:val="28"/>
          <w:szCs w:val="28"/>
        </w:rPr>
        <w:br w:type="page"/>
      </w:r>
    </w:p>
    <w:p>
      <w:pPr>
        <w:pStyle w:val="2"/>
        <w:spacing w:after="0" w:line="360" w:lineRule="auto"/>
        <w:ind w:left="0" w:leftChars="0"/>
        <w:jc w:val="left"/>
        <w:rPr>
          <w:rFonts w:hint="eastAsia"/>
          <w:sz w:val="24"/>
          <w:lang w:eastAsia="zh-CN"/>
        </w:rPr>
      </w:pPr>
      <w:r>
        <w:rPr>
          <w:rFonts w:hint="eastAsia"/>
          <w:b/>
          <w:bCs/>
          <w:sz w:val="28"/>
          <w:szCs w:val="28"/>
          <w:lang w:eastAsia="zh-CN"/>
        </w:rPr>
        <w:t>附件六：危废处置单位营业执照及资质</w:t>
      </w:r>
      <w:r>
        <w:drawing>
          <wp:inline distT="0" distB="0" distL="0" distR="0">
            <wp:extent cx="6120130" cy="8159750"/>
            <wp:effectExtent l="0" t="0" r="13970" b="1270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7" cstate="screen"/>
                    <a:stretch>
                      <a:fillRect/>
                    </a:stretch>
                  </pic:blipFill>
                  <pic:spPr>
                    <a:xfrm>
                      <a:off x="0" y="0"/>
                      <a:ext cx="6120130" cy="8159962"/>
                    </a:xfrm>
                    <a:prstGeom prst="rect">
                      <a:avLst/>
                    </a:prstGeom>
                  </pic:spPr>
                </pic:pic>
              </a:graphicData>
            </a:graphic>
          </wp:inline>
        </w:drawing>
      </w:r>
      <w:r>
        <w:drawing>
          <wp:inline distT="0" distB="0" distL="0" distR="0">
            <wp:extent cx="6120130" cy="4589780"/>
            <wp:effectExtent l="0" t="0" r="13970" b="127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38" cstate="screen"/>
                    <a:stretch>
                      <a:fillRect/>
                    </a:stretch>
                  </pic:blipFill>
                  <pic:spPr>
                    <a:xfrm>
                      <a:off x="0" y="0"/>
                      <a:ext cx="6120130" cy="4590098"/>
                    </a:xfrm>
                    <a:prstGeom prst="rect">
                      <a:avLst/>
                    </a:prstGeom>
                  </pic:spPr>
                </pic:pic>
              </a:graphicData>
            </a:graphic>
          </wp:inline>
        </w:drawing>
      </w:r>
      <w:r>
        <w:drawing>
          <wp:inline distT="0" distB="0" distL="0" distR="0">
            <wp:extent cx="6191250" cy="4222115"/>
            <wp:effectExtent l="0" t="0" r="0" b="698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39" cstate="screen"/>
                    <a:srcRect/>
                    <a:stretch>
                      <a:fillRect/>
                    </a:stretch>
                  </pic:blipFill>
                  <pic:spPr>
                    <a:xfrm>
                      <a:off x="0" y="0"/>
                      <a:ext cx="6191250" cy="4222649"/>
                    </a:xfrm>
                    <a:prstGeom prst="rect">
                      <a:avLst/>
                    </a:prstGeom>
                    <a:ln>
                      <a:noFill/>
                    </a:ln>
                  </pic:spPr>
                </pic:pic>
              </a:graphicData>
            </a:graphic>
          </wp:inline>
        </w:drawing>
      </w:r>
    </w:p>
    <w:p>
      <w:pPr>
        <w:pStyle w:val="2"/>
        <w:spacing w:after="0" w:line="360" w:lineRule="auto"/>
        <w:ind w:left="0" w:leftChars="0"/>
        <w:jc w:val="left"/>
        <w:rPr>
          <w:rFonts w:hint="eastAsia"/>
          <w:b/>
          <w:bCs/>
          <w:sz w:val="28"/>
          <w:szCs w:val="28"/>
        </w:rPr>
      </w:pPr>
    </w:p>
    <w:p>
      <w:pPr>
        <w:pStyle w:val="2"/>
        <w:spacing w:after="0" w:line="360" w:lineRule="auto"/>
        <w:ind w:left="0" w:leftChars="0"/>
        <w:jc w:val="left"/>
        <w:rPr>
          <w:rFonts w:hint="eastAsia"/>
          <w:b/>
          <w:bCs/>
          <w:sz w:val="28"/>
          <w:szCs w:val="28"/>
          <w:lang w:val="en-US" w:eastAsia="zh-CN"/>
        </w:rPr>
      </w:pPr>
      <w:r>
        <w:rPr>
          <w:rFonts w:hint="eastAsia"/>
          <w:b/>
          <w:bCs/>
          <w:sz w:val="28"/>
          <w:szCs w:val="28"/>
          <w:lang w:val="en-US" w:eastAsia="zh-CN"/>
        </w:rPr>
        <w:t>附件七：消防应急预案备案登记表</w:t>
      </w:r>
    </w:p>
    <w:p>
      <w:pPr>
        <w:pStyle w:val="2"/>
        <w:spacing w:after="0" w:line="360" w:lineRule="auto"/>
        <w:ind w:left="0" w:leftChars="0"/>
        <w:jc w:val="left"/>
        <w:rPr>
          <w:rFonts w:hint="default"/>
          <w:b/>
          <w:bCs/>
          <w:sz w:val="28"/>
          <w:szCs w:val="28"/>
          <w:lang w:val="en-US" w:eastAsia="zh-CN"/>
        </w:rPr>
      </w:pPr>
      <w:r>
        <w:rPr>
          <w:rFonts w:hint="default"/>
          <w:b/>
          <w:bCs/>
          <w:sz w:val="28"/>
          <w:szCs w:val="28"/>
          <w:lang w:val="en-US" w:eastAsia="zh-CN"/>
        </w:rPr>
        <w:drawing>
          <wp:inline distT="0" distB="0" distL="114300" distR="114300">
            <wp:extent cx="5854700" cy="8799830"/>
            <wp:effectExtent l="0" t="0" r="12700" b="1270"/>
            <wp:docPr id="7" name="图片 7" descr="lADPDhYBOtlkxmTNBP_NA1M_851_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lADPDhYBOtlkxmTNBP_NA1M_851_1279"/>
                    <pic:cNvPicPr>
                      <a:picLocks noChangeAspect="1"/>
                    </pic:cNvPicPr>
                  </pic:nvPicPr>
                  <pic:blipFill>
                    <a:blip r:embed="rId40"/>
                    <a:stretch>
                      <a:fillRect/>
                    </a:stretch>
                  </pic:blipFill>
                  <pic:spPr>
                    <a:xfrm>
                      <a:off x="0" y="0"/>
                      <a:ext cx="5854700" cy="8799830"/>
                    </a:xfrm>
                    <a:prstGeom prst="rect">
                      <a:avLst/>
                    </a:prstGeom>
                  </pic:spPr>
                </pic:pic>
              </a:graphicData>
            </a:graphic>
          </wp:inline>
        </w:drawing>
      </w:r>
    </w:p>
    <w:p>
      <w:pPr>
        <w:pStyle w:val="2"/>
        <w:spacing w:after="0" w:line="360" w:lineRule="auto"/>
        <w:ind w:left="0" w:leftChars="0"/>
        <w:jc w:val="left"/>
        <w:rPr>
          <w:rFonts w:hint="eastAsia" w:eastAsia="宋体"/>
          <w:lang w:eastAsia="zh-CN"/>
        </w:rPr>
      </w:pPr>
      <w:r>
        <w:rPr>
          <w:rFonts w:hint="eastAsia"/>
          <w:b/>
          <w:bCs/>
          <w:sz w:val="28"/>
          <w:szCs w:val="28"/>
        </w:rPr>
        <w:t>附件</w:t>
      </w:r>
      <w:r>
        <w:rPr>
          <w:rFonts w:hint="eastAsia"/>
          <w:b/>
          <w:bCs/>
          <w:sz w:val="28"/>
          <w:szCs w:val="28"/>
          <w:lang w:eastAsia="zh-CN"/>
        </w:rPr>
        <w:t>八</w:t>
      </w:r>
      <w:r>
        <w:rPr>
          <w:rFonts w:hint="eastAsia"/>
          <w:b/>
          <w:bCs/>
          <w:sz w:val="28"/>
          <w:szCs w:val="28"/>
        </w:rPr>
        <w:t>：验收监测报告</w:t>
      </w:r>
      <w:r>
        <w:rPr>
          <w:b/>
          <w:bCs/>
          <w:sz w:val="28"/>
          <w:szCs w:val="28"/>
        </w:rPr>
        <w:drawing>
          <wp:inline distT="0" distB="0" distL="114300" distR="114300">
            <wp:extent cx="6117590" cy="8648065"/>
            <wp:effectExtent l="0" t="0" r="16510" b="635"/>
            <wp:docPr id="26" name="图片 26" descr="a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a_001"/>
                    <pic:cNvPicPr>
                      <a:picLocks noChangeAspect="1"/>
                    </pic:cNvPicPr>
                  </pic:nvPicPr>
                  <pic:blipFill>
                    <a:blip r:embed="rId41"/>
                    <a:stretch>
                      <a:fillRect/>
                    </a:stretch>
                  </pic:blipFill>
                  <pic:spPr>
                    <a:xfrm>
                      <a:off x="0" y="0"/>
                      <a:ext cx="6117590" cy="8648065"/>
                    </a:xfrm>
                    <a:prstGeom prst="rect">
                      <a:avLst/>
                    </a:prstGeom>
                  </pic:spPr>
                </pic:pic>
              </a:graphicData>
            </a:graphic>
          </wp:inline>
        </w:drawing>
      </w:r>
    </w:p>
    <w:p>
      <w:pPr>
        <w:widowControl/>
        <w:jc w:val="left"/>
        <w:rPr>
          <w:rFonts w:eastAsiaTheme="minorEastAsia"/>
          <w:snapToGrid w:val="0"/>
          <w:color w:val="000000"/>
          <w:w w:val="0"/>
          <w:kern w:val="0"/>
          <w:sz w:val="0"/>
          <w:szCs w:val="0"/>
          <w:u w:color="000000"/>
          <w:shd w:val="clear" w:color="000000" w:fill="000000"/>
          <w:lang w:val="zh-CN" w:bidi="zh-CN"/>
        </w:rPr>
      </w:pPr>
      <w:r>
        <w:rPr>
          <w:b/>
          <w:bCs/>
          <w:sz w:val="28"/>
          <w:szCs w:val="28"/>
        </w:rPr>
        <w:drawing>
          <wp:inline distT="0" distB="0" distL="114300" distR="114300">
            <wp:extent cx="6117590" cy="8648065"/>
            <wp:effectExtent l="0" t="0" r="16510" b="635"/>
            <wp:docPr id="38" name="图片 38" descr="a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a_002"/>
                    <pic:cNvPicPr>
                      <a:picLocks noChangeAspect="1"/>
                    </pic:cNvPicPr>
                  </pic:nvPicPr>
                  <pic:blipFill>
                    <a:blip r:embed="rId42"/>
                    <a:stretch>
                      <a:fillRect/>
                    </a:stretch>
                  </pic:blipFill>
                  <pic:spPr>
                    <a:xfrm>
                      <a:off x="0" y="0"/>
                      <a:ext cx="6117590" cy="8648065"/>
                    </a:xfrm>
                    <a:prstGeom prst="rect">
                      <a:avLst/>
                    </a:prstGeom>
                  </pic:spPr>
                </pic:pic>
              </a:graphicData>
            </a:graphic>
          </wp:inline>
        </w:drawing>
      </w:r>
      <w:r>
        <w:rPr>
          <w:b/>
          <w:bCs/>
          <w:sz w:val="28"/>
          <w:szCs w:val="28"/>
        </w:rPr>
        <w:drawing>
          <wp:inline distT="0" distB="0" distL="114300" distR="114300">
            <wp:extent cx="6117590" cy="8648065"/>
            <wp:effectExtent l="0" t="0" r="16510" b="635"/>
            <wp:docPr id="74" name="图片 74" descr="a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a_003"/>
                    <pic:cNvPicPr>
                      <a:picLocks noChangeAspect="1"/>
                    </pic:cNvPicPr>
                  </pic:nvPicPr>
                  <pic:blipFill>
                    <a:blip r:embed="rId43"/>
                    <a:stretch>
                      <a:fillRect/>
                    </a:stretch>
                  </pic:blipFill>
                  <pic:spPr>
                    <a:xfrm>
                      <a:off x="0" y="0"/>
                      <a:ext cx="6117590" cy="8648065"/>
                    </a:xfrm>
                    <a:prstGeom prst="rect">
                      <a:avLst/>
                    </a:prstGeom>
                  </pic:spPr>
                </pic:pic>
              </a:graphicData>
            </a:graphic>
          </wp:inline>
        </w:drawing>
      </w:r>
      <w:r>
        <w:rPr>
          <w:b/>
          <w:bCs/>
          <w:sz w:val="28"/>
          <w:szCs w:val="28"/>
        </w:rPr>
        <w:drawing>
          <wp:inline distT="0" distB="0" distL="114300" distR="114300">
            <wp:extent cx="6117590" cy="8648065"/>
            <wp:effectExtent l="0" t="0" r="16510" b="635"/>
            <wp:docPr id="75" name="图片 75" descr="a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a_004"/>
                    <pic:cNvPicPr>
                      <a:picLocks noChangeAspect="1"/>
                    </pic:cNvPicPr>
                  </pic:nvPicPr>
                  <pic:blipFill>
                    <a:blip r:embed="rId44"/>
                    <a:stretch>
                      <a:fillRect/>
                    </a:stretch>
                  </pic:blipFill>
                  <pic:spPr>
                    <a:xfrm>
                      <a:off x="0" y="0"/>
                      <a:ext cx="6117590" cy="8648065"/>
                    </a:xfrm>
                    <a:prstGeom prst="rect">
                      <a:avLst/>
                    </a:prstGeom>
                  </pic:spPr>
                </pic:pic>
              </a:graphicData>
            </a:graphic>
          </wp:inline>
        </w:drawing>
      </w:r>
      <w:r>
        <w:rPr>
          <w:b/>
          <w:bCs/>
          <w:sz w:val="28"/>
          <w:szCs w:val="28"/>
        </w:rPr>
        <w:drawing>
          <wp:inline distT="0" distB="0" distL="114300" distR="114300">
            <wp:extent cx="6117590" cy="8648065"/>
            <wp:effectExtent l="0" t="0" r="16510" b="635"/>
            <wp:docPr id="64" name="图片 64" descr="a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a_005"/>
                    <pic:cNvPicPr>
                      <a:picLocks noChangeAspect="1"/>
                    </pic:cNvPicPr>
                  </pic:nvPicPr>
                  <pic:blipFill>
                    <a:blip r:embed="rId45"/>
                    <a:stretch>
                      <a:fillRect/>
                    </a:stretch>
                  </pic:blipFill>
                  <pic:spPr>
                    <a:xfrm>
                      <a:off x="0" y="0"/>
                      <a:ext cx="6117590" cy="8648065"/>
                    </a:xfrm>
                    <a:prstGeom prst="rect">
                      <a:avLst/>
                    </a:prstGeom>
                  </pic:spPr>
                </pic:pic>
              </a:graphicData>
            </a:graphic>
          </wp:inline>
        </w:drawing>
      </w:r>
      <w:r>
        <w:rPr>
          <w:b/>
          <w:bCs/>
          <w:sz w:val="28"/>
          <w:szCs w:val="28"/>
        </w:rPr>
        <w:drawing>
          <wp:inline distT="0" distB="0" distL="114300" distR="114300">
            <wp:extent cx="6117590" cy="8648065"/>
            <wp:effectExtent l="0" t="0" r="16510" b="635"/>
            <wp:docPr id="70" name="图片 70" descr="a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a_006"/>
                    <pic:cNvPicPr>
                      <a:picLocks noChangeAspect="1"/>
                    </pic:cNvPicPr>
                  </pic:nvPicPr>
                  <pic:blipFill>
                    <a:blip r:embed="rId46"/>
                    <a:stretch>
                      <a:fillRect/>
                    </a:stretch>
                  </pic:blipFill>
                  <pic:spPr>
                    <a:xfrm>
                      <a:off x="0" y="0"/>
                      <a:ext cx="6117590" cy="8648065"/>
                    </a:xfrm>
                    <a:prstGeom prst="rect">
                      <a:avLst/>
                    </a:prstGeom>
                  </pic:spPr>
                </pic:pic>
              </a:graphicData>
            </a:graphic>
          </wp:inline>
        </w:drawing>
      </w:r>
      <w:r>
        <w:rPr>
          <w:b/>
          <w:bCs/>
          <w:sz w:val="28"/>
          <w:szCs w:val="28"/>
        </w:rPr>
        <w:drawing>
          <wp:inline distT="0" distB="0" distL="114300" distR="114300">
            <wp:extent cx="6117590" cy="8648065"/>
            <wp:effectExtent l="0" t="0" r="16510" b="635"/>
            <wp:docPr id="71" name="图片 71" descr="a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a_007"/>
                    <pic:cNvPicPr>
                      <a:picLocks noChangeAspect="1"/>
                    </pic:cNvPicPr>
                  </pic:nvPicPr>
                  <pic:blipFill>
                    <a:blip r:embed="rId47"/>
                    <a:stretch>
                      <a:fillRect/>
                    </a:stretch>
                  </pic:blipFill>
                  <pic:spPr>
                    <a:xfrm>
                      <a:off x="0" y="0"/>
                      <a:ext cx="6117590" cy="8648065"/>
                    </a:xfrm>
                    <a:prstGeom prst="rect">
                      <a:avLst/>
                    </a:prstGeom>
                  </pic:spPr>
                </pic:pic>
              </a:graphicData>
            </a:graphic>
          </wp:inline>
        </w:drawing>
      </w:r>
      <w:r>
        <w:rPr>
          <w:b/>
          <w:bCs/>
          <w:sz w:val="28"/>
          <w:szCs w:val="28"/>
        </w:rPr>
        <w:br w:type="page"/>
      </w:r>
      <w:r>
        <w:t xml:space="preserve">    </w:t>
      </w:r>
      <w:r>
        <w:rPr>
          <w:rFonts w:eastAsia="Times New Roman"/>
          <w:snapToGrid w:val="0"/>
          <w:color w:val="000000"/>
          <w:w w:val="0"/>
          <w:kern w:val="0"/>
          <w:sz w:val="0"/>
          <w:szCs w:val="0"/>
          <w:u w:color="000000"/>
          <w:shd w:val="clear" w:color="000000" w:fill="000000"/>
          <w:lang w:val="zh-CN" w:bidi="zh-CN"/>
        </w:rPr>
        <w:t xml:space="preserve">  </w:t>
      </w:r>
    </w:p>
    <w:p>
      <w:pPr>
        <w:widowControl/>
        <w:jc w:val="left"/>
        <w:rPr>
          <w:rFonts w:hint="eastAsia" w:ascii="宋体" w:hAnsi="宋体"/>
          <w:b/>
          <w:sz w:val="28"/>
          <w:szCs w:val="28"/>
          <w:lang w:eastAsia="zh-CN"/>
        </w:rPr>
      </w:pPr>
      <w:r>
        <w:rPr>
          <w:rFonts w:hint="eastAsia" w:ascii="宋体" w:hAnsi="宋体"/>
          <w:b/>
          <w:sz w:val="28"/>
          <w:szCs w:val="28"/>
          <w:lang w:eastAsia="zh-CN"/>
        </w:rPr>
        <w:t>附件九：验收意见</w:t>
      </w:r>
    </w:p>
    <w:p>
      <w:pPr>
        <w:widowControl/>
        <w:jc w:val="left"/>
        <w:rPr>
          <w:rFonts w:hint="eastAsia" w:ascii="宋体" w:hAnsi="宋体"/>
          <w:b/>
          <w:sz w:val="28"/>
          <w:szCs w:val="28"/>
          <w:lang w:eastAsia="zh-CN"/>
        </w:rPr>
      </w:pPr>
      <w:r>
        <w:drawing>
          <wp:inline distT="0" distB="0" distL="114300" distR="114300">
            <wp:extent cx="8806180" cy="6212840"/>
            <wp:effectExtent l="0" t="0" r="16510" b="13970"/>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48"/>
                    <a:stretch>
                      <a:fillRect/>
                    </a:stretch>
                  </pic:blipFill>
                  <pic:spPr>
                    <a:xfrm rot="16200000">
                      <a:off x="0" y="0"/>
                      <a:ext cx="8806180" cy="6212840"/>
                    </a:xfrm>
                    <a:prstGeom prst="rect">
                      <a:avLst/>
                    </a:prstGeom>
                    <a:noFill/>
                    <a:ln>
                      <a:noFill/>
                    </a:ln>
                  </pic:spPr>
                </pic:pic>
              </a:graphicData>
            </a:graphic>
          </wp:inline>
        </w:drawing>
      </w:r>
    </w:p>
    <w:p>
      <w:pPr>
        <w:pStyle w:val="2"/>
        <w:ind w:left="0" w:leftChars="0" w:firstLine="0" w:firstLineChars="0"/>
        <w:rPr>
          <w:rFonts w:hint="eastAsia"/>
          <w:lang w:eastAsia="zh-CN"/>
        </w:rPr>
      </w:pPr>
      <w:r>
        <w:drawing>
          <wp:inline distT="0" distB="0" distL="114300" distR="114300">
            <wp:extent cx="8650605" cy="6270625"/>
            <wp:effectExtent l="0" t="0" r="15875" b="17145"/>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49"/>
                    <a:stretch>
                      <a:fillRect/>
                    </a:stretch>
                  </pic:blipFill>
                  <pic:spPr>
                    <a:xfrm rot="16200000">
                      <a:off x="0" y="0"/>
                      <a:ext cx="8650605" cy="6270625"/>
                    </a:xfrm>
                    <a:prstGeom prst="rect">
                      <a:avLst/>
                    </a:prstGeom>
                    <a:noFill/>
                    <a:ln>
                      <a:noFill/>
                    </a:ln>
                  </pic:spPr>
                </pic:pic>
              </a:graphicData>
            </a:graphic>
          </wp:inline>
        </w:drawing>
      </w:r>
      <w:r>
        <w:drawing>
          <wp:inline distT="0" distB="0" distL="114300" distR="114300">
            <wp:extent cx="8551545" cy="6019165"/>
            <wp:effectExtent l="0" t="0" r="635" b="1905"/>
            <wp:docPr id="7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
                    <pic:cNvPicPr>
                      <a:picLocks noChangeAspect="1"/>
                    </pic:cNvPicPr>
                  </pic:nvPicPr>
                  <pic:blipFill>
                    <a:blip r:embed="rId50"/>
                    <a:stretch>
                      <a:fillRect/>
                    </a:stretch>
                  </pic:blipFill>
                  <pic:spPr>
                    <a:xfrm rot="16200000">
                      <a:off x="0" y="0"/>
                      <a:ext cx="8551545" cy="6019165"/>
                    </a:xfrm>
                    <a:prstGeom prst="rect">
                      <a:avLst/>
                    </a:prstGeom>
                    <a:noFill/>
                    <a:ln>
                      <a:noFill/>
                    </a:ln>
                  </pic:spPr>
                </pic:pic>
              </a:graphicData>
            </a:graphic>
          </wp:inline>
        </w:drawing>
      </w:r>
      <w:r>
        <w:drawing>
          <wp:inline distT="0" distB="0" distL="114300" distR="114300">
            <wp:extent cx="8462010" cy="6162675"/>
            <wp:effectExtent l="0" t="0" r="9525" b="15240"/>
            <wp:docPr id="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
                    <pic:cNvPicPr>
                      <a:picLocks noChangeAspect="1"/>
                    </pic:cNvPicPr>
                  </pic:nvPicPr>
                  <pic:blipFill>
                    <a:blip r:embed="rId51"/>
                    <a:stretch>
                      <a:fillRect/>
                    </a:stretch>
                  </pic:blipFill>
                  <pic:spPr>
                    <a:xfrm rot="16200000">
                      <a:off x="0" y="0"/>
                      <a:ext cx="8462010" cy="6162675"/>
                    </a:xfrm>
                    <a:prstGeom prst="rect">
                      <a:avLst/>
                    </a:prstGeom>
                    <a:noFill/>
                    <a:ln>
                      <a:noFill/>
                    </a:ln>
                  </pic:spPr>
                </pic:pic>
              </a:graphicData>
            </a:graphic>
          </wp:inline>
        </w:drawing>
      </w:r>
      <w:r>
        <w:drawing>
          <wp:inline distT="0" distB="0" distL="114300" distR="114300">
            <wp:extent cx="8416925" cy="6104890"/>
            <wp:effectExtent l="0" t="0" r="10160" b="3175"/>
            <wp:docPr id="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
                    <pic:cNvPicPr>
                      <a:picLocks noChangeAspect="1"/>
                    </pic:cNvPicPr>
                  </pic:nvPicPr>
                  <pic:blipFill>
                    <a:blip r:embed="rId52"/>
                    <a:stretch>
                      <a:fillRect/>
                    </a:stretch>
                  </pic:blipFill>
                  <pic:spPr>
                    <a:xfrm rot="16200000">
                      <a:off x="0" y="0"/>
                      <a:ext cx="8416925" cy="6104890"/>
                    </a:xfrm>
                    <a:prstGeom prst="rect">
                      <a:avLst/>
                    </a:prstGeom>
                    <a:noFill/>
                    <a:ln>
                      <a:noFill/>
                    </a:ln>
                  </pic:spPr>
                </pic:pic>
              </a:graphicData>
            </a:graphic>
          </wp:inline>
        </w:drawing>
      </w:r>
      <w:r>
        <w:drawing>
          <wp:inline distT="0" distB="0" distL="114300" distR="114300">
            <wp:extent cx="9023350" cy="6092825"/>
            <wp:effectExtent l="0" t="0" r="3175" b="6350"/>
            <wp:docPr id="1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
                    <pic:cNvPicPr>
                      <a:picLocks noChangeAspect="1"/>
                    </pic:cNvPicPr>
                  </pic:nvPicPr>
                  <pic:blipFill>
                    <a:blip r:embed="rId53"/>
                    <a:stretch>
                      <a:fillRect/>
                    </a:stretch>
                  </pic:blipFill>
                  <pic:spPr>
                    <a:xfrm rot="16200000">
                      <a:off x="0" y="0"/>
                      <a:ext cx="9023350" cy="6092825"/>
                    </a:xfrm>
                    <a:prstGeom prst="rect">
                      <a:avLst/>
                    </a:prstGeom>
                    <a:noFill/>
                    <a:ln>
                      <a:noFill/>
                    </a:ln>
                  </pic:spPr>
                </pic:pic>
              </a:graphicData>
            </a:graphic>
          </wp:inline>
        </w:drawing>
      </w:r>
    </w:p>
    <w:p>
      <w:pPr>
        <w:widowControl/>
        <w:jc w:val="left"/>
        <w:rPr>
          <w:rFonts w:ascii="宋体" w:hAnsi="宋体"/>
          <w:b/>
          <w:sz w:val="28"/>
          <w:szCs w:val="28"/>
        </w:rPr>
      </w:pPr>
      <w:r>
        <w:rPr>
          <w:rFonts w:hint="eastAsia" w:ascii="宋体" w:hAnsi="宋体"/>
          <w:b/>
          <w:sz w:val="28"/>
          <w:szCs w:val="28"/>
        </w:rPr>
        <w:t>附图一：现场采样照片</w:t>
      </w:r>
    </w:p>
    <w:tbl>
      <w:tblPr>
        <w:tblStyle w:val="24"/>
        <w:tblW w:w="9638" w:type="dxa"/>
        <w:jc w:val="center"/>
        <w:tblLayout w:type="fixed"/>
        <w:tblCellMar>
          <w:top w:w="0" w:type="dxa"/>
          <w:left w:w="108" w:type="dxa"/>
          <w:bottom w:w="0" w:type="dxa"/>
          <w:right w:w="108" w:type="dxa"/>
        </w:tblCellMar>
      </w:tblPr>
      <w:tblGrid>
        <w:gridCol w:w="4819"/>
        <w:gridCol w:w="4819"/>
      </w:tblGrid>
      <w:tr>
        <w:tblPrEx>
          <w:tblCellMar>
            <w:top w:w="0" w:type="dxa"/>
            <w:left w:w="108" w:type="dxa"/>
            <w:bottom w:w="0" w:type="dxa"/>
            <w:right w:w="108" w:type="dxa"/>
          </w:tblCellMar>
        </w:tblPrEx>
        <w:trPr>
          <w:trHeight w:val="5102" w:hRule="atLeast"/>
          <w:jc w:val="center"/>
        </w:trPr>
        <w:tc>
          <w:tcPr>
            <w:tcW w:w="4819" w:type="dxa"/>
            <w:vAlign w:val="center"/>
          </w:tcPr>
          <w:p>
            <w:pPr>
              <w:jc w:val="center"/>
              <w:rPr>
                <w:rFonts w:hint="eastAsia" w:eastAsia="宋体"/>
                <w:b/>
                <w:sz w:val="24"/>
                <w:lang w:eastAsia="zh-CN"/>
              </w:rPr>
            </w:pPr>
            <w:r>
              <w:rPr>
                <w:rFonts w:hint="eastAsia" w:eastAsia="宋体"/>
                <w:b/>
                <w:sz w:val="24"/>
                <w:lang w:eastAsia="zh-CN"/>
              </w:rPr>
              <w:drawing>
                <wp:inline distT="0" distB="0" distL="114300" distR="114300">
                  <wp:extent cx="2945130" cy="3927475"/>
                  <wp:effectExtent l="0" t="0" r="7620" b="15875"/>
                  <wp:docPr id="2" name="图片 2" descr="QQ图片2021011510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QQ图片20210115100412"/>
                          <pic:cNvPicPr>
                            <a:picLocks noChangeAspect="1"/>
                          </pic:cNvPicPr>
                        </pic:nvPicPr>
                        <pic:blipFill>
                          <a:blip r:embed="rId54"/>
                          <a:srcRect l="-12" r="-12"/>
                          <a:stretch>
                            <a:fillRect/>
                          </a:stretch>
                        </pic:blipFill>
                        <pic:spPr>
                          <a:xfrm>
                            <a:off x="0" y="0"/>
                            <a:ext cx="2945130" cy="3927475"/>
                          </a:xfrm>
                          <a:prstGeom prst="rect">
                            <a:avLst/>
                          </a:prstGeom>
                        </pic:spPr>
                      </pic:pic>
                    </a:graphicData>
                  </a:graphic>
                </wp:inline>
              </w:drawing>
            </w:r>
          </w:p>
        </w:tc>
        <w:tc>
          <w:tcPr>
            <w:tcW w:w="4819" w:type="dxa"/>
            <w:vAlign w:val="center"/>
          </w:tcPr>
          <w:p>
            <w:pPr>
              <w:jc w:val="both"/>
              <w:rPr>
                <w:rFonts w:hint="eastAsia" w:eastAsia="宋体"/>
                <w:b/>
                <w:sz w:val="24"/>
                <w:lang w:eastAsia="zh-CN"/>
              </w:rPr>
            </w:pPr>
            <w:r>
              <w:rPr>
                <w:rFonts w:hint="eastAsia" w:eastAsia="宋体"/>
                <w:b/>
                <w:sz w:val="24"/>
                <w:lang w:eastAsia="zh-CN"/>
              </w:rPr>
              <w:drawing>
                <wp:inline distT="0" distB="0" distL="114300" distR="114300">
                  <wp:extent cx="2933700" cy="3912870"/>
                  <wp:effectExtent l="0" t="0" r="0" b="11430"/>
                  <wp:docPr id="3" name="图片 3" descr="QQ图片2021011510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QQ图片20210115100416"/>
                          <pic:cNvPicPr>
                            <a:picLocks noChangeAspect="1"/>
                          </pic:cNvPicPr>
                        </pic:nvPicPr>
                        <pic:blipFill>
                          <a:blip r:embed="rId55"/>
                          <a:srcRect l="21877" r="21877"/>
                          <a:stretch>
                            <a:fillRect/>
                          </a:stretch>
                        </pic:blipFill>
                        <pic:spPr>
                          <a:xfrm>
                            <a:off x="0" y="0"/>
                            <a:ext cx="2933700" cy="3912870"/>
                          </a:xfrm>
                          <a:prstGeom prst="rect">
                            <a:avLst/>
                          </a:prstGeom>
                        </pic:spPr>
                      </pic:pic>
                    </a:graphicData>
                  </a:graphic>
                </wp:inline>
              </w:drawing>
            </w:r>
          </w:p>
        </w:tc>
      </w:tr>
      <w:tr>
        <w:tblPrEx>
          <w:tblCellMar>
            <w:top w:w="0" w:type="dxa"/>
            <w:left w:w="108" w:type="dxa"/>
            <w:bottom w:w="0" w:type="dxa"/>
            <w:right w:w="108" w:type="dxa"/>
          </w:tblCellMar>
        </w:tblPrEx>
        <w:trPr>
          <w:trHeight w:val="623" w:hRule="atLeast"/>
          <w:jc w:val="center"/>
        </w:trPr>
        <w:tc>
          <w:tcPr>
            <w:tcW w:w="4819" w:type="dxa"/>
            <w:vAlign w:val="center"/>
          </w:tcPr>
          <w:p>
            <w:pPr>
              <w:jc w:val="center"/>
              <w:rPr>
                <w:bCs/>
                <w:sz w:val="24"/>
              </w:rPr>
            </w:pPr>
            <w:r>
              <w:rPr>
                <w:rFonts w:hint="eastAsia"/>
                <w:bCs/>
                <w:sz w:val="24"/>
              </w:rPr>
              <w:t>昼噪东</w:t>
            </w:r>
            <w:r>
              <w:rPr>
                <w:bCs/>
                <w:sz w:val="24"/>
              </w:rPr>
              <w:t>▲1</w:t>
            </w:r>
          </w:p>
        </w:tc>
        <w:tc>
          <w:tcPr>
            <w:tcW w:w="4819" w:type="dxa"/>
            <w:vAlign w:val="center"/>
          </w:tcPr>
          <w:p>
            <w:pPr>
              <w:jc w:val="center"/>
              <w:rPr>
                <w:bCs/>
                <w:sz w:val="24"/>
              </w:rPr>
            </w:pPr>
            <w:r>
              <w:rPr>
                <w:rFonts w:hint="eastAsia"/>
                <w:bCs/>
                <w:sz w:val="24"/>
              </w:rPr>
              <w:t>昼噪南</w:t>
            </w:r>
            <w:r>
              <w:rPr>
                <w:bCs/>
                <w:sz w:val="24"/>
              </w:rPr>
              <w:t>▲</w:t>
            </w:r>
            <w:r>
              <w:rPr>
                <w:rFonts w:hint="eastAsia"/>
                <w:bCs/>
                <w:sz w:val="24"/>
              </w:rPr>
              <w:t>2</w:t>
            </w:r>
          </w:p>
        </w:tc>
      </w:tr>
      <w:tr>
        <w:tblPrEx>
          <w:tblCellMar>
            <w:top w:w="0" w:type="dxa"/>
            <w:left w:w="108" w:type="dxa"/>
            <w:bottom w:w="0" w:type="dxa"/>
            <w:right w:w="108" w:type="dxa"/>
          </w:tblCellMar>
        </w:tblPrEx>
        <w:trPr>
          <w:trHeight w:val="5102" w:hRule="atLeast"/>
          <w:jc w:val="center"/>
        </w:trPr>
        <w:tc>
          <w:tcPr>
            <w:tcW w:w="4819" w:type="dxa"/>
            <w:vAlign w:val="center"/>
          </w:tcPr>
          <w:p>
            <w:pPr>
              <w:jc w:val="both"/>
              <w:rPr>
                <w:rFonts w:hint="eastAsia" w:eastAsia="宋体"/>
                <w:bCs/>
                <w:sz w:val="24"/>
                <w:lang w:eastAsia="zh-CN"/>
              </w:rPr>
            </w:pPr>
            <w:r>
              <w:rPr>
                <w:rFonts w:hint="eastAsia" w:eastAsia="宋体"/>
                <w:bCs/>
                <w:sz w:val="24"/>
                <w:lang w:eastAsia="zh-CN"/>
              </w:rPr>
              <w:drawing>
                <wp:inline distT="0" distB="0" distL="114300" distR="114300">
                  <wp:extent cx="2938145" cy="3916680"/>
                  <wp:effectExtent l="0" t="0" r="14605" b="7620"/>
                  <wp:docPr id="6" name="图片 6" descr="QQ图片20210115100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QQ图片20210115100407"/>
                          <pic:cNvPicPr>
                            <a:picLocks noChangeAspect="1"/>
                          </pic:cNvPicPr>
                        </pic:nvPicPr>
                        <pic:blipFill>
                          <a:blip r:embed="rId56"/>
                          <a:srcRect l="21877" r="21877"/>
                          <a:stretch>
                            <a:fillRect/>
                          </a:stretch>
                        </pic:blipFill>
                        <pic:spPr>
                          <a:xfrm>
                            <a:off x="0" y="0"/>
                            <a:ext cx="2938145" cy="3916680"/>
                          </a:xfrm>
                          <a:prstGeom prst="rect">
                            <a:avLst/>
                          </a:prstGeom>
                        </pic:spPr>
                      </pic:pic>
                    </a:graphicData>
                  </a:graphic>
                </wp:inline>
              </w:drawing>
            </w:r>
          </w:p>
        </w:tc>
        <w:tc>
          <w:tcPr>
            <w:tcW w:w="4819" w:type="dxa"/>
            <w:vAlign w:val="center"/>
          </w:tcPr>
          <w:p>
            <w:pPr>
              <w:jc w:val="both"/>
              <w:rPr>
                <w:rFonts w:hint="eastAsia" w:eastAsia="宋体"/>
                <w:bCs/>
                <w:sz w:val="24"/>
                <w:lang w:eastAsia="zh-CN"/>
              </w:rPr>
            </w:pPr>
            <w:r>
              <w:rPr>
                <w:rFonts w:hint="eastAsia" w:eastAsia="宋体"/>
                <w:bCs/>
                <w:sz w:val="24"/>
                <w:lang w:eastAsia="zh-CN"/>
              </w:rPr>
              <w:drawing>
                <wp:inline distT="0" distB="0" distL="114300" distR="114300">
                  <wp:extent cx="2966085" cy="3954780"/>
                  <wp:effectExtent l="0" t="0" r="5715" b="7620"/>
                  <wp:docPr id="9" name="图片 9" descr="QQ图片2021011510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QQ图片20210115100402"/>
                          <pic:cNvPicPr>
                            <a:picLocks noChangeAspect="1"/>
                          </pic:cNvPicPr>
                        </pic:nvPicPr>
                        <pic:blipFill>
                          <a:blip r:embed="rId57"/>
                          <a:srcRect l="29471" t="965" r="14283" b="-965"/>
                          <a:stretch>
                            <a:fillRect/>
                          </a:stretch>
                        </pic:blipFill>
                        <pic:spPr>
                          <a:xfrm>
                            <a:off x="0" y="0"/>
                            <a:ext cx="2966085" cy="3954780"/>
                          </a:xfrm>
                          <a:prstGeom prst="rect">
                            <a:avLst/>
                          </a:prstGeom>
                        </pic:spPr>
                      </pic:pic>
                    </a:graphicData>
                  </a:graphic>
                </wp:inline>
              </w:drawing>
            </w:r>
          </w:p>
        </w:tc>
      </w:tr>
      <w:tr>
        <w:tblPrEx>
          <w:tblCellMar>
            <w:top w:w="0" w:type="dxa"/>
            <w:left w:w="108" w:type="dxa"/>
            <w:bottom w:w="0" w:type="dxa"/>
            <w:right w:w="108" w:type="dxa"/>
          </w:tblCellMar>
        </w:tblPrEx>
        <w:trPr>
          <w:trHeight w:val="623" w:hRule="atLeast"/>
          <w:jc w:val="center"/>
        </w:trPr>
        <w:tc>
          <w:tcPr>
            <w:tcW w:w="4819" w:type="dxa"/>
            <w:vAlign w:val="center"/>
          </w:tcPr>
          <w:p>
            <w:pPr>
              <w:jc w:val="center"/>
              <w:rPr>
                <w:bCs/>
                <w:sz w:val="24"/>
              </w:rPr>
            </w:pPr>
            <w:r>
              <w:rPr>
                <w:rFonts w:hint="eastAsia"/>
                <w:bCs/>
                <w:sz w:val="24"/>
              </w:rPr>
              <w:t>昼噪西</w:t>
            </w:r>
            <w:r>
              <w:rPr>
                <w:bCs/>
                <w:sz w:val="24"/>
              </w:rPr>
              <w:t>▲</w:t>
            </w:r>
            <w:r>
              <w:rPr>
                <w:rFonts w:hint="eastAsia"/>
                <w:bCs/>
                <w:sz w:val="24"/>
              </w:rPr>
              <w:t>3</w:t>
            </w:r>
          </w:p>
        </w:tc>
        <w:tc>
          <w:tcPr>
            <w:tcW w:w="4819" w:type="dxa"/>
            <w:vAlign w:val="center"/>
          </w:tcPr>
          <w:p>
            <w:pPr>
              <w:jc w:val="center"/>
              <w:rPr>
                <w:bCs/>
                <w:sz w:val="24"/>
              </w:rPr>
            </w:pPr>
            <w:r>
              <w:rPr>
                <w:rFonts w:hint="eastAsia"/>
                <w:bCs/>
                <w:sz w:val="24"/>
              </w:rPr>
              <w:t>昼噪北</w:t>
            </w:r>
            <w:r>
              <w:rPr>
                <w:bCs/>
                <w:sz w:val="24"/>
              </w:rPr>
              <w:t>▲</w:t>
            </w:r>
            <w:r>
              <w:rPr>
                <w:rFonts w:hint="eastAsia"/>
                <w:bCs/>
                <w:sz w:val="24"/>
              </w:rPr>
              <w:t>4</w:t>
            </w:r>
          </w:p>
        </w:tc>
      </w:tr>
      <w:tr>
        <w:tblPrEx>
          <w:tblCellMar>
            <w:top w:w="0" w:type="dxa"/>
            <w:left w:w="108" w:type="dxa"/>
            <w:bottom w:w="0" w:type="dxa"/>
            <w:right w:w="108" w:type="dxa"/>
          </w:tblCellMar>
        </w:tblPrEx>
        <w:trPr>
          <w:trHeight w:val="5102" w:hRule="atLeast"/>
          <w:jc w:val="center"/>
        </w:trPr>
        <w:tc>
          <w:tcPr>
            <w:tcW w:w="4819" w:type="dxa"/>
            <w:vAlign w:val="center"/>
          </w:tcPr>
          <w:p>
            <w:pPr>
              <w:jc w:val="both"/>
              <w:rPr>
                <w:rFonts w:hint="eastAsia" w:eastAsia="宋体"/>
                <w:bCs/>
                <w:sz w:val="24"/>
                <w:lang w:eastAsia="zh-CN"/>
              </w:rPr>
            </w:pPr>
            <w:r>
              <w:rPr>
                <w:rFonts w:hint="eastAsia" w:eastAsia="宋体"/>
                <w:bCs/>
                <w:sz w:val="24"/>
                <w:lang w:eastAsia="zh-CN"/>
              </w:rPr>
              <w:drawing>
                <wp:inline distT="0" distB="0" distL="114300" distR="114300">
                  <wp:extent cx="2956560" cy="3942715"/>
                  <wp:effectExtent l="0" t="0" r="15240" b="635"/>
                  <wp:docPr id="10" name="图片 10" descr="QQ图片2021011510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QQ图片20210115100327"/>
                          <pic:cNvPicPr>
                            <a:picLocks noChangeAspect="1"/>
                          </pic:cNvPicPr>
                        </pic:nvPicPr>
                        <pic:blipFill>
                          <a:blip r:embed="rId58"/>
                          <a:srcRect l="33088" r="10667"/>
                          <a:stretch>
                            <a:fillRect/>
                          </a:stretch>
                        </pic:blipFill>
                        <pic:spPr>
                          <a:xfrm>
                            <a:off x="0" y="0"/>
                            <a:ext cx="2956560" cy="3942715"/>
                          </a:xfrm>
                          <a:prstGeom prst="rect">
                            <a:avLst/>
                          </a:prstGeom>
                        </pic:spPr>
                      </pic:pic>
                    </a:graphicData>
                  </a:graphic>
                </wp:inline>
              </w:drawing>
            </w:r>
          </w:p>
        </w:tc>
        <w:tc>
          <w:tcPr>
            <w:tcW w:w="4819" w:type="dxa"/>
            <w:vAlign w:val="center"/>
          </w:tcPr>
          <w:p>
            <w:pPr>
              <w:jc w:val="center"/>
              <w:rPr>
                <w:rFonts w:hint="eastAsia" w:eastAsia="宋体"/>
                <w:bCs/>
                <w:sz w:val="24"/>
                <w:lang w:eastAsia="zh-CN"/>
              </w:rPr>
            </w:pPr>
            <w:r>
              <w:rPr>
                <w:rFonts w:hint="eastAsia" w:eastAsia="宋体"/>
                <w:bCs/>
                <w:sz w:val="24"/>
                <w:lang w:eastAsia="zh-CN"/>
              </w:rPr>
              <w:drawing>
                <wp:inline distT="0" distB="0" distL="114300" distR="114300">
                  <wp:extent cx="2976880" cy="3968115"/>
                  <wp:effectExtent l="0" t="0" r="13970" b="13335"/>
                  <wp:docPr id="12" name="图片 12" descr="QQ图片2021011510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QQ图片20210115100322"/>
                          <pic:cNvPicPr>
                            <a:picLocks noChangeAspect="1"/>
                          </pic:cNvPicPr>
                        </pic:nvPicPr>
                        <pic:blipFill>
                          <a:blip r:embed="rId59"/>
                          <a:srcRect l="21877" r="21877"/>
                          <a:stretch>
                            <a:fillRect/>
                          </a:stretch>
                        </pic:blipFill>
                        <pic:spPr>
                          <a:xfrm>
                            <a:off x="0" y="0"/>
                            <a:ext cx="2976880" cy="3968115"/>
                          </a:xfrm>
                          <a:prstGeom prst="rect">
                            <a:avLst/>
                          </a:prstGeom>
                        </pic:spPr>
                      </pic:pic>
                    </a:graphicData>
                  </a:graphic>
                </wp:inline>
              </w:drawing>
            </w:r>
          </w:p>
        </w:tc>
      </w:tr>
      <w:tr>
        <w:tblPrEx>
          <w:tblCellMar>
            <w:top w:w="0" w:type="dxa"/>
            <w:left w:w="108" w:type="dxa"/>
            <w:bottom w:w="0" w:type="dxa"/>
            <w:right w:w="108" w:type="dxa"/>
          </w:tblCellMar>
        </w:tblPrEx>
        <w:trPr>
          <w:trHeight w:val="623" w:hRule="atLeast"/>
          <w:jc w:val="center"/>
        </w:trPr>
        <w:tc>
          <w:tcPr>
            <w:tcW w:w="4819" w:type="dxa"/>
            <w:vAlign w:val="center"/>
          </w:tcPr>
          <w:p>
            <w:pPr>
              <w:jc w:val="center"/>
              <w:rPr>
                <w:bCs/>
                <w:sz w:val="24"/>
              </w:rPr>
            </w:pPr>
            <w:r>
              <w:rPr>
                <w:rFonts w:hint="eastAsia"/>
                <w:bCs/>
                <w:sz w:val="24"/>
              </w:rPr>
              <w:t>夜噪东</w:t>
            </w:r>
            <w:r>
              <w:rPr>
                <w:bCs/>
                <w:sz w:val="24"/>
              </w:rPr>
              <w:t>▲1</w:t>
            </w:r>
          </w:p>
        </w:tc>
        <w:tc>
          <w:tcPr>
            <w:tcW w:w="4819" w:type="dxa"/>
            <w:vAlign w:val="center"/>
          </w:tcPr>
          <w:p>
            <w:pPr>
              <w:jc w:val="center"/>
              <w:rPr>
                <w:bCs/>
                <w:sz w:val="24"/>
              </w:rPr>
            </w:pPr>
            <w:r>
              <w:rPr>
                <w:rFonts w:hint="eastAsia"/>
                <w:bCs/>
                <w:sz w:val="24"/>
              </w:rPr>
              <w:t>夜噪南</w:t>
            </w:r>
            <w:r>
              <w:rPr>
                <w:bCs/>
                <w:sz w:val="24"/>
              </w:rPr>
              <w:t>▲</w:t>
            </w:r>
            <w:r>
              <w:rPr>
                <w:rFonts w:hint="eastAsia"/>
                <w:bCs/>
                <w:sz w:val="24"/>
              </w:rPr>
              <w:t>2</w:t>
            </w:r>
          </w:p>
        </w:tc>
      </w:tr>
      <w:tr>
        <w:tblPrEx>
          <w:tblCellMar>
            <w:top w:w="0" w:type="dxa"/>
            <w:left w:w="108" w:type="dxa"/>
            <w:bottom w:w="0" w:type="dxa"/>
            <w:right w:w="108" w:type="dxa"/>
          </w:tblCellMar>
        </w:tblPrEx>
        <w:trPr>
          <w:trHeight w:val="5102" w:hRule="atLeast"/>
          <w:jc w:val="center"/>
        </w:trPr>
        <w:tc>
          <w:tcPr>
            <w:tcW w:w="4819" w:type="dxa"/>
            <w:vAlign w:val="center"/>
          </w:tcPr>
          <w:p>
            <w:pPr>
              <w:jc w:val="both"/>
              <w:rPr>
                <w:rFonts w:hint="eastAsia" w:eastAsia="宋体"/>
                <w:bCs/>
                <w:sz w:val="24"/>
                <w:lang w:eastAsia="zh-CN"/>
              </w:rPr>
            </w:pPr>
            <w:r>
              <w:rPr>
                <w:rFonts w:hint="eastAsia" w:eastAsia="宋体"/>
                <w:bCs/>
                <w:sz w:val="24"/>
                <w:lang w:eastAsia="zh-CN"/>
              </w:rPr>
              <w:drawing>
                <wp:inline distT="0" distB="0" distL="114300" distR="114300">
                  <wp:extent cx="2971800" cy="3961765"/>
                  <wp:effectExtent l="0" t="0" r="0" b="635"/>
                  <wp:docPr id="13" name="图片 13" descr="QQ图片2021011510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QQ图片20210115100318"/>
                          <pic:cNvPicPr>
                            <a:picLocks noChangeAspect="1"/>
                          </pic:cNvPicPr>
                        </pic:nvPicPr>
                        <pic:blipFill>
                          <a:blip r:embed="rId60"/>
                          <a:srcRect l="21877" r="21877"/>
                          <a:stretch>
                            <a:fillRect/>
                          </a:stretch>
                        </pic:blipFill>
                        <pic:spPr>
                          <a:xfrm>
                            <a:off x="0" y="0"/>
                            <a:ext cx="2971800" cy="3961765"/>
                          </a:xfrm>
                          <a:prstGeom prst="rect">
                            <a:avLst/>
                          </a:prstGeom>
                        </pic:spPr>
                      </pic:pic>
                    </a:graphicData>
                  </a:graphic>
                </wp:inline>
              </w:drawing>
            </w:r>
          </w:p>
        </w:tc>
        <w:tc>
          <w:tcPr>
            <w:tcW w:w="4819" w:type="dxa"/>
            <w:vAlign w:val="center"/>
          </w:tcPr>
          <w:p>
            <w:pPr>
              <w:jc w:val="both"/>
              <w:rPr>
                <w:bCs/>
                <w:sz w:val="24"/>
              </w:rPr>
            </w:pPr>
            <w:r>
              <w:rPr>
                <w:rFonts w:hint="eastAsia" w:eastAsia="宋体"/>
                <w:bCs/>
                <w:sz w:val="24"/>
                <w:lang w:eastAsia="zh-CN"/>
              </w:rPr>
              <w:drawing>
                <wp:inline distT="0" distB="0" distL="114300" distR="114300">
                  <wp:extent cx="2909570" cy="3881120"/>
                  <wp:effectExtent l="0" t="0" r="5080" b="5080"/>
                  <wp:docPr id="14" name="图片 14" descr="QQ图片2021011510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QQ图片20210115100332"/>
                          <pic:cNvPicPr>
                            <a:picLocks noChangeAspect="1"/>
                          </pic:cNvPicPr>
                        </pic:nvPicPr>
                        <pic:blipFill>
                          <a:blip r:embed="rId61"/>
                          <a:stretch>
                            <a:fillRect/>
                          </a:stretch>
                        </pic:blipFill>
                        <pic:spPr>
                          <a:xfrm>
                            <a:off x="0" y="0"/>
                            <a:ext cx="2909570" cy="3881120"/>
                          </a:xfrm>
                          <a:prstGeom prst="rect">
                            <a:avLst/>
                          </a:prstGeom>
                        </pic:spPr>
                      </pic:pic>
                    </a:graphicData>
                  </a:graphic>
                </wp:inline>
              </w:drawing>
            </w:r>
          </w:p>
        </w:tc>
      </w:tr>
      <w:tr>
        <w:tblPrEx>
          <w:tblCellMar>
            <w:top w:w="0" w:type="dxa"/>
            <w:left w:w="108" w:type="dxa"/>
            <w:bottom w:w="0" w:type="dxa"/>
            <w:right w:w="108" w:type="dxa"/>
          </w:tblCellMar>
        </w:tblPrEx>
        <w:trPr>
          <w:trHeight w:val="623" w:hRule="atLeast"/>
          <w:jc w:val="center"/>
        </w:trPr>
        <w:tc>
          <w:tcPr>
            <w:tcW w:w="4819" w:type="dxa"/>
            <w:vAlign w:val="center"/>
          </w:tcPr>
          <w:p>
            <w:pPr>
              <w:jc w:val="center"/>
              <w:rPr>
                <w:bCs/>
                <w:sz w:val="24"/>
              </w:rPr>
            </w:pPr>
            <w:r>
              <w:rPr>
                <w:rFonts w:hint="eastAsia"/>
                <w:bCs/>
                <w:sz w:val="24"/>
              </w:rPr>
              <w:t>夜噪西</w:t>
            </w:r>
            <w:r>
              <w:rPr>
                <w:bCs/>
                <w:sz w:val="24"/>
              </w:rPr>
              <w:t>▲</w:t>
            </w:r>
            <w:r>
              <w:rPr>
                <w:rFonts w:hint="eastAsia"/>
                <w:bCs/>
                <w:sz w:val="24"/>
              </w:rPr>
              <w:t>3</w:t>
            </w:r>
          </w:p>
        </w:tc>
        <w:tc>
          <w:tcPr>
            <w:tcW w:w="4819" w:type="dxa"/>
            <w:vAlign w:val="center"/>
          </w:tcPr>
          <w:p>
            <w:pPr>
              <w:jc w:val="center"/>
              <w:rPr>
                <w:bCs/>
                <w:sz w:val="24"/>
              </w:rPr>
            </w:pPr>
            <w:r>
              <w:rPr>
                <w:rFonts w:hint="eastAsia"/>
                <w:bCs/>
                <w:sz w:val="24"/>
              </w:rPr>
              <w:t>夜噪北</w:t>
            </w:r>
            <w:r>
              <w:rPr>
                <w:bCs/>
                <w:sz w:val="24"/>
              </w:rPr>
              <w:t>▲</w:t>
            </w:r>
            <w:r>
              <w:rPr>
                <w:rFonts w:hint="eastAsia"/>
                <w:bCs/>
                <w:sz w:val="24"/>
              </w:rPr>
              <w:t>4</w:t>
            </w:r>
          </w:p>
        </w:tc>
      </w:tr>
      <w:tr>
        <w:tblPrEx>
          <w:tblCellMar>
            <w:top w:w="0" w:type="dxa"/>
            <w:left w:w="108" w:type="dxa"/>
            <w:bottom w:w="0" w:type="dxa"/>
            <w:right w:w="108" w:type="dxa"/>
          </w:tblCellMar>
        </w:tblPrEx>
        <w:trPr>
          <w:trHeight w:val="623" w:hRule="atLeast"/>
          <w:jc w:val="center"/>
        </w:trPr>
        <w:tc>
          <w:tcPr>
            <w:tcW w:w="4819" w:type="dxa"/>
            <w:vAlign w:val="center"/>
          </w:tcPr>
          <w:p>
            <w:pPr>
              <w:jc w:val="center"/>
              <w:rPr>
                <w:rFonts w:hint="eastAsia" w:eastAsia="宋体"/>
                <w:bCs/>
                <w:sz w:val="24"/>
                <w:lang w:eastAsia="zh-CN"/>
              </w:rPr>
            </w:pPr>
            <w:r>
              <w:rPr>
                <w:rFonts w:hint="eastAsia" w:eastAsia="宋体"/>
                <w:bCs/>
                <w:sz w:val="24"/>
                <w:lang w:eastAsia="zh-CN"/>
              </w:rPr>
              <w:drawing>
                <wp:inline distT="0" distB="0" distL="114300" distR="114300">
                  <wp:extent cx="2954655" cy="3940175"/>
                  <wp:effectExtent l="0" t="0" r="17145" b="3175"/>
                  <wp:docPr id="19" name="图片 19" descr="QQ图片2021011510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QQ图片20210115100357"/>
                          <pic:cNvPicPr>
                            <a:picLocks noChangeAspect="1"/>
                          </pic:cNvPicPr>
                        </pic:nvPicPr>
                        <pic:blipFill>
                          <a:blip r:embed="rId62"/>
                          <a:stretch>
                            <a:fillRect/>
                          </a:stretch>
                        </pic:blipFill>
                        <pic:spPr>
                          <a:xfrm>
                            <a:off x="0" y="0"/>
                            <a:ext cx="2954655" cy="3940175"/>
                          </a:xfrm>
                          <a:prstGeom prst="rect">
                            <a:avLst/>
                          </a:prstGeom>
                        </pic:spPr>
                      </pic:pic>
                    </a:graphicData>
                  </a:graphic>
                </wp:inline>
              </w:drawing>
            </w:r>
          </w:p>
        </w:tc>
        <w:tc>
          <w:tcPr>
            <w:tcW w:w="4819" w:type="dxa"/>
            <w:vAlign w:val="center"/>
          </w:tcPr>
          <w:p>
            <w:pPr>
              <w:jc w:val="center"/>
              <w:rPr>
                <w:rFonts w:hint="eastAsia" w:eastAsia="宋体"/>
                <w:bCs/>
                <w:sz w:val="24"/>
                <w:lang w:eastAsia="zh-CN"/>
              </w:rPr>
            </w:pPr>
            <w:r>
              <w:rPr>
                <w:rFonts w:hint="eastAsia" w:eastAsia="宋体"/>
                <w:bCs/>
                <w:sz w:val="24"/>
                <w:lang w:eastAsia="zh-CN"/>
              </w:rPr>
              <w:drawing>
                <wp:inline distT="0" distB="0" distL="114300" distR="114300">
                  <wp:extent cx="2956560" cy="3943350"/>
                  <wp:effectExtent l="0" t="0" r="15240" b="0"/>
                  <wp:docPr id="18" name="图片 18" descr="QQ图片2021011510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QQ图片20210115100351"/>
                          <pic:cNvPicPr>
                            <a:picLocks noChangeAspect="1"/>
                          </pic:cNvPicPr>
                        </pic:nvPicPr>
                        <pic:blipFill>
                          <a:blip r:embed="rId63"/>
                          <a:stretch>
                            <a:fillRect/>
                          </a:stretch>
                        </pic:blipFill>
                        <pic:spPr>
                          <a:xfrm>
                            <a:off x="0" y="0"/>
                            <a:ext cx="2956560" cy="3943350"/>
                          </a:xfrm>
                          <a:prstGeom prst="rect">
                            <a:avLst/>
                          </a:prstGeom>
                        </pic:spPr>
                      </pic:pic>
                    </a:graphicData>
                  </a:graphic>
                </wp:inline>
              </w:drawing>
            </w:r>
          </w:p>
        </w:tc>
      </w:tr>
      <w:tr>
        <w:tblPrEx>
          <w:tblCellMar>
            <w:top w:w="0" w:type="dxa"/>
            <w:left w:w="108" w:type="dxa"/>
            <w:bottom w:w="0" w:type="dxa"/>
            <w:right w:w="108" w:type="dxa"/>
          </w:tblCellMar>
        </w:tblPrEx>
        <w:trPr>
          <w:trHeight w:val="623" w:hRule="atLeast"/>
          <w:jc w:val="center"/>
        </w:trPr>
        <w:tc>
          <w:tcPr>
            <w:tcW w:w="4819" w:type="dxa"/>
            <w:vAlign w:val="center"/>
          </w:tcPr>
          <w:p>
            <w:pPr>
              <w:jc w:val="center"/>
              <w:rPr>
                <w:bCs/>
                <w:sz w:val="24"/>
              </w:rPr>
            </w:pPr>
            <w:r>
              <w:rPr>
                <w:rFonts w:hint="eastAsia"/>
                <w:bCs/>
                <w:sz w:val="24"/>
              </w:rPr>
              <w:t>厂界无组织○1</w:t>
            </w:r>
          </w:p>
        </w:tc>
        <w:tc>
          <w:tcPr>
            <w:tcW w:w="4819" w:type="dxa"/>
            <w:vAlign w:val="center"/>
          </w:tcPr>
          <w:p>
            <w:pPr>
              <w:jc w:val="center"/>
              <w:rPr>
                <w:bCs/>
                <w:sz w:val="24"/>
              </w:rPr>
            </w:pPr>
            <w:r>
              <w:rPr>
                <w:rFonts w:hint="eastAsia"/>
                <w:bCs/>
                <w:sz w:val="24"/>
              </w:rPr>
              <w:t>厂界无组织○2</w:t>
            </w:r>
          </w:p>
        </w:tc>
      </w:tr>
      <w:tr>
        <w:tblPrEx>
          <w:tblCellMar>
            <w:top w:w="0" w:type="dxa"/>
            <w:left w:w="108" w:type="dxa"/>
            <w:bottom w:w="0" w:type="dxa"/>
            <w:right w:w="108" w:type="dxa"/>
          </w:tblCellMar>
        </w:tblPrEx>
        <w:trPr>
          <w:trHeight w:val="623" w:hRule="atLeast"/>
          <w:jc w:val="center"/>
        </w:trPr>
        <w:tc>
          <w:tcPr>
            <w:tcW w:w="4819" w:type="dxa"/>
            <w:vAlign w:val="center"/>
          </w:tcPr>
          <w:p>
            <w:pPr>
              <w:jc w:val="center"/>
              <w:rPr>
                <w:rFonts w:hint="eastAsia" w:eastAsia="宋体"/>
                <w:bCs/>
                <w:sz w:val="24"/>
                <w:lang w:eastAsia="zh-CN"/>
              </w:rPr>
            </w:pPr>
            <w:r>
              <w:rPr>
                <w:rFonts w:hint="eastAsia" w:eastAsia="宋体"/>
                <w:bCs/>
                <w:sz w:val="24"/>
                <w:lang w:eastAsia="zh-CN"/>
              </w:rPr>
              <w:drawing>
                <wp:inline distT="0" distB="0" distL="114300" distR="114300">
                  <wp:extent cx="2911475" cy="3883025"/>
                  <wp:effectExtent l="0" t="0" r="3175" b="3175"/>
                  <wp:docPr id="16" name="图片 16" descr="QQ图片2021011510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QQ图片20210115100342"/>
                          <pic:cNvPicPr>
                            <a:picLocks noChangeAspect="1"/>
                          </pic:cNvPicPr>
                        </pic:nvPicPr>
                        <pic:blipFill>
                          <a:blip r:embed="rId64"/>
                          <a:stretch>
                            <a:fillRect/>
                          </a:stretch>
                        </pic:blipFill>
                        <pic:spPr>
                          <a:xfrm>
                            <a:off x="0" y="0"/>
                            <a:ext cx="2911475" cy="3883025"/>
                          </a:xfrm>
                          <a:prstGeom prst="rect">
                            <a:avLst/>
                          </a:prstGeom>
                        </pic:spPr>
                      </pic:pic>
                    </a:graphicData>
                  </a:graphic>
                </wp:inline>
              </w:drawing>
            </w:r>
          </w:p>
        </w:tc>
        <w:tc>
          <w:tcPr>
            <w:tcW w:w="4819" w:type="dxa"/>
            <w:vAlign w:val="center"/>
          </w:tcPr>
          <w:p>
            <w:pPr>
              <w:jc w:val="both"/>
              <w:rPr>
                <w:rFonts w:hint="eastAsia" w:eastAsia="宋体"/>
                <w:bCs/>
                <w:sz w:val="24"/>
                <w:lang w:eastAsia="zh-CN"/>
              </w:rPr>
            </w:pPr>
            <w:r>
              <w:rPr>
                <w:rFonts w:hint="eastAsia" w:eastAsia="宋体"/>
                <w:bCs/>
                <w:sz w:val="24"/>
                <w:lang w:eastAsia="zh-CN"/>
              </w:rPr>
              <w:drawing>
                <wp:inline distT="0" distB="0" distL="114300" distR="114300">
                  <wp:extent cx="2932430" cy="3910965"/>
                  <wp:effectExtent l="0" t="0" r="1270" b="13335"/>
                  <wp:docPr id="15" name="图片 15" descr="QQ图片2021011510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QQ图片20210115100337"/>
                          <pic:cNvPicPr>
                            <a:picLocks noChangeAspect="1"/>
                          </pic:cNvPicPr>
                        </pic:nvPicPr>
                        <pic:blipFill>
                          <a:blip r:embed="rId65"/>
                          <a:srcRect l="27663" t="482" r="16091" b="-482"/>
                          <a:stretch>
                            <a:fillRect/>
                          </a:stretch>
                        </pic:blipFill>
                        <pic:spPr>
                          <a:xfrm>
                            <a:off x="0" y="0"/>
                            <a:ext cx="2932430" cy="3910965"/>
                          </a:xfrm>
                          <a:prstGeom prst="rect">
                            <a:avLst/>
                          </a:prstGeom>
                        </pic:spPr>
                      </pic:pic>
                    </a:graphicData>
                  </a:graphic>
                </wp:inline>
              </w:drawing>
            </w:r>
          </w:p>
        </w:tc>
      </w:tr>
      <w:tr>
        <w:tblPrEx>
          <w:tblCellMar>
            <w:top w:w="0" w:type="dxa"/>
            <w:left w:w="108" w:type="dxa"/>
            <w:bottom w:w="0" w:type="dxa"/>
            <w:right w:w="108" w:type="dxa"/>
          </w:tblCellMar>
        </w:tblPrEx>
        <w:trPr>
          <w:trHeight w:val="623" w:hRule="atLeast"/>
          <w:jc w:val="center"/>
        </w:trPr>
        <w:tc>
          <w:tcPr>
            <w:tcW w:w="4819" w:type="dxa"/>
            <w:vAlign w:val="center"/>
          </w:tcPr>
          <w:p>
            <w:pPr>
              <w:jc w:val="center"/>
              <w:rPr>
                <w:bCs/>
                <w:sz w:val="24"/>
              </w:rPr>
            </w:pPr>
            <w:r>
              <w:rPr>
                <w:rFonts w:hint="eastAsia"/>
                <w:bCs/>
                <w:sz w:val="24"/>
              </w:rPr>
              <w:t>厂界无组织○3</w:t>
            </w:r>
          </w:p>
        </w:tc>
        <w:tc>
          <w:tcPr>
            <w:tcW w:w="4819" w:type="dxa"/>
            <w:vAlign w:val="center"/>
          </w:tcPr>
          <w:p>
            <w:pPr>
              <w:jc w:val="center"/>
              <w:rPr>
                <w:bCs/>
                <w:sz w:val="24"/>
              </w:rPr>
            </w:pPr>
            <w:r>
              <w:rPr>
                <w:rFonts w:hint="eastAsia"/>
                <w:bCs/>
                <w:sz w:val="24"/>
              </w:rPr>
              <w:t>厂界无组织○4</w:t>
            </w:r>
          </w:p>
        </w:tc>
      </w:tr>
      <w:tr>
        <w:tblPrEx>
          <w:tblCellMar>
            <w:top w:w="0" w:type="dxa"/>
            <w:left w:w="108" w:type="dxa"/>
            <w:bottom w:w="0" w:type="dxa"/>
            <w:right w:w="108" w:type="dxa"/>
          </w:tblCellMar>
        </w:tblPrEx>
        <w:trPr>
          <w:trHeight w:val="623" w:hRule="atLeast"/>
          <w:jc w:val="center"/>
        </w:trPr>
        <w:tc>
          <w:tcPr>
            <w:tcW w:w="4819" w:type="dxa"/>
            <w:vAlign w:val="center"/>
          </w:tcPr>
          <w:p>
            <w:pPr>
              <w:jc w:val="center"/>
              <w:rPr>
                <w:rFonts w:hint="eastAsia" w:eastAsia="宋体"/>
                <w:bCs/>
                <w:sz w:val="24"/>
                <w:lang w:eastAsia="zh-CN"/>
              </w:rPr>
            </w:pPr>
            <w:r>
              <w:rPr>
                <w:rFonts w:hint="eastAsia" w:eastAsia="宋体"/>
                <w:bCs/>
                <w:sz w:val="24"/>
                <w:lang w:eastAsia="zh-CN"/>
              </w:rPr>
              <w:drawing>
                <wp:inline distT="0" distB="0" distL="114300" distR="114300">
                  <wp:extent cx="2903220" cy="3876040"/>
                  <wp:effectExtent l="0" t="0" r="11430" b="10160"/>
                  <wp:docPr id="20" name="图片 20" descr="化粪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化粪池"/>
                          <pic:cNvPicPr>
                            <a:picLocks noChangeAspect="1"/>
                          </pic:cNvPicPr>
                        </pic:nvPicPr>
                        <pic:blipFill>
                          <a:blip r:embed="rId66"/>
                          <a:stretch>
                            <a:fillRect/>
                          </a:stretch>
                        </pic:blipFill>
                        <pic:spPr>
                          <a:xfrm>
                            <a:off x="0" y="0"/>
                            <a:ext cx="2903220" cy="3876040"/>
                          </a:xfrm>
                          <a:prstGeom prst="rect">
                            <a:avLst/>
                          </a:prstGeom>
                        </pic:spPr>
                      </pic:pic>
                    </a:graphicData>
                  </a:graphic>
                </wp:inline>
              </w:drawing>
            </w:r>
          </w:p>
        </w:tc>
        <w:tc>
          <w:tcPr>
            <w:tcW w:w="4819" w:type="dxa"/>
            <w:vAlign w:val="center"/>
          </w:tcPr>
          <w:p>
            <w:pPr>
              <w:jc w:val="center"/>
              <w:rPr>
                <w:rFonts w:hint="eastAsia" w:eastAsia="宋体"/>
                <w:bCs/>
                <w:sz w:val="24"/>
                <w:lang w:eastAsia="zh-CN"/>
              </w:rPr>
            </w:pPr>
            <w:r>
              <w:rPr>
                <w:rFonts w:hint="eastAsia" w:eastAsia="宋体"/>
                <w:bCs/>
                <w:sz w:val="24"/>
                <w:lang w:eastAsia="zh-CN"/>
              </w:rPr>
              <w:drawing>
                <wp:inline distT="0" distB="0" distL="114300" distR="114300">
                  <wp:extent cx="2903220" cy="3876040"/>
                  <wp:effectExtent l="0" t="0" r="11430" b="10160"/>
                  <wp:docPr id="21" name="图片 21" descr="油水分离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油水分离池"/>
                          <pic:cNvPicPr>
                            <a:picLocks noChangeAspect="1"/>
                          </pic:cNvPicPr>
                        </pic:nvPicPr>
                        <pic:blipFill>
                          <a:blip r:embed="rId67"/>
                          <a:stretch>
                            <a:fillRect/>
                          </a:stretch>
                        </pic:blipFill>
                        <pic:spPr>
                          <a:xfrm>
                            <a:off x="0" y="0"/>
                            <a:ext cx="2903220" cy="3876040"/>
                          </a:xfrm>
                          <a:prstGeom prst="rect">
                            <a:avLst/>
                          </a:prstGeom>
                        </pic:spPr>
                      </pic:pic>
                    </a:graphicData>
                  </a:graphic>
                </wp:inline>
              </w:drawing>
            </w:r>
          </w:p>
        </w:tc>
      </w:tr>
      <w:tr>
        <w:tblPrEx>
          <w:tblCellMar>
            <w:top w:w="0" w:type="dxa"/>
            <w:left w:w="108" w:type="dxa"/>
            <w:bottom w:w="0" w:type="dxa"/>
            <w:right w:w="108" w:type="dxa"/>
          </w:tblCellMar>
        </w:tblPrEx>
        <w:trPr>
          <w:trHeight w:val="622" w:hRule="atLeast"/>
          <w:jc w:val="center"/>
        </w:trPr>
        <w:tc>
          <w:tcPr>
            <w:tcW w:w="4819" w:type="dxa"/>
            <w:vAlign w:val="center"/>
          </w:tcPr>
          <w:p>
            <w:pPr>
              <w:jc w:val="center"/>
              <w:rPr>
                <w:rFonts w:hint="default" w:eastAsia="宋体"/>
                <w:bCs/>
                <w:sz w:val="24"/>
                <w:lang w:val="en-US" w:eastAsia="zh-CN"/>
              </w:rPr>
            </w:pPr>
            <w:r>
              <w:rPr>
                <w:rFonts w:hint="eastAsia"/>
                <w:bCs/>
                <w:sz w:val="24"/>
                <w:lang w:val="en-US" w:eastAsia="zh-CN"/>
              </w:rPr>
              <w:t>化粪池</w:t>
            </w:r>
          </w:p>
        </w:tc>
        <w:tc>
          <w:tcPr>
            <w:tcW w:w="4819" w:type="dxa"/>
            <w:vAlign w:val="center"/>
          </w:tcPr>
          <w:p>
            <w:pPr>
              <w:jc w:val="center"/>
              <w:rPr>
                <w:rFonts w:hint="eastAsia" w:eastAsia="宋体"/>
                <w:bCs/>
                <w:sz w:val="24"/>
                <w:lang w:eastAsia="zh-CN"/>
              </w:rPr>
            </w:pPr>
            <w:r>
              <w:rPr>
                <w:rFonts w:hint="eastAsia"/>
                <w:bCs/>
                <w:sz w:val="24"/>
                <w:lang w:eastAsia="zh-CN"/>
              </w:rPr>
              <w:t>隔油池</w:t>
            </w:r>
          </w:p>
        </w:tc>
      </w:tr>
      <w:tr>
        <w:tblPrEx>
          <w:tblCellMar>
            <w:top w:w="0" w:type="dxa"/>
            <w:left w:w="108" w:type="dxa"/>
            <w:bottom w:w="0" w:type="dxa"/>
            <w:right w:w="108" w:type="dxa"/>
          </w:tblCellMar>
        </w:tblPrEx>
        <w:trPr>
          <w:trHeight w:val="622" w:hRule="atLeast"/>
          <w:jc w:val="center"/>
        </w:trPr>
        <w:tc>
          <w:tcPr>
            <w:tcW w:w="4819" w:type="dxa"/>
            <w:vAlign w:val="center"/>
          </w:tcPr>
          <w:p>
            <w:pPr>
              <w:jc w:val="both"/>
              <w:rPr>
                <w:rFonts w:hint="eastAsia"/>
                <w:bCs/>
                <w:sz w:val="24"/>
                <w:lang w:val="en-US" w:eastAsia="zh-CN"/>
              </w:rPr>
            </w:pPr>
            <w:r>
              <w:rPr>
                <w:rFonts w:hint="eastAsia"/>
                <w:bCs/>
                <w:sz w:val="24"/>
                <w:lang w:val="en-US" w:eastAsia="zh-CN"/>
              </w:rPr>
              <w:drawing>
                <wp:inline distT="0" distB="0" distL="114300" distR="114300">
                  <wp:extent cx="2938145" cy="3670935"/>
                  <wp:effectExtent l="0" t="0" r="14605" b="5715"/>
                  <wp:docPr id="22" name="图片 22" descr="QQ图片2021011510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QQ图片20210115100252"/>
                          <pic:cNvPicPr>
                            <a:picLocks noChangeAspect="1"/>
                          </pic:cNvPicPr>
                        </pic:nvPicPr>
                        <pic:blipFill>
                          <a:blip r:embed="rId68"/>
                          <a:srcRect l="27663" t="15916" r="21877"/>
                          <a:stretch>
                            <a:fillRect/>
                          </a:stretch>
                        </pic:blipFill>
                        <pic:spPr>
                          <a:xfrm>
                            <a:off x="0" y="0"/>
                            <a:ext cx="2938145" cy="3670935"/>
                          </a:xfrm>
                          <a:prstGeom prst="rect">
                            <a:avLst/>
                          </a:prstGeom>
                        </pic:spPr>
                      </pic:pic>
                    </a:graphicData>
                  </a:graphic>
                </wp:inline>
              </w:drawing>
            </w:r>
          </w:p>
        </w:tc>
        <w:tc>
          <w:tcPr>
            <w:tcW w:w="4819" w:type="dxa"/>
            <w:vAlign w:val="center"/>
          </w:tcPr>
          <w:p>
            <w:pPr>
              <w:jc w:val="center"/>
              <w:rPr>
                <w:rFonts w:hint="eastAsia"/>
                <w:bCs/>
                <w:sz w:val="24"/>
                <w:lang w:eastAsia="zh-CN"/>
              </w:rPr>
            </w:pPr>
          </w:p>
        </w:tc>
      </w:tr>
      <w:tr>
        <w:tblPrEx>
          <w:tblCellMar>
            <w:top w:w="0" w:type="dxa"/>
            <w:left w:w="108" w:type="dxa"/>
            <w:bottom w:w="0" w:type="dxa"/>
            <w:right w:w="108" w:type="dxa"/>
          </w:tblCellMar>
        </w:tblPrEx>
        <w:trPr>
          <w:trHeight w:val="622" w:hRule="atLeast"/>
          <w:jc w:val="center"/>
        </w:trPr>
        <w:tc>
          <w:tcPr>
            <w:tcW w:w="4819" w:type="dxa"/>
            <w:vAlign w:val="center"/>
          </w:tcPr>
          <w:p>
            <w:pPr>
              <w:jc w:val="center"/>
              <w:rPr>
                <w:rFonts w:hint="eastAsia"/>
                <w:bCs/>
                <w:sz w:val="24"/>
                <w:lang w:val="en-US" w:eastAsia="zh-CN"/>
              </w:rPr>
            </w:pPr>
            <w:r>
              <w:rPr>
                <w:rFonts w:hint="eastAsia"/>
                <w:bCs/>
                <w:sz w:val="24"/>
                <w:lang w:val="en-US" w:eastAsia="zh-CN"/>
              </w:rPr>
              <w:t>废水处理后排口</w:t>
            </w:r>
          </w:p>
        </w:tc>
        <w:tc>
          <w:tcPr>
            <w:tcW w:w="4819" w:type="dxa"/>
            <w:vAlign w:val="center"/>
          </w:tcPr>
          <w:p>
            <w:pPr>
              <w:jc w:val="center"/>
              <w:rPr>
                <w:rFonts w:hint="eastAsia"/>
                <w:bCs/>
                <w:sz w:val="24"/>
                <w:lang w:eastAsia="zh-CN"/>
              </w:rPr>
            </w:pPr>
          </w:p>
        </w:tc>
      </w:tr>
    </w:tbl>
    <w:p>
      <w:pPr>
        <w:pStyle w:val="39"/>
        <w:rPr>
          <w:rFonts w:ascii="宋体" w:hAnsi="宋体"/>
          <w:b/>
          <w:sz w:val="28"/>
          <w:szCs w:val="28"/>
        </w:rPr>
      </w:pPr>
      <w:r>
        <w:rPr>
          <w:rFonts w:ascii="宋体" w:hAnsi="宋体"/>
          <w:b/>
          <w:sz w:val="28"/>
          <w:szCs w:val="28"/>
        </w:rPr>
        <w:br w:type="page"/>
      </w:r>
      <w:r>
        <w:rPr>
          <w:rFonts w:hint="eastAsia" w:ascii="宋体" w:hAnsi="宋体"/>
          <w:b/>
          <w:sz w:val="28"/>
          <w:szCs w:val="28"/>
        </w:rPr>
        <w:t>附图二：现场照片</w:t>
      </w:r>
    </w:p>
    <w:tbl>
      <w:tblPr>
        <w:tblStyle w:val="25"/>
        <w:tblW w:w="9923" w:type="dxa"/>
        <w:tblInd w:w="108"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962"/>
        <w:gridCol w:w="496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62" w:type="dxa"/>
            <w:vAlign w:val="center"/>
          </w:tcPr>
          <w:p>
            <w:pPr>
              <w:pStyle w:val="2"/>
              <w:spacing w:after="0" w:line="360" w:lineRule="auto"/>
              <w:ind w:left="0" w:leftChars="0"/>
              <w:jc w:val="center"/>
              <w:rPr>
                <w:sz w:val="24"/>
              </w:rPr>
            </w:pPr>
            <w:r>
              <w:rPr>
                <w:rFonts w:hint="eastAsia" w:eastAsia="宋体"/>
                <w:sz w:val="24"/>
                <w:lang w:eastAsia="zh-CN"/>
              </w:rPr>
              <w:drawing>
                <wp:inline distT="0" distB="0" distL="114300" distR="114300">
                  <wp:extent cx="2903220" cy="3876040"/>
                  <wp:effectExtent l="0" t="0" r="11430" b="10160"/>
                  <wp:docPr id="23" name="图片 23" descr="QQ图片2021010708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QQ图片20210107085840"/>
                          <pic:cNvPicPr>
                            <a:picLocks noChangeAspect="1"/>
                          </pic:cNvPicPr>
                        </pic:nvPicPr>
                        <pic:blipFill>
                          <a:blip r:embed="rId69"/>
                          <a:stretch>
                            <a:fillRect/>
                          </a:stretch>
                        </pic:blipFill>
                        <pic:spPr>
                          <a:xfrm>
                            <a:off x="0" y="0"/>
                            <a:ext cx="2903220" cy="3876040"/>
                          </a:xfrm>
                          <a:prstGeom prst="rect">
                            <a:avLst/>
                          </a:prstGeom>
                        </pic:spPr>
                      </pic:pic>
                    </a:graphicData>
                  </a:graphic>
                </wp:inline>
              </w:drawing>
            </w:r>
          </w:p>
        </w:tc>
        <w:tc>
          <w:tcPr>
            <w:tcW w:w="4961" w:type="dxa"/>
            <w:vAlign w:val="center"/>
          </w:tcPr>
          <w:p>
            <w:pPr>
              <w:pStyle w:val="2"/>
              <w:spacing w:after="0" w:line="360" w:lineRule="auto"/>
              <w:ind w:left="0" w:leftChars="0"/>
              <w:jc w:val="center"/>
              <w:rPr>
                <w:rFonts w:hint="eastAsia" w:eastAsia="宋体"/>
                <w:sz w:val="24"/>
                <w:lang w:eastAsia="zh-CN"/>
              </w:rPr>
            </w:pPr>
            <w:r>
              <w:rPr>
                <w:rFonts w:hint="eastAsia" w:eastAsia="宋体"/>
                <w:sz w:val="24"/>
                <w:lang w:eastAsia="zh-CN"/>
              </w:rPr>
              <w:drawing>
                <wp:inline distT="0" distB="0" distL="114300" distR="114300">
                  <wp:extent cx="2979420" cy="3978275"/>
                  <wp:effectExtent l="0" t="0" r="11430" b="3175"/>
                  <wp:docPr id="25" name="图片 25" descr="QQ图片20210107085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QQ图片20210107085823"/>
                          <pic:cNvPicPr>
                            <a:picLocks noChangeAspect="1"/>
                          </pic:cNvPicPr>
                        </pic:nvPicPr>
                        <pic:blipFill>
                          <a:blip r:embed="rId70"/>
                          <a:stretch>
                            <a:fillRect/>
                          </a:stretch>
                        </pic:blipFill>
                        <pic:spPr>
                          <a:xfrm>
                            <a:off x="0" y="0"/>
                            <a:ext cx="2979420" cy="397827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62" w:type="dxa"/>
            <w:vAlign w:val="center"/>
          </w:tcPr>
          <w:p>
            <w:pPr>
              <w:pStyle w:val="2"/>
              <w:spacing w:after="0" w:line="360" w:lineRule="auto"/>
              <w:ind w:left="0" w:leftChars="0"/>
              <w:jc w:val="center"/>
              <w:rPr>
                <w:sz w:val="24"/>
              </w:rPr>
            </w:pPr>
            <w:r>
              <w:rPr>
                <w:rFonts w:hint="eastAsia"/>
                <w:sz w:val="24"/>
              </w:rPr>
              <w:t>消防沙箱</w:t>
            </w:r>
          </w:p>
        </w:tc>
        <w:tc>
          <w:tcPr>
            <w:tcW w:w="4961" w:type="dxa"/>
            <w:vAlign w:val="center"/>
          </w:tcPr>
          <w:p>
            <w:pPr>
              <w:pStyle w:val="2"/>
              <w:spacing w:after="0" w:line="360" w:lineRule="auto"/>
              <w:ind w:left="0" w:leftChars="0"/>
              <w:jc w:val="center"/>
              <w:rPr>
                <w:sz w:val="24"/>
              </w:rPr>
            </w:pPr>
            <w:r>
              <w:rPr>
                <w:rFonts w:hint="eastAsia"/>
                <w:sz w:val="24"/>
                <w:lang w:eastAsia="zh-CN"/>
              </w:rPr>
              <w:t>加油泵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62" w:type="dxa"/>
            <w:vAlign w:val="center"/>
          </w:tcPr>
          <w:p>
            <w:pPr>
              <w:pStyle w:val="2"/>
              <w:spacing w:after="0" w:line="360" w:lineRule="auto"/>
              <w:ind w:left="0" w:leftChars="0"/>
              <w:jc w:val="center"/>
              <w:rPr>
                <w:rFonts w:hint="eastAsia" w:eastAsia="宋体"/>
                <w:sz w:val="24"/>
                <w:lang w:eastAsia="zh-CN"/>
              </w:rPr>
            </w:pPr>
            <w:r>
              <w:rPr>
                <w:rFonts w:hint="eastAsia" w:eastAsia="宋体"/>
                <w:sz w:val="24"/>
                <w:lang w:eastAsia="zh-CN"/>
              </w:rPr>
              <w:drawing>
                <wp:inline distT="0" distB="0" distL="114300" distR="114300">
                  <wp:extent cx="2979420" cy="3978275"/>
                  <wp:effectExtent l="0" t="0" r="11430" b="3175"/>
                  <wp:docPr id="24" name="图片 24" descr="QQ图片2021010708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QQ图片20210107085847"/>
                          <pic:cNvPicPr>
                            <a:picLocks noChangeAspect="1"/>
                          </pic:cNvPicPr>
                        </pic:nvPicPr>
                        <pic:blipFill>
                          <a:blip r:embed="rId71"/>
                          <a:stretch>
                            <a:fillRect/>
                          </a:stretch>
                        </pic:blipFill>
                        <pic:spPr>
                          <a:xfrm>
                            <a:off x="0" y="0"/>
                            <a:ext cx="2979420" cy="3978275"/>
                          </a:xfrm>
                          <a:prstGeom prst="rect">
                            <a:avLst/>
                          </a:prstGeom>
                        </pic:spPr>
                      </pic:pic>
                    </a:graphicData>
                  </a:graphic>
                </wp:inline>
              </w:drawing>
            </w:r>
          </w:p>
        </w:tc>
        <w:tc>
          <w:tcPr>
            <w:tcW w:w="4961" w:type="dxa"/>
            <w:vAlign w:val="center"/>
          </w:tcPr>
          <w:p>
            <w:pPr>
              <w:pStyle w:val="2"/>
              <w:spacing w:after="0" w:line="360" w:lineRule="auto"/>
              <w:ind w:left="0" w:leftChars="0"/>
              <w:jc w:val="center"/>
              <w:rPr>
                <w:rFonts w:hint="eastAsia" w:eastAsia="宋体"/>
                <w:sz w:val="24"/>
                <w:lang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4962" w:type="dxa"/>
            <w:vAlign w:val="center"/>
          </w:tcPr>
          <w:p>
            <w:pPr>
              <w:pStyle w:val="2"/>
              <w:spacing w:after="0" w:line="360" w:lineRule="auto"/>
              <w:ind w:left="0" w:leftChars="0"/>
              <w:jc w:val="center"/>
              <w:rPr>
                <w:rFonts w:hint="eastAsia" w:eastAsia="宋体"/>
                <w:sz w:val="24"/>
                <w:lang w:eastAsia="zh-CN"/>
              </w:rPr>
            </w:pPr>
            <w:r>
              <w:rPr>
                <w:rFonts w:hint="eastAsia"/>
                <w:sz w:val="24"/>
                <w:lang w:eastAsia="zh-CN"/>
              </w:rPr>
              <w:t>消防器材</w:t>
            </w:r>
          </w:p>
        </w:tc>
        <w:tc>
          <w:tcPr>
            <w:tcW w:w="4961" w:type="dxa"/>
            <w:vAlign w:val="center"/>
          </w:tcPr>
          <w:p>
            <w:pPr>
              <w:pStyle w:val="2"/>
              <w:spacing w:after="0" w:line="360" w:lineRule="auto"/>
              <w:ind w:left="0" w:leftChars="0"/>
              <w:jc w:val="center"/>
              <w:rPr>
                <w:rFonts w:hint="eastAsia" w:eastAsia="宋体"/>
                <w:sz w:val="24"/>
                <w:lang w:eastAsia="zh-CN"/>
              </w:rPr>
            </w:pPr>
          </w:p>
        </w:tc>
      </w:tr>
    </w:tbl>
    <w:p>
      <w:pPr>
        <w:pStyle w:val="39"/>
        <w:rPr>
          <w:rFonts w:ascii="宋体" w:hAnsi="宋体"/>
          <w:b/>
          <w:sz w:val="28"/>
          <w:szCs w:val="28"/>
        </w:rPr>
      </w:pPr>
    </w:p>
    <w:p>
      <w:pPr>
        <w:pStyle w:val="2"/>
        <w:rPr>
          <w:rFonts w:cs="Arial"/>
          <w:kern w:val="0"/>
        </w:rPr>
      </w:pPr>
      <w:r>
        <w:br w:type="page"/>
      </w:r>
    </w:p>
    <w:p>
      <w:pPr>
        <w:pStyle w:val="2"/>
        <w:spacing w:after="0" w:line="360" w:lineRule="auto"/>
        <w:ind w:left="0" w:leftChars="0"/>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附图三：平面布置及监测点位图</w:t>
      </w:r>
    </w:p>
    <w:p>
      <w:pPr>
        <w:pStyle w:val="2"/>
        <w:spacing w:after="0" w:line="360" w:lineRule="auto"/>
        <w:ind w:left="0" w:leftChars="0"/>
        <w:jc w:val="center"/>
        <w:rPr>
          <w:rFonts w:ascii="宋体" w:hAnsi="宋体"/>
          <w:b/>
          <w:color w:val="000000" w:themeColor="text1"/>
          <w:sz w:val="28"/>
          <w:szCs w:val="28"/>
          <w14:textFill>
            <w14:solidFill>
              <w14:schemeClr w14:val="tx1"/>
            </w14:solidFill>
          </w14:textFill>
        </w:rPr>
      </w:pPr>
      <w:r>
        <w:rPr>
          <w:b/>
          <w:sz w:val="24"/>
        </w:rPr>
        <mc:AlternateContent>
          <mc:Choice Requires="wps">
            <w:drawing>
              <wp:anchor distT="0" distB="0" distL="114300" distR="114300" simplePos="0" relativeHeight="253210624" behindDoc="0" locked="0" layoutInCell="1" allowOverlap="1">
                <wp:simplePos x="0" y="0"/>
                <wp:positionH relativeFrom="column">
                  <wp:posOffset>2948305</wp:posOffset>
                </wp:positionH>
                <wp:positionV relativeFrom="paragraph">
                  <wp:posOffset>1527175</wp:posOffset>
                </wp:positionV>
                <wp:extent cx="979170" cy="32385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979170" cy="323850"/>
                        </a:xfrm>
                        <a:prstGeom prst="rect">
                          <a:avLst/>
                        </a:prstGeom>
                        <a:noFill/>
                        <a:ln>
                          <a:noFill/>
                        </a:ln>
                      </wps:spPr>
                      <wps:txbx>
                        <w:txbxContent>
                          <w:p>
                            <w:pPr>
                              <w:rPr>
                                <w:rFonts w:hint="eastAsia"/>
                              </w:rPr>
                            </w:pPr>
                            <w:r>
                              <w:rPr>
                                <w:rFonts w:hint="eastAsia"/>
                              </w:rPr>
                              <w:t>站房</w:t>
                            </w:r>
                          </w:p>
                        </w:txbxContent>
                      </wps:txbx>
                      <wps:bodyPr upright="1"/>
                    </wps:wsp>
                  </a:graphicData>
                </a:graphic>
              </wp:anchor>
            </w:drawing>
          </mc:Choice>
          <mc:Fallback>
            <w:pict>
              <v:shape id="_x0000_s1026" o:spid="_x0000_s1026" o:spt="202" type="#_x0000_t202" style="position:absolute;left:0pt;margin-left:232.15pt;margin-top:120.25pt;height:25.5pt;width:77.1pt;z-index:253210624;mso-width-relative:page;mso-height-relative:page;" filled="f" stroked="f" coordsize="21600,21600" o:gfxdata="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pkKuLY&#10;AAAACwEAAA8AAAAAAAAAAQAgAAAAIgAAAGRycy9kb3ducmV2LnhtbFBLAQIUABQAAAAIAIdO4kD7&#10;n7FErgEAAE8DAAAOAAAAAAAAAAEAIAAAACcBAABkcnMvZTJvRG9jLnhtbFBLBQYAAAAABgAGAFkB&#10;AABHBQAAAAA=&#10;">
                <v:fill on="f" focussize="0,0"/>
                <v:stroke on="f"/>
                <v:imagedata o:title=""/>
                <o:lock v:ext="edit" aspectratio="f"/>
                <v:textbox>
                  <w:txbxContent>
                    <w:p>
                      <w:pPr>
                        <w:rPr>
                          <w:rFonts w:hint="eastAsia"/>
                        </w:rPr>
                      </w:pPr>
                      <w:r>
                        <w:rPr>
                          <w:rFonts w:hint="eastAsia"/>
                        </w:rPr>
                        <w:t>站房</w:t>
                      </w:r>
                    </w:p>
                  </w:txbxContent>
                </v:textbox>
              </v:shape>
            </w:pict>
          </mc:Fallback>
        </mc:AlternateContent>
      </w:r>
      <w:r>
        <w:rPr>
          <w:rFonts w:hint="eastAsia" w:ascii="宋体" w:hAnsi="宋体"/>
          <w:b/>
          <w:color w:val="000000" w:themeColor="text1"/>
          <w:sz w:val="28"/>
          <w:szCs w:val="28"/>
          <w14:textFill>
            <w14:solidFill>
              <w14:schemeClr w14:val="tx1"/>
            </w14:solidFill>
          </w14:textFill>
        </w:rPr>
        <mc:AlternateContent>
          <mc:Choice Requires="wps">
            <w:drawing>
              <wp:anchor distT="0" distB="0" distL="114300" distR="114300" simplePos="0" relativeHeight="266771456" behindDoc="0" locked="0" layoutInCell="1" allowOverlap="1">
                <wp:simplePos x="0" y="0"/>
                <wp:positionH relativeFrom="column">
                  <wp:posOffset>3336290</wp:posOffset>
                </wp:positionH>
                <wp:positionV relativeFrom="paragraph">
                  <wp:posOffset>279400</wp:posOffset>
                </wp:positionV>
                <wp:extent cx="647700" cy="35179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647700" cy="351790"/>
                        </a:xfrm>
                        <a:prstGeom prst="rect">
                          <a:avLst/>
                        </a:prstGeom>
                        <a:noFill/>
                        <a:ln w="6350">
                          <a:noFill/>
                        </a:ln>
                        <a:effectLst/>
                      </wps:spPr>
                      <wps:txbx>
                        <w:txbxContent>
                          <w:p>
                            <w:pPr>
                              <w:rPr>
                                <w:rFonts w:hint="eastAsia" w:eastAsiaTheme="minorEastAsia"/>
                                <w:b/>
                                <w:bCs/>
                                <w:color w:val="auto"/>
                                <w:sz w:val="28"/>
                                <w:szCs w:val="28"/>
                                <w:lang w:eastAsia="zh-CN"/>
                              </w:rPr>
                            </w:pPr>
                            <w:r>
                              <w:rPr>
                                <w:rFonts w:asciiTheme="minorEastAsia" w:hAnsiTheme="minorEastAsia" w:eastAsiaTheme="minorEastAsia"/>
                                <w:b/>
                                <w:bCs/>
                                <w:color w:val="auto"/>
                                <w:szCs w:val="21"/>
                              </w:rPr>
                              <w:t>○</w:t>
                            </w:r>
                            <w:r>
                              <w:rPr>
                                <w:rFonts w:hint="eastAsia" w:asciiTheme="majorBidi" w:hAnsiTheme="majorBidi" w:eastAsiaTheme="minorEastAsia" w:cstheme="majorBidi"/>
                                <w:b/>
                                <w:bCs/>
                                <w:color w:val="auto"/>
                                <w:sz w:val="28"/>
                                <w:szCs w:val="28"/>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2.7pt;margin-top:22pt;height:27.7pt;width:51pt;z-index:266771456;mso-width-relative:page;mso-height-relative:page;" filled="f" stroked="f" coordsize="21600,21600" o:gfxdata="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O+W9kzaAAAACQEAAA8AAAAAAAAAAQAgAAAA&#10;IgAAAGRycy9kb3ducmV2LnhtbFBLAQIUABQAAAAIAIdO4kDBYRidQgIAAHUEAAAOAAAAAAAAAAEA&#10;IAAAACkBAABkcnMvZTJvRG9jLnhtbFBLBQYAAAAABgAGAFkBAADdBQAAAAA=&#10;">
                <v:fill on="f" focussize="0,0"/>
                <v:stroke on="f" weight="0.5pt"/>
                <v:imagedata o:title=""/>
                <o:lock v:ext="edit" aspectratio="f"/>
                <v:textbox>
                  <w:txbxContent>
                    <w:p>
                      <w:pPr>
                        <w:rPr>
                          <w:rFonts w:hint="eastAsia" w:eastAsiaTheme="minorEastAsia"/>
                          <w:b/>
                          <w:bCs/>
                          <w:color w:val="auto"/>
                          <w:sz w:val="28"/>
                          <w:szCs w:val="28"/>
                          <w:lang w:eastAsia="zh-CN"/>
                        </w:rPr>
                      </w:pPr>
                      <w:r>
                        <w:rPr>
                          <w:rFonts w:asciiTheme="minorEastAsia" w:hAnsiTheme="minorEastAsia" w:eastAsiaTheme="minorEastAsia"/>
                          <w:b/>
                          <w:bCs/>
                          <w:color w:val="auto"/>
                          <w:szCs w:val="21"/>
                        </w:rPr>
                        <w:t>○</w:t>
                      </w:r>
                      <w:r>
                        <w:rPr>
                          <w:rFonts w:hint="eastAsia" w:asciiTheme="majorBidi" w:hAnsiTheme="majorBidi" w:eastAsiaTheme="minorEastAsia" w:cstheme="majorBidi"/>
                          <w:b/>
                          <w:bCs/>
                          <w:color w:val="auto"/>
                          <w:sz w:val="28"/>
                          <w:szCs w:val="28"/>
                          <w:lang w:val="en-US" w:eastAsia="zh-CN"/>
                        </w:rPr>
                        <w:t>1</w:t>
                      </w:r>
                    </w:p>
                  </w:txbxContent>
                </v:textbox>
              </v:shape>
            </w:pict>
          </mc:Fallback>
        </mc:AlternateContent>
      </w:r>
      <w:r>
        <w:rPr>
          <w:rFonts w:hint="eastAsia" w:ascii="宋体" w:hAnsi="宋体"/>
          <w:b/>
          <w:color w:val="000000" w:themeColor="text1"/>
          <w:sz w:val="28"/>
          <w:szCs w:val="28"/>
          <w14:textFill>
            <w14:solidFill>
              <w14:schemeClr w14:val="tx1"/>
            </w14:solidFill>
          </w14:textFill>
        </w:rPr>
        <mc:AlternateContent>
          <mc:Choice Requires="wps">
            <w:drawing>
              <wp:anchor distT="0" distB="0" distL="114300" distR="114300" simplePos="0" relativeHeight="251809792" behindDoc="0" locked="0" layoutInCell="1" allowOverlap="1">
                <wp:simplePos x="0" y="0"/>
                <wp:positionH relativeFrom="column">
                  <wp:posOffset>3527425</wp:posOffset>
                </wp:positionH>
                <wp:positionV relativeFrom="paragraph">
                  <wp:posOffset>466725</wp:posOffset>
                </wp:positionV>
                <wp:extent cx="542925" cy="351790"/>
                <wp:effectExtent l="0" t="0" r="0" b="0"/>
                <wp:wrapNone/>
                <wp:docPr id="689" name="文本框 689"/>
                <wp:cNvGraphicFramePr/>
                <a:graphic xmlns:a="http://schemas.openxmlformats.org/drawingml/2006/main">
                  <a:graphicData uri="http://schemas.microsoft.com/office/word/2010/wordprocessingShape">
                    <wps:wsp>
                      <wps:cNvSpPr txBox="1"/>
                      <wps:spPr>
                        <a:xfrm>
                          <a:off x="0" y="0"/>
                          <a:ext cx="542925" cy="351790"/>
                        </a:xfrm>
                        <a:prstGeom prst="rect">
                          <a:avLst/>
                        </a:prstGeom>
                        <a:noFill/>
                        <a:ln w="6350">
                          <a:noFill/>
                        </a:ln>
                        <a:effectLst/>
                      </wps:spPr>
                      <wps:txbx>
                        <w:txbxContent>
                          <w:p>
                            <w:pPr>
                              <w:rPr>
                                <w:b/>
                                <w:bCs/>
                                <w:color w:val="000000" w:themeColor="text1"/>
                                <w:sz w:val="28"/>
                                <w:szCs w:val="28"/>
                                <w14:textFill>
                                  <w14:solidFill>
                                    <w14:schemeClr w14:val="tx1"/>
                                  </w14:solidFill>
                                </w14:textFill>
                              </w:rPr>
                            </w:pPr>
                            <w:r>
                              <w:rPr>
                                <w:rFonts w:hint="eastAsia" w:asciiTheme="majorBidi" w:hAnsiTheme="majorBidi" w:cstheme="majorBidi"/>
                                <w:b/>
                                <w:bCs/>
                                <w:color w:val="000000" w:themeColor="text1"/>
                                <w:sz w:val="28"/>
                                <w:szCs w:val="28"/>
                                <w14:textFill>
                                  <w14:solidFill>
                                    <w14:schemeClr w14:val="tx1"/>
                                  </w14:solidFill>
                                </w14:textFill>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75pt;margin-top:36.75pt;height:27.7pt;width:42.75pt;z-index:251809792;mso-width-relative:page;mso-height-relative:page;" filled="f" stroked="f" coordsize="21600,21600" o:gfxdata="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wiZgkdoAAAAKAQAADwAAAAAAAAABACAA&#10;AAAiAAAAZHJzL2Rvd25yZXYueG1sUEsBAhQAFAAAAAgAh07iQPT8849EAgAAdwQAAA4AAAAAAAAA&#10;AQAgAAAAKQEAAGRycy9lMm9Eb2MueG1sUEsFBgAAAAAGAAYAWQEAAN8FAAAAAA==&#10;">
                <v:fill on="f" focussize="0,0"/>
                <v:stroke on="f" weight="0.5pt"/>
                <v:imagedata o:title=""/>
                <o:lock v:ext="edit" aspectratio="f"/>
                <v:textbox>
                  <w:txbxContent>
                    <w:p>
                      <w:pPr>
                        <w:rPr>
                          <w:b/>
                          <w:bCs/>
                          <w:color w:val="000000" w:themeColor="text1"/>
                          <w:sz w:val="28"/>
                          <w:szCs w:val="28"/>
                          <w14:textFill>
                            <w14:solidFill>
                              <w14:schemeClr w14:val="tx1"/>
                            </w14:solidFill>
                          </w14:textFill>
                        </w:rPr>
                      </w:pPr>
                      <w:r>
                        <w:rPr>
                          <w:rFonts w:hint="eastAsia" w:asciiTheme="majorBidi" w:hAnsiTheme="majorBidi" w:cstheme="majorBidi"/>
                          <w:b/>
                          <w:bCs/>
                          <w:color w:val="000000" w:themeColor="text1"/>
                          <w:sz w:val="28"/>
                          <w:szCs w:val="28"/>
                          <w14:textFill>
                            <w14:solidFill>
                              <w14:schemeClr w14:val="tx1"/>
                            </w14:solidFill>
                          </w14:textFill>
                        </w:rPr>
                        <w:t>▲4</w:t>
                      </w:r>
                    </w:p>
                  </w:txbxContent>
                </v:textbox>
              </v:shape>
            </w:pict>
          </mc:Fallback>
        </mc:AlternateContent>
      </w:r>
      <w:r>
        <w:rPr>
          <w:rFonts w:hint="eastAsia" w:ascii="宋体" w:hAnsi="宋体"/>
          <w:b/>
          <w:color w:val="000000" w:themeColor="text1"/>
          <w:sz w:val="28"/>
          <w:szCs w:val="28"/>
          <w14:textFill>
            <w14:solidFill>
              <w14:schemeClr w14:val="tx1"/>
            </w14:solidFill>
          </w14:textFill>
        </w:rPr>
        <mc:AlternateContent>
          <mc:Choice Requires="wps">
            <w:drawing>
              <wp:anchor distT="0" distB="0" distL="114300" distR="114300" simplePos="0" relativeHeight="251811840" behindDoc="0" locked="0" layoutInCell="1" allowOverlap="1">
                <wp:simplePos x="0" y="0"/>
                <wp:positionH relativeFrom="column">
                  <wp:posOffset>967105</wp:posOffset>
                </wp:positionH>
                <wp:positionV relativeFrom="paragraph">
                  <wp:posOffset>3411855</wp:posOffset>
                </wp:positionV>
                <wp:extent cx="542925" cy="408940"/>
                <wp:effectExtent l="0" t="0" r="0" b="0"/>
                <wp:wrapNone/>
                <wp:docPr id="690" name="文本框 690"/>
                <wp:cNvGraphicFramePr/>
                <a:graphic xmlns:a="http://schemas.openxmlformats.org/drawingml/2006/main">
                  <a:graphicData uri="http://schemas.microsoft.com/office/word/2010/wordprocessingShape">
                    <wps:wsp>
                      <wps:cNvSpPr txBox="1"/>
                      <wps:spPr>
                        <a:xfrm>
                          <a:off x="0" y="0"/>
                          <a:ext cx="542925" cy="408940"/>
                        </a:xfrm>
                        <a:prstGeom prst="rect">
                          <a:avLst/>
                        </a:prstGeom>
                        <a:noFill/>
                        <a:ln w="6350">
                          <a:noFill/>
                        </a:ln>
                        <a:effectLst/>
                      </wps:spPr>
                      <wps:txbx>
                        <w:txbxContent>
                          <w:p>
                            <w:pPr>
                              <w:rPr>
                                <w:b/>
                                <w:bCs/>
                                <w:color w:val="000000" w:themeColor="text1"/>
                                <w:sz w:val="28"/>
                                <w:szCs w:val="28"/>
                                <w14:textFill>
                                  <w14:solidFill>
                                    <w14:schemeClr w14:val="tx1"/>
                                  </w14:solidFill>
                                </w14:textFill>
                              </w:rPr>
                            </w:pPr>
                            <w:r>
                              <w:rPr>
                                <w:rFonts w:hint="eastAsia" w:asciiTheme="majorBidi" w:hAnsiTheme="majorBidi" w:cstheme="majorBidi"/>
                                <w:b/>
                                <w:bCs/>
                                <w:color w:val="000000" w:themeColor="text1"/>
                                <w:sz w:val="28"/>
                                <w:szCs w:val="28"/>
                                <w14:textFill>
                                  <w14:solidFill>
                                    <w14:schemeClr w14:val="tx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6.15pt;margin-top:268.65pt;height:32.2pt;width:42.75pt;z-index:251811840;mso-width-relative:page;mso-height-relative:page;" filled="f" stroked="f" coordsize="21600,21600" o:gfxdata="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ZTqik2gAAAAsBAAAPAAAAAAAAAAEAIAAA&#10;ACIAAABkcnMvZG93bnJldi54bWxQSwECFAAUAAAACACHTuJAFBtU3kMCAAB3BAAADgAAAAAAAAAB&#10;ACAAAAApAQAAZHJzL2Uyb0RvYy54bWxQSwUGAAAAAAYABgBZAQAA3gUAAAAA&#10;">
                <v:fill on="f" focussize="0,0"/>
                <v:stroke on="f" weight="0.5pt"/>
                <v:imagedata o:title=""/>
                <o:lock v:ext="edit" aspectratio="f"/>
                <v:textbox>
                  <w:txbxContent>
                    <w:p>
                      <w:pPr>
                        <w:rPr>
                          <w:b/>
                          <w:bCs/>
                          <w:color w:val="000000" w:themeColor="text1"/>
                          <w:sz w:val="28"/>
                          <w:szCs w:val="28"/>
                          <w14:textFill>
                            <w14:solidFill>
                              <w14:schemeClr w14:val="tx1"/>
                            </w14:solidFill>
                          </w14:textFill>
                        </w:rPr>
                      </w:pPr>
                      <w:r>
                        <w:rPr>
                          <w:rFonts w:hint="eastAsia" w:asciiTheme="majorBidi" w:hAnsiTheme="majorBidi" w:cstheme="majorBidi"/>
                          <w:b/>
                          <w:bCs/>
                          <w:color w:val="000000" w:themeColor="text1"/>
                          <w:sz w:val="28"/>
                          <w:szCs w:val="28"/>
                          <w14:textFill>
                            <w14:solidFill>
                              <w14:schemeClr w14:val="tx1"/>
                            </w14:solidFill>
                          </w14:textFill>
                        </w:rPr>
                        <w:t>▲3</w:t>
                      </w:r>
                    </w:p>
                  </w:txbxContent>
                </v:textbox>
              </v:shape>
            </w:pict>
          </mc:Fallback>
        </mc:AlternateContent>
      </w:r>
      <w:r>
        <w:rPr>
          <w:rFonts w:hint="eastAsia" w:ascii="宋体" w:hAnsi="宋体"/>
          <w:b/>
          <w:color w:val="000000" w:themeColor="text1"/>
          <w:sz w:val="28"/>
          <w:szCs w:val="28"/>
          <w14:textFill>
            <w14:solidFill>
              <w14:schemeClr w14:val="tx1"/>
            </w14:solidFill>
          </w14:textFill>
        </w:rPr>
        <mc:AlternateContent>
          <mc:Choice Requires="wps">
            <w:drawing>
              <wp:anchor distT="0" distB="0" distL="114300" distR="114300" simplePos="0" relativeHeight="251807744" behindDoc="0" locked="0" layoutInCell="1" allowOverlap="1">
                <wp:simplePos x="0" y="0"/>
                <wp:positionH relativeFrom="column">
                  <wp:posOffset>4384675</wp:posOffset>
                </wp:positionH>
                <wp:positionV relativeFrom="paragraph">
                  <wp:posOffset>3470910</wp:posOffset>
                </wp:positionV>
                <wp:extent cx="656590" cy="371475"/>
                <wp:effectExtent l="0" t="0" r="0" b="0"/>
                <wp:wrapNone/>
                <wp:docPr id="688" name="文本框 688"/>
                <wp:cNvGraphicFramePr/>
                <a:graphic xmlns:a="http://schemas.openxmlformats.org/drawingml/2006/main">
                  <a:graphicData uri="http://schemas.microsoft.com/office/word/2010/wordprocessingShape">
                    <wps:wsp>
                      <wps:cNvSpPr txBox="1"/>
                      <wps:spPr>
                        <a:xfrm>
                          <a:off x="0" y="0"/>
                          <a:ext cx="656590" cy="371475"/>
                        </a:xfrm>
                        <a:prstGeom prst="rect">
                          <a:avLst/>
                        </a:prstGeom>
                        <a:noFill/>
                        <a:ln w="6350">
                          <a:noFill/>
                        </a:ln>
                        <a:effectLst/>
                      </wps:spPr>
                      <wps:txbx>
                        <w:txbxContent>
                          <w:p>
                            <w:pPr>
                              <w:rPr>
                                <w:b/>
                                <w:bCs/>
                                <w:color w:val="000000" w:themeColor="text1"/>
                                <w:sz w:val="28"/>
                                <w:szCs w:val="28"/>
                                <w14:textFill>
                                  <w14:solidFill>
                                    <w14:schemeClr w14:val="tx1"/>
                                  </w14:solidFill>
                                </w14:textFill>
                              </w:rPr>
                            </w:pPr>
                            <w:r>
                              <w:rPr>
                                <w:rFonts w:hint="eastAsia" w:asciiTheme="majorBidi" w:hAnsiTheme="majorBidi" w:cstheme="majorBidi"/>
                                <w:b/>
                                <w:bCs/>
                                <w:color w:val="000000" w:themeColor="text1"/>
                                <w:sz w:val="28"/>
                                <w:szCs w:val="28"/>
                                <w14:textFill>
                                  <w14:solidFill>
                                    <w14:schemeClr w14:val="tx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25pt;margin-top:273.3pt;height:29.25pt;width:51.7pt;z-index:251807744;mso-width-relative:page;mso-height-relative:page;" filled="f" stroked="f" coordsize="21600,21600" o:gfxdata="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jHEN1twAAAALAQAADwAAAAAAAAABACAA&#10;AAAiAAAAZHJzL2Rvd25yZXYueG1sUEsBAhQAFAAAAAgAh07iQG3b52xCAgAAdwQAAA4AAAAAAAAA&#10;AQAgAAAAKwEAAGRycy9lMm9Eb2MueG1sUEsFBgAAAAAGAAYAWQEAAN8FAAAAAA==&#10;">
                <v:fill on="f" focussize="0,0"/>
                <v:stroke on="f" weight="0.5pt"/>
                <v:imagedata o:title=""/>
                <o:lock v:ext="edit" aspectratio="f"/>
                <v:textbox>
                  <w:txbxContent>
                    <w:p>
                      <w:pPr>
                        <w:rPr>
                          <w:b/>
                          <w:bCs/>
                          <w:color w:val="000000" w:themeColor="text1"/>
                          <w:sz w:val="28"/>
                          <w:szCs w:val="28"/>
                          <w14:textFill>
                            <w14:solidFill>
                              <w14:schemeClr w14:val="tx1"/>
                            </w14:solidFill>
                          </w14:textFill>
                        </w:rPr>
                      </w:pPr>
                      <w:r>
                        <w:rPr>
                          <w:rFonts w:hint="eastAsia" w:asciiTheme="majorBidi" w:hAnsiTheme="majorBidi" w:cstheme="majorBidi"/>
                          <w:b/>
                          <w:bCs/>
                          <w:color w:val="000000" w:themeColor="text1"/>
                          <w:sz w:val="28"/>
                          <w:szCs w:val="28"/>
                          <w14:textFill>
                            <w14:solidFill>
                              <w14:schemeClr w14:val="tx1"/>
                            </w14:solidFill>
                          </w14:textFill>
                        </w:rPr>
                        <w:t>▲1</w:t>
                      </w:r>
                    </w:p>
                  </w:txbxContent>
                </v:textbox>
              </v:shape>
            </w:pict>
          </mc:Fallback>
        </mc:AlternateContent>
      </w:r>
      <w:r>
        <w:rPr>
          <w:rFonts w:hint="eastAsia" w:ascii="宋体" w:hAnsi="宋体"/>
          <w:b/>
          <w:color w:val="000000" w:themeColor="text1"/>
          <w:sz w:val="28"/>
          <w:szCs w:val="28"/>
          <w14:textFill>
            <w14:solidFill>
              <w14:schemeClr w14:val="tx1"/>
            </w14:solidFill>
          </w14:textFill>
        </w:rPr>
        <mc:AlternateContent>
          <mc:Choice Requires="wps">
            <w:drawing>
              <wp:anchor distT="0" distB="0" distL="114300" distR="114300" simplePos="0" relativeHeight="259214336" behindDoc="0" locked="0" layoutInCell="1" allowOverlap="1">
                <wp:simplePos x="0" y="0"/>
                <wp:positionH relativeFrom="column">
                  <wp:posOffset>1819275</wp:posOffset>
                </wp:positionH>
                <wp:positionV relativeFrom="paragraph">
                  <wp:posOffset>4873625</wp:posOffset>
                </wp:positionV>
                <wp:extent cx="647700" cy="35179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647700" cy="351790"/>
                        </a:xfrm>
                        <a:prstGeom prst="rect">
                          <a:avLst/>
                        </a:prstGeom>
                        <a:noFill/>
                        <a:ln w="6350">
                          <a:noFill/>
                        </a:ln>
                        <a:effectLst/>
                      </wps:spPr>
                      <wps:txbx>
                        <w:txbxContent>
                          <w:p>
                            <w:pPr>
                              <w:rPr>
                                <w:rFonts w:hint="eastAsia" w:eastAsiaTheme="minorEastAsia"/>
                                <w:b/>
                                <w:bCs/>
                                <w:color w:val="000000" w:themeColor="text1"/>
                                <w:sz w:val="28"/>
                                <w:szCs w:val="28"/>
                                <w:lang w:val="en-US" w:eastAsia="zh-CN"/>
                                <w14:textFill>
                                  <w14:solidFill>
                                    <w14:schemeClr w14:val="tx1"/>
                                  </w14:solidFill>
                                </w14:textFill>
                              </w:rPr>
                            </w:pPr>
                            <w:r>
                              <w:rPr>
                                <w:rFonts w:asciiTheme="minorEastAsia" w:hAnsiTheme="minorEastAsia" w:eastAsiaTheme="minorEastAsia"/>
                                <w:b/>
                                <w:bCs/>
                                <w:color w:val="000000" w:themeColor="text1"/>
                                <w:szCs w:val="21"/>
                                <w14:textFill>
                                  <w14:solidFill>
                                    <w14:schemeClr w14:val="tx1"/>
                                  </w14:solidFill>
                                </w14:textFill>
                              </w:rPr>
                              <w:t>○</w:t>
                            </w:r>
                            <w:r>
                              <w:rPr>
                                <w:rFonts w:hint="eastAsia" w:asciiTheme="majorBidi" w:hAnsiTheme="majorBidi" w:eastAsiaTheme="minorEastAsia" w:cstheme="majorBidi"/>
                                <w:b/>
                                <w:bCs/>
                                <w:color w:val="000000" w:themeColor="text1"/>
                                <w:sz w:val="28"/>
                                <w:szCs w:val="28"/>
                                <w:lang w:val="en-US" w:eastAsia="zh-CN"/>
                                <w14:textFill>
                                  <w14:solidFill>
                                    <w14:schemeClr w14:val="tx1"/>
                                  </w14:solidFill>
                                </w14:textFill>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3.25pt;margin-top:383.75pt;height:27.7pt;width:51pt;z-index:259214336;mso-width-relative:page;mso-height-relative:page;" filled="f" stroked="f" coordsize="21600,21600" o:gfxdata="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KtXrGNsAAAALAQAADwAAAAAAAAABACAAAAAi&#10;AAAAZHJzL2Rvd25yZXYueG1sUEsBAhQAFAAAAAgAh07iQOqGgOJAAgAAdQQAAA4AAAAAAAAAAQAg&#10;AAAAKgEAAGRycy9lMm9Eb2MueG1sUEsFBgAAAAAGAAYAWQEAANwFAAAAAA==&#10;">
                <v:fill on="f" focussize="0,0"/>
                <v:stroke on="f" weight="0.5pt"/>
                <v:imagedata o:title=""/>
                <o:lock v:ext="edit" aspectratio="f"/>
                <v:textbox>
                  <w:txbxContent>
                    <w:p>
                      <w:pPr>
                        <w:rPr>
                          <w:rFonts w:hint="eastAsia" w:eastAsiaTheme="minorEastAsia"/>
                          <w:b/>
                          <w:bCs/>
                          <w:color w:val="000000" w:themeColor="text1"/>
                          <w:sz w:val="28"/>
                          <w:szCs w:val="28"/>
                          <w:lang w:val="en-US" w:eastAsia="zh-CN"/>
                          <w14:textFill>
                            <w14:solidFill>
                              <w14:schemeClr w14:val="tx1"/>
                            </w14:solidFill>
                          </w14:textFill>
                        </w:rPr>
                      </w:pPr>
                      <w:r>
                        <w:rPr>
                          <w:rFonts w:asciiTheme="minorEastAsia" w:hAnsiTheme="minorEastAsia" w:eastAsiaTheme="minorEastAsia"/>
                          <w:b/>
                          <w:bCs/>
                          <w:color w:val="000000" w:themeColor="text1"/>
                          <w:szCs w:val="21"/>
                          <w14:textFill>
                            <w14:solidFill>
                              <w14:schemeClr w14:val="tx1"/>
                            </w14:solidFill>
                          </w14:textFill>
                        </w:rPr>
                        <w:t>○</w:t>
                      </w:r>
                      <w:r>
                        <w:rPr>
                          <w:rFonts w:hint="eastAsia" w:asciiTheme="majorBidi" w:hAnsiTheme="majorBidi" w:eastAsiaTheme="minorEastAsia" w:cstheme="majorBidi"/>
                          <w:b/>
                          <w:bCs/>
                          <w:color w:val="000000" w:themeColor="text1"/>
                          <w:sz w:val="28"/>
                          <w:szCs w:val="28"/>
                          <w:lang w:val="en-US" w:eastAsia="zh-CN"/>
                          <w14:textFill>
                            <w14:solidFill>
                              <w14:schemeClr w14:val="tx1"/>
                            </w14:solidFill>
                          </w14:textFill>
                        </w:rPr>
                        <w:t>4</w:t>
                      </w:r>
                    </w:p>
                  </w:txbxContent>
                </v:textbox>
              </v:shape>
            </w:pict>
          </mc:Fallback>
        </mc:AlternateContent>
      </w:r>
      <w:r>
        <w:rPr>
          <w:rFonts w:hint="eastAsia" w:ascii="宋体" w:hAnsi="宋体"/>
          <w:b/>
          <w:color w:val="000000" w:themeColor="text1"/>
          <w:sz w:val="28"/>
          <w:szCs w:val="28"/>
          <w14:textFill>
            <w14:solidFill>
              <w14:schemeClr w14:val="tx1"/>
            </w14:solidFill>
          </w14:textFill>
        </w:rPr>
        <mc:AlternateContent>
          <mc:Choice Requires="wps">
            <w:drawing>
              <wp:anchor distT="0" distB="0" distL="114300" distR="114300" simplePos="0" relativeHeight="255435776" behindDoc="0" locked="0" layoutInCell="1" allowOverlap="1">
                <wp:simplePos x="0" y="0"/>
                <wp:positionH relativeFrom="column">
                  <wp:posOffset>2932430</wp:posOffset>
                </wp:positionH>
                <wp:positionV relativeFrom="paragraph">
                  <wp:posOffset>6670040</wp:posOffset>
                </wp:positionV>
                <wp:extent cx="647700" cy="35179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647700" cy="351790"/>
                        </a:xfrm>
                        <a:prstGeom prst="rect">
                          <a:avLst/>
                        </a:prstGeom>
                        <a:noFill/>
                        <a:ln w="6350">
                          <a:noFill/>
                        </a:ln>
                        <a:effectLst/>
                      </wps:spPr>
                      <wps:txbx>
                        <w:txbxContent>
                          <w:p>
                            <w:pPr>
                              <w:rPr>
                                <w:rFonts w:hint="eastAsia" w:eastAsiaTheme="minorEastAsia"/>
                                <w:b/>
                                <w:bCs/>
                                <w:color w:val="000000" w:themeColor="text1"/>
                                <w:sz w:val="28"/>
                                <w:szCs w:val="28"/>
                                <w:lang w:eastAsia="zh-CN"/>
                                <w14:textFill>
                                  <w14:solidFill>
                                    <w14:schemeClr w14:val="tx1"/>
                                  </w14:solidFill>
                                </w14:textFill>
                              </w:rPr>
                            </w:pPr>
                            <w:r>
                              <w:rPr>
                                <w:rFonts w:asciiTheme="minorEastAsia" w:hAnsiTheme="minorEastAsia" w:eastAsiaTheme="minorEastAsia"/>
                                <w:b/>
                                <w:bCs/>
                                <w:color w:val="000000" w:themeColor="text1"/>
                                <w:szCs w:val="21"/>
                                <w14:textFill>
                                  <w14:solidFill>
                                    <w14:schemeClr w14:val="tx1"/>
                                  </w14:solidFill>
                                </w14:textFill>
                              </w:rPr>
                              <w:t>○</w:t>
                            </w:r>
                            <w:r>
                              <w:rPr>
                                <w:rFonts w:hint="eastAsia" w:asciiTheme="majorBidi" w:hAnsiTheme="majorBidi" w:eastAsiaTheme="minorEastAsia" w:cstheme="majorBidi"/>
                                <w:b/>
                                <w:bCs/>
                                <w:color w:val="000000" w:themeColor="text1"/>
                                <w:sz w:val="28"/>
                                <w:szCs w:val="28"/>
                                <w:lang w:val="en-US" w:eastAsia="zh-CN"/>
                                <w14:textFill>
                                  <w14:solidFill>
                                    <w14:schemeClr w14:val="tx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9pt;margin-top:525.2pt;height:27.7pt;width:51pt;z-index:255435776;mso-width-relative:page;mso-height-relative:page;" filled="f" stroked="f" coordsize="21600,21600" o:gfxdata="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0dDyRNsAAAANAQAADwAAAAAAAAABACAA&#10;AAAiAAAAZHJzL2Rvd25yZXYueG1sUEsBAhQAFAAAAAgAh07iQEHfP65DAgAAdQQAAA4AAAAAAAAA&#10;AQAgAAAAKgEAAGRycy9lMm9Eb2MueG1sUEsFBgAAAAAGAAYAWQEAAN8FAAAAAA==&#10;">
                <v:fill on="f" focussize="0,0"/>
                <v:stroke on="f" weight="0.5pt"/>
                <v:imagedata o:title=""/>
                <o:lock v:ext="edit" aspectratio="f"/>
                <v:textbox>
                  <w:txbxContent>
                    <w:p>
                      <w:pPr>
                        <w:rPr>
                          <w:rFonts w:hint="eastAsia" w:eastAsiaTheme="minorEastAsia"/>
                          <w:b/>
                          <w:bCs/>
                          <w:color w:val="000000" w:themeColor="text1"/>
                          <w:sz w:val="28"/>
                          <w:szCs w:val="28"/>
                          <w:lang w:eastAsia="zh-CN"/>
                          <w14:textFill>
                            <w14:solidFill>
                              <w14:schemeClr w14:val="tx1"/>
                            </w14:solidFill>
                          </w14:textFill>
                        </w:rPr>
                      </w:pPr>
                      <w:r>
                        <w:rPr>
                          <w:rFonts w:asciiTheme="minorEastAsia" w:hAnsiTheme="minorEastAsia" w:eastAsiaTheme="minorEastAsia"/>
                          <w:b/>
                          <w:bCs/>
                          <w:color w:val="000000" w:themeColor="text1"/>
                          <w:szCs w:val="21"/>
                          <w14:textFill>
                            <w14:solidFill>
                              <w14:schemeClr w14:val="tx1"/>
                            </w14:solidFill>
                          </w14:textFill>
                        </w:rPr>
                        <w:t>○</w:t>
                      </w:r>
                      <w:r>
                        <w:rPr>
                          <w:rFonts w:hint="eastAsia" w:asciiTheme="majorBidi" w:hAnsiTheme="majorBidi" w:eastAsiaTheme="minorEastAsia" w:cstheme="majorBidi"/>
                          <w:b/>
                          <w:bCs/>
                          <w:color w:val="000000" w:themeColor="text1"/>
                          <w:sz w:val="28"/>
                          <w:szCs w:val="28"/>
                          <w:lang w:val="en-US" w:eastAsia="zh-CN"/>
                          <w14:textFill>
                            <w14:solidFill>
                              <w14:schemeClr w14:val="tx1"/>
                            </w14:solidFill>
                          </w14:textFill>
                        </w:rPr>
                        <w:t>3</w:t>
                      </w:r>
                    </w:p>
                  </w:txbxContent>
                </v:textbox>
              </v:shape>
            </w:pict>
          </mc:Fallback>
        </mc:AlternateContent>
      </w:r>
      <w:r>
        <w:rPr>
          <w:rFonts w:hint="eastAsia" w:ascii="宋体" w:hAnsi="宋体"/>
          <w:b/>
          <w:color w:val="000000" w:themeColor="text1"/>
          <w:sz w:val="28"/>
          <w:szCs w:val="28"/>
          <w14:textFill>
            <w14:solidFill>
              <w14:schemeClr w14:val="tx1"/>
            </w14:solidFill>
          </w14:textFill>
        </w:rPr>
        <mc:AlternateContent>
          <mc:Choice Requires="wps">
            <w:drawing>
              <wp:anchor distT="0" distB="0" distL="114300" distR="114300" simplePos="0" relativeHeight="251813888" behindDoc="0" locked="0" layoutInCell="1" allowOverlap="1">
                <wp:simplePos x="0" y="0"/>
                <wp:positionH relativeFrom="column">
                  <wp:posOffset>3469640</wp:posOffset>
                </wp:positionH>
                <wp:positionV relativeFrom="paragraph">
                  <wp:posOffset>6518910</wp:posOffset>
                </wp:positionV>
                <wp:extent cx="647700" cy="351790"/>
                <wp:effectExtent l="0" t="0" r="0" b="0"/>
                <wp:wrapNone/>
                <wp:docPr id="691" name="文本框 691"/>
                <wp:cNvGraphicFramePr/>
                <a:graphic xmlns:a="http://schemas.openxmlformats.org/drawingml/2006/main">
                  <a:graphicData uri="http://schemas.microsoft.com/office/word/2010/wordprocessingShape">
                    <wps:wsp>
                      <wps:cNvSpPr txBox="1"/>
                      <wps:spPr>
                        <a:xfrm>
                          <a:off x="0" y="0"/>
                          <a:ext cx="647700" cy="351790"/>
                        </a:xfrm>
                        <a:prstGeom prst="rect">
                          <a:avLst/>
                        </a:prstGeom>
                        <a:noFill/>
                        <a:ln w="6350">
                          <a:noFill/>
                        </a:ln>
                        <a:effectLst/>
                      </wps:spPr>
                      <wps:txbx>
                        <w:txbxContent>
                          <w:p>
                            <w:pPr>
                              <w:rPr>
                                <w:b/>
                                <w:bCs/>
                                <w:color w:val="000000" w:themeColor="text1"/>
                                <w:sz w:val="28"/>
                                <w:szCs w:val="28"/>
                                <w14:textFill>
                                  <w14:solidFill>
                                    <w14:schemeClr w14:val="tx1"/>
                                  </w14:solidFill>
                                </w14:textFill>
                              </w:rPr>
                            </w:pPr>
                            <w:r>
                              <w:rPr>
                                <w:rFonts w:hint="eastAsia" w:asciiTheme="majorBidi" w:hAnsiTheme="majorBidi" w:cstheme="majorBidi"/>
                                <w:b/>
                                <w:bCs/>
                                <w:color w:val="000000" w:themeColor="text1"/>
                                <w:sz w:val="28"/>
                                <w:szCs w:val="28"/>
                                <w14:textFill>
                                  <w14:solidFill>
                                    <w14:schemeClr w14:val="tx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2pt;margin-top:513.3pt;height:27.7pt;width:51pt;z-index:251813888;mso-width-relative:page;mso-height-relative:page;" filled="f" stroked="f" coordsize="21600,21600" o:gfxdata="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eaYcStsAAAANAQAADwAAAAAAAAABACAA&#10;AAAiAAAAZHJzL2Rvd25yZXYueG1sUEsBAhQAFAAAAAgAh07iQDTxesxDAgAAdwQAAA4AAAAAAAAA&#10;AQAgAAAAKgEAAGRycy9lMm9Eb2MueG1sUEsFBgAAAAAGAAYAWQEAAN8FAAAAAA==&#10;">
                <v:fill on="f" focussize="0,0"/>
                <v:stroke on="f" weight="0.5pt"/>
                <v:imagedata o:title=""/>
                <o:lock v:ext="edit" aspectratio="f"/>
                <v:textbox>
                  <w:txbxContent>
                    <w:p>
                      <w:pPr>
                        <w:rPr>
                          <w:b/>
                          <w:bCs/>
                          <w:color w:val="000000" w:themeColor="text1"/>
                          <w:sz w:val="28"/>
                          <w:szCs w:val="28"/>
                          <w14:textFill>
                            <w14:solidFill>
                              <w14:schemeClr w14:val="tx1"/>
                            </w14:solidFill>
                          </w14:textFill>
                        </w:rPr>
                      </w:pPr>
                      <w:r>
                        <w:rPr>
                          <w:rFonts w:hint="eastAsia" w:asciiTheme="majorBidi" w:hAnsiTheme="majorBidi" w:cstheme="majorBidi"/>
                          <w:b/>
                          <w:bCs/>
                          <w:color w:val="000000" w:themeColor="text1"/>
                          <w:sz w:val="28"/>
                          <w:szCs w:val="28"/>
                          <w14:textFill>
                            <w14:solidFill>
                              <w14:schemeClr w14:val="tx1"/>
                            </w14:solidFill>
                          </w14:textFill>
                        </w:rPr>
                        <w:t>▲2</w:t>
                      </w:r>
                    </w:p>
                  </w:txbxContent>
                </v:textbox>
              </v:shape>
            </w:pict>
          </mc:Fallback>
        </mc:AlternateContent>
      </w:r>
      <w:r>
        <w:rPr>
          <w:rFonts w:hint="eastAsia" w:ascii="宋体" w:hAnsi="宋体"/>
          <w:b/>
          <w:color w:val="000000" w:themeColor="text1"/>
          <w:sz w:val="28"/>
          <w:szCs w:val="28"/>
          <w14:textFill>
            <w14:solidFill>
              <w14:schemeClr w14:val="tx1"/>
            </w14:solidFill>
          </w14:textFill>
        </w:rPr>
        <mc:AlternateContent>
          <mc:Choice Requires="wps">
            <w:drawing>
              <wp:anchor distT="0" distB="0" distL="114300" distR="114300" simplePos="0" relativeHeight="253546496" behindDoc="0" locked="0" layoutInCell="1" allowOverlap="1">
                <wp:simplePos x="0" y="0"/>
                <wp:positionH relativeFrom="column">
                  <wp:posOffset>3739515</wp:posOffset>
                </wp:positionH>
                <wp:positionV relativeFrom="paragraph">
                  <wp:posOffset>5631180</wp:posOffset>
                </wp:positionV>
                <wp:extent cx="647700" cy="35179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647700" cy="351790"/>
                        </a:xfrm>
                        <a:prstGeom prst="rect">
                          <a:avLst/>
                        </a:prstGeom>
                        <a:noFill/>
                        <a:ln w="6350">
                          <a:noFill/>
                        </a:ln>
                        <a:effectLst/>
                      </wps:spPr>
                      <wps:txbx>
                        <w:txbxContent>
                          <w:p>
                            <w:pPr>
                              <w:rPr>
                                <w:b/>
                                <w:bCs/>
                                <w:color w:val="000000" w:themeColor="text1"/>
                                <w:sz w:val="28"/>
                                <w:szCs w:val="28"/>
                                <w14:textFill>
                                  <w14:solidFill>
                                    <w14:schemeClr w14:val="tx1"/>
                                  </w14:solidFill>
                                </w14:textFill>
                              </w:rPr>
                            </w:pPr>
                            <w:r>
                              <w:rPr>
                                <w:rFonts w:asciiTheme="minorEastAsia" w:hAnsiTheme="minorEastAsia" w:eastAsiaTheme="minorEastAsia"/>
                                <w:b/>
                                <w:bCs/>
                                <w:color w:val="000000" w:themeColor="text1"/>
                                <w:szCs w:val="21"/>
                                <w14:textFill>
                                  <w14:solidFill>
                                    <w14:schemeClr w14:val="tx1"/>
                                  </w14:solidFill>
                                </w14:textFill>
                              </w:rPr>
                              <w:t>○</w:t>
                            </w:r>
                            <w:r>
                              <w:rPr>
                                <w:rFonts w:hint="eastAsia" w:asciiTheme="majorBidi" w:hAnsiTheme="majorBidi" w:cstheme="majorBidi"/>
                                <w:b/>
                                <w:bCs/>
                                <w:color w:val="000000" w:themeColor="text1"/>
                                <w:sz w:val="28"/>
                                <w:szCs w:val="28"/>
                                <w14:textFill>
                                  <w14:solidFill>
                                    <w14:schemeClr w14:val="tx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45pt;margin-top:443.4pt;height:27.7pt;width:51pt;z-index:253546496;mso-width-relative:page;mso-height-relative:page;" filled="f" stroked="f" coordsize="21600,21600" o:gfxdata="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SRjSC2wAAAAsBAAAPAAAAAAAAAAEAIAAA&#10;ACIAAABkcnMvZG93bnJldi54bWxQSwECFAAUAAAACACHTuJA9C9LfEICAAB1BAAADgAAAAAAAAAB&#10;ACAAAAAqAQAAZHJzL2Uyb0RvYy54bWxQSwUGAAAAAAYABgBZAQAA3gUAAAAA&#10;">
                <v:fill on="f" focussize="0,0"/>
                <v:stroke on="f" weight="0.5pt"/>
                <v:imagedata o:title=""/>
                <o:lock v:ext="edit" aspectratio="f"/>
                <v:textbox>
                  <w:txbxContent>
                    <w:p>
                      <w:pPr>
                        <w:rPr>
                          <w:b/>
                          <w:bCs/>
                          <w:color w:val="000000" w:themeColor="text1"/>
                          <w:sz w:val="28"/>
                          <w:szCs w:val="28"/>
                          <w14:textFill>
                            <w14:solidFill>
                              <w14:schemeClr w14:val="tx1"/>
                            </w14:solidFill>
                          </w14:textFill>
                        </w:rPr>
                      </w:pPr>
                      <w:r>
                        <w:rPr>
                          <w:rFonts w:asciiTheme="minorEastAsia" w:hAnsiTheme="minorEastAsia" w:eastAsiaTheme="minorEastAsia"/>
                          <w:b/>
                          <w:bCs/>
                          <w:color w:val="000000" w:themeColor="text1"/>
                          <w:szCs w:val="21"/>
                          <w14:textFill>
                            <w14:solidFill>
                              <w14:schemeClr w14:val="tx1"/>
                            </w14:solidFill>
                          </w14:textFill>
                        </w:rPr>
                        <w:t>○</w:t>
                      </w:r>
                      <w:r>
                        <w:rPr>
                          <w:rFonts w:hint="eastAsia" w:asciiTheme="majorBidi" w:hAnsiTheme="majorBidi" w:cstheme="majorBidi"/>
                          <w:b/>
                          <w:bCs/>
                          <w:color w:val="000000" w:themeColor="text1"/>
                          <w:sz w:val="28"/>
                          <w:szCs w:val="28"/>
                          <w14:textFill>
                            <w14:solidFill>
                              <w14:schemeClr w14:val="tx1"/>
                            </w14:solidFill>
                          </w14:textFill>
                        </w:rPr>
                        <w:t>2</w:t>
                      </w:r>
                    </w:p>
                  </w:txbxContent>
                </v:textbox>
              </v:shape>
            </w:pict>
          </mc:Fallback>
        </mc:AlternateContent>
      </w:r>
      <w:r>
        <w:rPr>
          <w:b/>
          <w:sz w:val="24"/>
        </w:rPr>
        <mc:AlternateContent>
          <mc:Choice Requires="wps">
            <w:drawing>
              <wp:anchor distT="0" distB="0" distL="114300" distR="114300" simplePos="0" relativeHeight="251931648" behindDoc="0" locked="0" layoutInCell="1" allowOverlap="1">
                <wp:simplePos x="0" y="0"/>
                <wp:positionH relativeFrom="column">
                  <wp:posOffset>2354580</wp:posOffset>
                </wp:positionH>
                <wp:positionV relativeFrom="paragraph">
                  <wp:posOffset>4246245</wp:posOffset>
                </wp:positionV>
                <wp:extent cx="901700" cy="32385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901700" cy="323850"/>
                        </a:xfrm>
                        <a:prstGeom prst="rect">
                          <a:avLst/>
                        </a:prstGeom>
                        <a:noFill/>
                        <a:ln>
                          <a:noFill/>
                        </a:ln>
                      </wps:spPr>
                      <wps:txbx>
                        <w:txbxContent>
                          <w:p>
                            <w:pPr>
                              <w:rPr>
                                <w:rFonts w:hint="eastAsia"/>
                              </w:rPr>
                            </w:pPr>
                            <w:r>
                              <w:rPr>
                                <w:rFonts w:hint="eastAsia"/>
                              </w:rPr>
                              <w:t>隔油沉淀池</w:t>
                            </w:r>
                          </w:p>
                        </w:txbxContent>
                      </wps:txbx>
                      <wps:bodyPr upright="1"/>
                    </wps:wsp>
                  </a:graphicData>
                </a:graphic>
              </wp:anchor>
            </w:drawing>
          </mc:Choice>
          <mc:Fallback>
            <w:pict>
              <v:shape id="_x0000_s1026" o:spid="_x0000_s1026" o:spt="202" type="#_x0000_t202" style="position:absolute;left:0pt;margin-left:185.4pt;margin-top:334.35pt;height:25.5pt;width:71pt;z-index:251931648;mso-width-relative:page;mso-height-relative:page;" filled="f" stroked="f" coordsize="21600,21600" o:gfxdata="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GdGl&#10;2QAAAAsBAAAPAAAAAAAAAAEAIAAAACIAAABkcnMvZG93bnJldi54bWxQSwECFAAUAAAACACHTuJA&#10;lrTZ/64BAABPAwAADgAAAAAAAAABACAAAAAoAQAAZHJzL2Uyb0RvYy54bWxQSwUGAAAAAAYABgBZ&#10;AQAASAUAAAAA&#10;">
                <v:fill on="f" focussize="0,0"/>
                <v:stroke on="f"/>
                <v:imagedata o:title=""/>
                <o:lock v:ext="edit" aspectratio="f"/>
                <v:textbox>
                  <w:txbxContent>
                    <w:p>
                      <w:pPr>
                        <w:rPr>
                          <w:rFonts w:hint="eastAsia"/>
                        </w:rPr>
                      </w:pPr>
                      <w:r>
                        <w:rPr>
                          <w:rFonts w:hint="eastAsia"/>
                        </w:rPr>
                        <w:t>隔油沉淀池</w:t>
                      </w:r>
                    </w:p>
                  </w:txbxContent>
                </v:textbox>
              </v:shape>
            </w:pict>
          </mc:Fallback>
        </mc:AlternateContent>
      </w:r>
      <w:r>
        <w:rPr>
          <w:b/>
          <w:sz w:val="24"/>
        </w:rPr>
        <mc:AlternateContent>
          <mc:Choice Requires="wps">
            <w:drawing>
              <wp:anchor distT="0" distB="0" distL="114300" distR="114300" simplePos="0" relativeHeight="251888640" behindDoc="0" locked="0" layoutInCell="1" allowOverlap="1">
                <wp:simplePos x="0" y="0"/>
                <wp:positionH relativeFrom="column">
                  <wp:posOffset>2679065</wp:posOffset>
                </wp:positionH>
                <wp:positionV relativeFrom="paragraph">
                  <wp:posOffset>4222750</wp:posOffset>
                </wp:positionV>
                <wp:extent cx="123190" cy="311785"/>
                <wp:effectExtent l="73025" t="17145" r="89535" b="33020"/>
                <wp:wrapNone/>
                <wp:docPr id="30" name="矩形 30"/>
                <wp:cNvGraphicFramePr/>
                <a:graphic xmlns:a="http://schemas.openxmlformats.org/drawingml/2006/main">
                  <a:graphicData uri="http://schemas.microsoft.com/office/word/2010/wordprocessingShape">
                    <wps:wsp>
                      <wps:cNvSpPr/>
                      <wps:spPr>
                        <a:xfrm rot="-1690023">
                          <a:off x="0" y="0"/>
                          <a:ext cx="123190" cy="311785"/>
                        </a:xfrm>
                        <a:prstGeom prst="rect">
                          <a:avLst/>
                        </a:prstGeom>
                        <a:solidFill>
                          <a:srgbClr val="FF7C80">
                            <a:alpha val="70000"/>
                          </a:srgbClr>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210.95pt;margin-top:332.5pt;height:24.55pt;width:9.7pt;rotation:-1845956f;z-index:251888640;mso-width-relative:page;mso-height-relative:page;" fillcolor="#FF7C80" filled="t" stroked="t" coordsize="21600,21600" o:gfxdata="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Kkcr6tsAAAALAQAADwAAAAAAAAABACAAAAAiAAAAZHJzL2Rvd25yZXYueG1sUEsBAhQAFAAAAAgA&#10;h07iQLuDHFYiAgAAWgQAAA4AAAAAAAAAAQAgAAAAKgEAAGRycy9lMm9Eb2MueG1sUEsFBgAAAAAG&#10;AAYAWQEAAL4FAAAAAA==&#10;">
                <v:fill on="t" opacity="45875f" focussize="0,0"/>
                <v:stroke color="#000000" joinstyle="miter"/>
                <v:imagedata o:title=""/>
                <o:lock v:ext="edit" aspectratio="f"/>
                <v:textbox>
                  <w:txbxContent>
                    <w:p/>
                  </w:txbxContent>
                </v:textbox>
              </v:rect>
            </w:pict>
          </mc:Fallback>
        </mc:AlternateContent>
      </w:r>
      <w:r>
        <w:rPr>
          <w:b/>
          <w:sz w:val="24"/>
        </w:rPr>
        <mc:AlternateContent>
          <mc:Choice Requires="wps">
            <w:drawing>
              <wp:anchor distT="0" distB="0" distL="114300" distR="114300" simplePos="0" relativeHeight="252005376" behindDoc="0" locked="0" layoutInCell="1" allowOverlap="1">
                <wp:simplePos x="0" y="0"/>
                <wp:positionH relativeFrom="column">
                  <wp:posOffset>3561715</wp:posOffset>
                </wp:positionH>
                <wp:positionV relativeFrom="paragraph">
                  <wp:posOffset>4163060</wp:posOffset>
                </wp:positionV>
                <wp:extent cx="615950" cy="32385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615950" cy="323850"/>
                        </a:xfrm>
                        <a:prstGeom prst="rect">
                          <a:avLst/>
                        </a:prstGeom>
                        <a:noFill/>
                        <a:ln>
                          <a:noFill/>
                        </a:ln>
                      </wps:spPr>
                      <wps:txbx>
                        <w:txbxContent>
                          <w:p>
                            <w:pPr>
                              <w:rPr>
                                <w:rFonts w:hint="eastAsia"/>
                              </w:rPr>
                            </w:pPr>
                            <w:r>
                              <w:rPr>
                                <w:rFonts w:hint="eastAsia"/>
                              </w:rPr>
                              <w:t>加油岛</w:t>
                            </w:r>
                          </w:p>
                        </w:txbxContent>
                      </wps:txbx>
                      <wps:bodyPr upright="1"/>
                    </wps:wsp>
                  </a:graphicData>
                </a:graphic>
              </wp:anchor>
            </w:drawing>
          </mc:Choice>
          <mc:Fallback>
            <w:pict>
              <v:shape id="_x0000_s1026" o:spid="_x0000_s1026" o:spt="202" type="#_x0000_t202" style="position:absolute;left:0pt;margin-left:280.45pt;margin-top:327.8pt;height:25.5pt;width:48.5pt;z-index:252005376;mso-width-relative:page;mso-height-relative:page;" filled="f" stroked="f" coordsize="21600,21600" o:gfxdata="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e8Xmj1wAA&#10;AAsBAAAPAAAAAAAAAAEAIAAAACIAAABkcnMvZG93bnJldi54bWxQSwECFAAUAAAACACHTuJAtu7k&#10;ja0BAABPAwAADgAAAAAAAAABACAAAAAmAQAAZHJzL2Uyb0RvYy54bWxQSwUGAAAAAAYABgBZAQAA&#10;RQUAAAAA&#10;">
                <v:fill on="f" focussize="0,0"/>
                <v:stroke on="f"/>
                <v:imagedata o:title=""/>
                <o:lock v:ext="edit" aspectratio="f"/>
                <v:textbox>
                  <w:txbxContent>
                    <w:p>
                      <w:pPr>
                        <w:rPr>
                          <w:rFonts w:hint="eastAsia"/>
                        </w:rPr>
                      </w:pPr>
                      <w:r>
                        <w:rPr>
                          <w:rFonts w:hint="eastAsia"/>
                        </w:rPr>
                        <w:t>加油岛</w:t>
                      </w:r>
                    </w:p>
                  </w:txbxContent>
                </v:textbox>
              </v:shape>
            </w:pict>
          </mc:Fallback>
        </mc:AlternateContent>
      </w:r>
      <w:r>
        <w:rPr>
          <w:b/>
          <w:sz w:val="24"/>
        </w:rPr>
        <mc:AlternateContent>
          <mc:Choice Requires="wps">
            <w:drawing>
              <wp:anchor distT="0" distB="0" distL="114300" distR="114300" simplePos="0" relativeHeight="251964416" behindDoc="0" locked="0" layoutInCell="1" allowOverlap="1">
                <wp:simplePos x="0" y="0"/>
                <wp:positionH relativeFrom="column">
                  <wp:posOffset>3646805</wp:posOffset>
                </wp:positionH>
                <wp:positionV relativeFrom="paragraph">
                  <wp:posOffset>4073525</wp:posOffset>
                </wp:positionV>
                <wp:extent cx="323850" cy="435610"/>
                <wp:effectExtent l="90170" t="57150" r="100330" b="59690"/>
                <wp:wrapNone/>
                <wp:docPr id="32" name="矩形 32"/>
                <wp:cNvGraphicFramePr/>
                <a:graphic xmlns:a="http://schemas.openxmlformats.org/drawingml/2006/main">
                  <a:graphicData uri="http://schemas.microsoft.com/office/word/2010/wordprocessingShape">
                    <wps:wsp>
                      <wps:cNvSpPr/>
                      <wps:spPr>
                        <a:xfrm rot="-1690023">
                          <a:off x="0" y="0"/>
                          <a:ext cx="323850" cy="435610"/>
                        </a:xfrm>
                        <a:prstGeom prst="rect">
                          <a:avLst/>
                        </a:prstGeom>
                        <a:solidFill>
                          <a:srgbClr val="FFFF00">
                            <a:alpha val="50000"/>
                          </a:srgbClr>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287.15pt;margin-top:320.75pt;height:34.3pt;width:25.5pt;rotation:-1845956f;z-index:251964416;mso-width-relative:page;mso-height-relative:page;" fillcolor="#FFFF00" filled="t" stroked="t" coordsize="21600,21600" o:gfxdata="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X7p6H1QAAAAsB&#10;AAAPAAAAAAAAAAEAIAAAACIAAABkcnMvZG93bnJldi54bWxQSwECFAAUAAAACACHTuJAsFfNkh4C&#10;AABaBAAADgAAAAAAAAABACAAAAAkAQAAZHJzL2Uyb0RvYy54bWxQSwUGAAAAAAYABgBZAQAAtAUA&#10;AAAA&#10;">
                <v:fill on="t" opacity="32768f" focussize="0,0"/>
                <v:stroke color="#000000" joinstyle="miter"/>
                <v:imagedata o:title=""/>
                <o:lock v:ext="edit" aspectratio="f"/>
                <v:textbox>
                  <w:txbxContent>
                    <w:p/>
                  </w:txbxContent>
                </v:textbox>
              </v:rect>
            </w:pict>
          </mc:Fallback>
        </mc:AlternateContent>
      </w:r>
      <w:r>
        <w:rPr>
          <w:b/>
          <w:sz w:val="24"/>
        </w:rPr>
        <mc:AlternateContent>
          <mc:Choice Requires="wps">
            <w:drawing>
              <wp:anchor distT="0" distB="0" distL="114300" distR="114300" simplePos="0" relativeHeight="253008896" behindDoc="0" locked="0" layoutInCell="1" allowOverlap="1">
                <wp:simplePos x="0" y="0"/>
                <wp:positionH relativeFrom="column">
                  <wp:posOffset>3066415</wp:posOffset>
                </wp:positionH>
                <wp:positionV relativeFrom="paragraph">
                  <wp:posOffset>3372485</wp:posOffset>
                </wp:positionV>
                <wp:extent cx="979170" cy="32385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979170" cy="323850"/>
                        </a:xfrm>
                        <a:prstGeom prst="rect">
                          <a:avLst/>
                        </a:prstGeom>
                        <a:noFill/>
                        <a:ln>
                          <a:noFill/>
                        </a:ln>
                      </wps:spPr>
                      <wps:txbx>
                        <w:txbxContent>
                          <w:p>
                            <w:pPr>
                              <w:rPr>
                                <w:rFonts w:hint="eastAsia"/>
                              </w:rPr>
                            </w:pPr>
                            <w:r>
                              <w:rPr>
                                <w:rFonts w:hint="eastAsia"/>
                              </w:rPr>
                              <w:t>加油岛</w:t>
                            </w:r>
                          </w:p>
                        </w:txbxContent>
                      </wps:txbx>
                      <wps:bodyPr upright="1"/>
                    </wps:wsp>
                  </a:graphicData>
                </a:graphic>
              </wp:anchor>
            </w:drawing>
          </mc:Choice>
          <mc:Fallback>
            <w:pict>
              <v:shape id="_x0000_s1026" o:spid="_x0000_s1026" o:spt="202" type="#_x0000_t202" style="position:absolute;left:0pt;margin-left:241.45pt;margin-top:265.55pt;height:25.5pt;width:77.1pt;z-index:253008896;mso-width-relative:page;mso-height-relative:page;" filled="f" stroked="f" coordsize="21600,21600" o:gfxdata="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522z3&#10;2AAAAAsBAAAPAAAAAAAAAAEAIAAAACIAAABkcnMvZG93bnJldi54bWxQSwECFAAUAAAACACHTuJA&#10;vG5Ewq8BAABPAwAADgAAAAAAAAABACAAAAAnAQAAZHJzL2Uyb0RvYy54bWxQSwUGAAAAAAYABgBZ&#10;AQAASAUAAAAA&#10;">
                <v:fill on="f" focussize="0,0"/>
                <v:stroke on="f"/>
                <v:imagedata o:title=""/>
                <o:lock v:ext="edit" aspectratio="f"/>
                <v:textbox>
                  <w:txbxContent>
                    <w:p>
                      <w:pPr>
                        <w:rPr>
                          <w:rFonts w:hint="eastAsia"/>
                        </w:rPr>
                      </w:pPr>
                      <w:r>
                        <w:rPr>
                          <w:rFonts w:hint="eastAsia"/>
                        </w:rPr>
                        <w:t>加油岛</w:t>
                      </w:r>
                    </w:p>
                  </w:txbxContent>
                </v:textbox>
              </v:shape>
            </w:pict>
          </mc:Fallback>
        </mc:AlternateContent>
      </w:r>
      <w:r>
        <w:rPr>
          <w:b/>
          <w:sz w:val="24"/>
        </w:rPr>
        <mc:AlternateContent>
          <mc:Choice Requires="wps">
            <w:drawing>
              <wp:anchor distT="0" distB="0" distL="114300" distR="114300" simplePos="0" relativeHeight="252660736" behindDoc="0" locked="0" layoutInCell="1" allowOverlap="1">
                <wp:simplePos x="0" y="0"/>
                <wp:positionH relativeFrom="column">
                  <wp:posOffset>3201670</wp:posOffset>
                </wp:positionH>
                <wp:positionV relativeFrom="paragraph">
                  <wp:posOffset>3288665</wp:posOffset>
                </wp:positionV>
                <wp:extent cx="323850" cy="435610"/>
                <wp:effectExtent l="90170" t="57150" r="100330" b="59690"/>
                <wp:wrapNone/>
                <wp:docPr id="36" name="矩形 36"/>
                <wp:cNvGraphicFramePr/>
                <a:graphic xmlns:a="http://schemas.openxmlformats.org/drawingml/2006/main">
                  <a:graphicData uri="http://schemas.microsoft.com/office/word/2010/wordprocessingShape">
                    <wps:wsp>
                      <wps:cNvSpPr/>
                      <wps:spPr>
                        <a:xfrm rot="-1690023">
                          <a:off x="0" y="0"/>
                          <a:ext cx="323850" cy="435610"/>
                        </a:xfrm>
                        <a:prstGeom prst="rect">
                          <a:avLst/>
                        </a:prstGeom>
                        <a:solidFill>
                          <a:srgbClr val="FFFF00">
                            <a:alpha val="50000"/>
                          </a:srgbClr>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252.1pt;margin-top:258.95pt;height:34.3pt;width:25.5pt;rotation:-1845956f;z-index:252660736;mso-width-relative:page;mso-height-relative:page;" fillcolor="#FFFF00" filled="t" stroked="t" coordsize="21600,21600" o:gfxdata="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Ili7rWAAAA&#10;CwEAAA8AAAAAAAAAAQAgAAAAIgAAAGRycy9kb3ducmV2LnhtbFBLAQIUABQAAAAIAIdO4kDmRgh5&#10;HwIAAFoEAAAOAAAAAAAAAAEAIAAAACUBAABkcnMvZTJvRG9jLnhtbFBLBQYAAAAABgAGAFkBAAC2&#10;BQAAAAA=&#10;">
                <v:fill on="t" opacity="32768f" focussize="0,0"/>
                <v:stroke color="#000000" joinstyle="miter"/>
                <v:imagedata o:title=""/>
                <o:lock v:ext="edit" aspectratio="f"/>
                <v:textbox>
                  <w:txbxContent>
                    <w:p/>
                  </w:txbxContent>
                </v:textbox>
              </v:rect>
            </w:pict>
          </mc:Fallback>
        </mc:AlternateContent>
      </w:r>
      <w:r>
        <w:rPr>
          <w:b/>
          <w:sz w:val="24"/>
        </w:rPr>
        <mc:AlternateContent>
          <mc:Choice Requires="wps">
            <w:drawing>
              <wp:anchor distT="0" distB="0" distL="114300" distR="114300" simplePos="0" relativeHeight="253361152" behindDoc="0" locked="0" layoutInCell="1" allowOverlap="1">
                <wp:simplePos x="0" y="0"/>
                <wp:positionH relativeFrom="column">
                  <wp:posOffset>2843530</wp:posOffset>
                </wp:positionH>
                <wp:positionV relativeFrom="paragraph">
                  <wp:posOffset>2675890</wp:posOffset>
                </wp:positionV>
                <wp:extent cx="624205" cy="32385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624205" cy="323850"/>
                        </a:xfrm>
                        <a:prstGeom prst="rect">
                          <a:avLst/>
                        </a:prstGeom>
                        <a:noFill/>
                        <a:ln>
                          <a:noFill/>
                        </a:ln>
                      </wps:spPr>
                      <wps:txbx>
                        <w:txbxContent>
                          <w:p>
                            <w:pPr>
                              <w:rPr>
                                <w:rFonts w:hint="eastAsia"/>
                              </w:rPr>
                            </w:pPr>
                            <w:r>
                              <w:rPr>
                                <w:rFonts w:hint="eastAsia"/>
                              </w:rPr>
                              <w:t>油罐区</w:t>
                            </w:r>
                          </w:p>
                        </w:txbxContent>
                      </wps:txbx>
                      <wps:bodyPr upright="1"/>
                    </wps:wsp>
                  </a:graphicData>
                </a:graphic>
              </wp:anchor>
            </w:drawing>
          </mc:Choice>
          <mc:Fallback>
            <w:pict>
              <v:shape id="_x0000_s1026" o:spid="_x0000_s1026" o:spt="202" type="#_x0000_t202" style="position:absolute;left:0pt;margin-left:223.9pt;margin-top:210.7pt;height:25.5pt;width:49.15pt;z-index:253361152;mso-width-relative:page;mso-height-relative:page;" filled="f" stroked="f" coordsize="21600,21600" o:gfxdata="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RKTw&#10;2AAAAAsBAAAPAAAAAAAAAAEAIAAAACIAAABkcnMvZG93bnJldi54bWxQSwECFAAUAAAACACHTuJA&#10;XTEDka8BAABPAwAADgAAAAAAAAABACAAAAAnAQAAZHJzL2Uyb0RvYy54bWxQSwUGAAAAAAYABgBZ&#10;AQAASAUAAAAA&#10;">
                <v:fill on="f" focussize="0,0"/>
                <v:stroke on="f"/>
                <v:imagedata o:title=""/>
                <o:lock v:ext="edit" aspectratio="f"/>
                <v:textbox>
                  <w:txbxContent>
                    <w:p>
                      <w:pPr>
                        <w:rPr>
                          <w:rFonts w:hint="eastAsia"/>
                        </w:rPr>
                      </w:pPr>
                      <w:r>
                        <w:rPr>
                          <w:rFonts w:hint="eastAsia"/>
                        </w:rPr>
                        <w:t>油罐区</w:t>
                      </w:r>
                    </w:p>
                  </w:txbxContent>
                </v:textbox>
              </v:shape>
            </w:pict>
          </mc:Fallback>
        </mc:AlternateContent>
      </w:r>
      <w:r>
        <w:rPr>
          <w:b/>
          <w:sz w:val="24"/>
        </w:rPr>
        <mc:AlternateContent>
          <mc:Choice Requires="wps">
            <w:drawing>
              <wp:anchor distT="0" distB="0" distL="114300" distR="114300" simplePos="0" relativeHeight="253322240" behindDoc="0" locked="0" layoutInCell="1" allowOverlap="1">
                <wp:simplePos x="0" y="0"/>
                <wp:positionH relativeFrom="column">
                  <wp:posOffset>2708910</wp:posOffset>
                </wp:positionH>
                <wp:positionV relativeFrom="paragraph">
                  <wp:posOffset>2582545</wp:posOffset>
                </wp:positionV>
                <wp:extent cx="923925" cy="435610"/>
                <wp:effectExtent l="54610" t="198755" r="69215" b="203835"/>
                <wp:wrapNone/>
                <wp:docPr id="45" name="矩形 45"/>
                <wp:cNvGraphicFramePr/>
                <a:graphic xmlns:a="http://schemas.openxmlformats.org/drawingml/2006/main">
                  <a:graphicData uri="http://schemas.microsoft.com/office/word/2010/wordprocessingShape">
                    <wps:wsp>
                      <wps:cNvSpPr/>
                      <wps:spPr>
                        <a:xfrm rot="-1690023">
                          <a:off x="0" y="0"/>
                          <a:ext cx="923925" cy="435610"/>
                        </a:xfrm>
                        <a:prstGeom prst="rect">
                          <a:avLst/>
                        </a:prstGeom>
                        <a:solidFill>
                          <a:srgbClr val="FF7C80">
                            <a:alpha val="70000"/>
                          </a:srgbClr>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213.3pt;margin-top:203.35pt;height:34.3pt;width:72.75pt;rotation:-1845956f;z-index:253322240;mso-width-relative:page;mso-height-relative:page;" fillcolor="#FF7C80" filled="t" stroked="t" coordsize="21600,21600" o:gfxdata="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c2EBx&#10;2gAAAAsBAAAPAAAAAAAAAAEAIAAAACIAAABkcnMvZG93bnJldi54bWxQSwECFAAUAAAACACHTuJA&#10;rZlIsx8CAABaBAAADgAAAAAAAAABACAAAAApAQAAZHJzL2Uyb0RvYy54bWxQSwUGAAAAAAYABgBZ&#10;AQAAugUAAAAA&#10;">
                <v:fill on="t" opacity="45875f" focussize="0,0"/>
                <v:stroke color="#000000" joinstyle="miter"/>
                <v:imagedata o:title=""/>
                <o:lock v:ext="edit" aspectratio="f"/>
                <v:textbox>
                  <w:txbxContent>
                    <w:p/>
                  </w:txbxContent>
                </v:textbox>
              </v:rect>
            </w:pict>
          </mc:Fallback>
        </mc:AlternateContent>
      </w:r>
      <w:r>
        <w:rPr>
          <w:b/>
          <w:sz w:val="24"/>
        </w:rPr>
        <mc:AlternateContent>
          <mc:Choice Requires="wps">
            <w:drawing>
              <wp:anchor distT="0" distB="0" distL="114300" distR="114300" simplePos="0" relativeHeight="253247488" behindDoc="0" locked="0" layoutInCell="1" allowOverlap="1">
                <wp:simplePos x="0" y="0"/>
                <wp:positionH relativeFrom="column">
                  <wp:posOffset>2428875</wp:posOffset>
                </wp:positionH>
                <wp:positionV relativeFrom="paragraph">
                  <wp:posOffset>1334135</wp:posOffset>
                </wp:positionV>
                <wp:extent cx="297815" cy="112395"/>
                <wp:effectExtent l="15240" t="69850" r="29845" b="84455"/>
                <wp:wrapNone/>
                <wp:docPr id="43" name="矩形 43"/>
                <wp:cNvGraphicFramePr/>
                <a:graphic xmlns:a="http://schemas.openxmlformats.org/drawingml/2006/main">
                  <a:graphicData uri="http://schemas.microsoft.com/office/word/2010/wordprocessingShape">
                    <wps:wsp>
                      <wps:cNvSpPr/>
                      <wps:spPr>
                        <a:xfrm rot="-1690023">
                          <a:off x="0" y="0"/>
                          <a:ext cx="297815" cy="112395"/>
                        </a:xfrm>
                        <a:prstGeom prst="rect">
                          <a:avLst/>
                        </a:prstGeom>
                        <a:solidFill>
                          <a:srgbClr val="FFFF00">
                            <a:alpha val="70000"/>
                          </a:srgbClr>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191.25pt;margin-top:105.05pt;height:8.85pt;width:23.45pt;rotation:-1845956f;z-index:253247488;mso-width-relative:page;mso-height-relative:page;" fillcolor="#FFFF00" filled="t" stroked="t" coordsize="21600,21600" o:gfxdata="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2VUo&#10;SNoAAAALAQAADwAAAAAAAAABACAAAAAiAAAAZHJzL2Rvd25yZXYueG1sUEsBAhQAFAAAAAgAh07i&#10;QOWF4M8gAgAAWgQAAA4AAAAAAAAAAQAgAAAAKQEAAGRycy9lMm9Eb2MueG1sUEsFBgAAAAAGAAYA&#10;WQEAALsFAAAAAA==&#10;">
                <v:fill on="t" opacity="45875f" focussize="0,0"/>
                <v:stroke color="#000000" joinstyle="miter"/>
                <v:imagedata o:title=""/>
                <o:lock v:ext="edit" aspectratio="f"/>
                <v:textbox>
                  <w:txbxContent>
                    <w:p/>
                  </w:txbxContent>
                </v:textbox>
              </v:rect>
            </w:pict>
          </mc:Fallback>
        </mc:AlternateContent>
      </w:r>
      <w:r>
        <w:rPr>
          <w:b/>
          <w:sz w:val="24"/>
        </w:rPr>
        <mc:AlternateContent>
          <mc:Choice Requires="wps">
            <w:drawing>
              <wp:anchor distT="0" distB="0" distL="114300" distR="114300" simplePos="0" relativeHeight="253291520" behindDoc="0" locked="0" layoutInCell="1" allowOverlap="1">
                <wp:simplePos x="0" y="0"/>
                <wp:positionH relativeFrom="column">
                  <wp:posOffset>2240280</wp:posOffset>
                </wp:positionH>
                <wp:positionV relativeFrom="paragraph">
                  <wp:posOffset>1280795</wp:posOffset>
                </wp:positionV>
                <wp:extent cx="979170" cy="32385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979170" cy="323850"/>
                        </a:xfrm>
                        <a:prstGeom prst="rect">
                          <a:avLst/>
                        </a:prstGeom>
                        <a:noFill/>
                        <a:ln>
                          <a:noFill/>
                        </a:ln>
                      </wps:spPr>
                      <wps:txbx>
                        <w:txbxContent>
                          <w:p>
                            <w:pPr>
                              <w:rPr>
                                <w:rFonts w:hint="eastAsia"/>
                              </w:rPr>
                            </w:pPr>
                            <w:r>
                              <w:rPr>
                                <w:rFonts w:hint="eastAsia"/>
                              </w:rPr>
                              <w:t>化粪池</w:t>
                            </w:r>
                          </w:p>
                        </w:txbxContent>
                      </wps:txbx>
                      <wps:bodyPr upright="1"/>
                    </wps:wsp>
                  </a:graphicData>
                </a:graphic>
              </wp:anchor>
            </w:drawing>
          </mc:Choice>
          <mc:Fallback>
            <w:pict>
              <v:shape id="_x0000_s1026" o:spid="_x0000_s1026" o:spt="202" type="#_x0000_t202" style="position:absolute;left:0pt;margin-left:176.4pt;margin-top:100.85pt;height:25.5pt;width:77.1pt;z-index:253291520;mso-width-relative:page;mso-height-relative:page;" filled="f" stroked="f" coordsize="21600,21600" o:gfxdata="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MZ1y/TY&#10;AAAACwEAAA8AAAAAAAAAAQAgAAAAIgAAAGRycy9kb3ducmV2LnhtbFBLAQIUABQAAAAIAIdO4kDm&#10;YwjirgEAAE8DAAAOAAAAAAAAAAEAIAAAACcBAABkcnMvZTJvRG9jLnhtbFBLBQYAAAAABgAGAFkB&#10;AABHBQAAAAA=&#10;">
                <v:fill on="f" focussize="0,0"/>
                <v:stroke on="f"/>
                <v:imagedata o:title=""/>
                <o:lock v:ext="edit" aspectratio="f"/>
                <v:textbox>
                  <w:txbxContent>
                    <w:p>
                      <w:pPr>
                        <w:rPr>
                          <w:rFonts w:hint="eastAsia"/>
                        </w:rPr>
                      </w:pPr>
                      <w:r>
                        <w:rPr>
                          <w:rFonts w:hint="eastAsia"/>
                        </w:rPr>
                        <w:t>化粪池</w:t>
                      </w:r>
                    </w:p>
                  </w:txbxContent>
                </v:textbox>
              </v:shape>
            </w:pict>
          </mc:Fallback>
        </mc:AlternateContent>
      </w:r>
      <w:r>
        <w:rPr>
          <w:b/>
          <w:sz w:val="24"/>
        </w:rPr>
        <mc:AlternateContent>
          <mc:Choice Requires="wps">
            <w:drawing>
              <wp:anchor distT="0" distB="0" distL="114300" distR="114300" simplePos="0" relativeHeight="253165568" behindDoc="0" locked="0" layoutInCell="1" allowOverlap="1">
                <wp:simplePos x="0" y="0"/>
                <wp:positionH relativeFrom="column">
                  <wp:posOffset>2637155</wp:posOffset>
                </wp:positionH>
                <wp:positionV relativeFrom="paragraph">
                  <wp:posOffset>1267460</wp:posOffset>
                </wp:positionV>
                <wp:extent cx="1185545" cy="712470"/>
                <wp:effectExtent l="104140" t="243840" r="120015" b="262890"/>
                <wp:wrapNone/>
                <wp:docPr id="41" name="矩形 41"/>
                <wp:cNvGraphicFramePr/>
                <a:graphic xmlns:a="http://schemas.openxmlformats.org/drawingml/2006/main">
                  <a:graphicData uri="http://schemas.microsoft.com/office/word/2010/wordprocessingShape">
                    <wps:wsp>
                      <wps:cNvSpPr/>
                      <wps:spPr>
                        <a:xfrm rot="-1690023">
                          <a:off x="0" y="0"/>
                          <a:ext cx="1185545" cy="712470"/>
                        </a:xfrm>
                        <a:prstGeom prst="rect">
                          <a:avLst/>
                        </a:prstGeom>
                        <a:solidFill>
                          <a:srgbClr val="92D050">
                            <a:alpha val="70000"/>
                          </a:srgbClr>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rect id="_x0000_s1026" o:spid="_x0000_s1026" o:spt="1" style="position:absolute;left:0pt;margin-left:207.65pt;margin-top:99.8pt;height:56.1pt;width:93.35pt;rotation:-1845956f;z-index:253165568;mso-width-relative:page;mso-height-relative:page;" fillcolor="#92D050" filled="t" stroked="t" coordsize="21600,21600" o:gfxdata="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Bh&#10;Y5rbAAAACwEAAA8AAAAAAAAAAQAgAAAAIgAAAGRycy9kb3ducmV2LnhtbFBLAQIUABQAAAAIAIdO&#10;4kCHGgahIAIAAFsEAAAOAAAAAAAAAAEAIAAAACoBAABkcnMvZTJvRG9jLnhtbFBLBQYAAAAABgAG&#10;AFkBAAC8BQAAAAA=&#10;">
                <v:fill on="t" opacity="45875f" focussize="0,0"/>
                <v:stroke color="#000000" joinstyle="miter"/>
                <v:imagedata o:title=""/>
                <o:lock v:ext="edit" aspectratio="f"/>
                <v:textbox>
                  <w:txbxContent>
                    <w:p/>
                  </w:txbxContent>
                </v:textbox>
              </v:rect>
            </w:pict>
          </mc:Fallback>
        </mc:AlternateContent>
      </w:r>
      <w:r>
        <w:rPr>
          <w:sz w:val="28"/>
        </w:rPr>
        <mc:AlternateContent>
          <mc:Choice Requires="wps">
            <w:drawing>
              <wp:anchor distT="0" distB="0" distL="114300" distR="114300" simplePos="0" relativeHeight="281889792" behindDoc="0" locked="0" layoutInCell="1" allowOverlap="1">
                <wp:simplePos x="0" y="0"/>
                <wp:positionH relativeFrom="column">
                  <wp:posOffset>4345305</wp:posOffset>
                </wp:positionH>
                <wp:positionV relativeFrom="paragraph">
                  <wp:posOffset>333375</wp:posOffset>
                </wp:positionV>
                <wp:extent cx="342265" cy="37719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342265" cy="3771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b/>
                                <w:bCs/>
                                <w:sz w:val="28"/>
                                <w:szCs w:val="28"/>
                                <w:lang w:val="en-US" w:eastAsia="zh-CN"/>
                              </w:rPr>
                            </w:pPr>
                            <w:r>
                              <w:rPr>
                                <w:rFonts w:hint="eastAsia"/>
                                <w:b/>
                                <w:bCs/>
                                <w:sz w:val="28"/>
                                <w:szCs w:val="28"/>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2.15pt;margin-top:26.25pt;height:29.7pt;width:26.95pt;z-index:281889792;mso-width-relative:page;mso-height-relative:page;" filled="f" stroked="f" coordsize="21600,21600" o:gfxdata="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cgZtvbAAAACgEAAA8AAAAAAAAAAQAgAAAAIgAA&#10;AGRycy9kb3ducmV2LnhtbFBLAQIUABQAAAAIAIdO4kB3yji8PgIAAGcEAAAOAAAAAAAAAAEAIAAA&#10;ACoBAABkcnMvZTJvRG9jLnhtbFBLBQYAAAAABgAGAFkBAADaBQAAAAA=&#10;">
                <v:fill on="f" focussize="0,0"/>
                <v:stroke on="f" weight="0.5pt"/>
                <v:imagedata o:title=""/>
                <o:lock v:ext="edit" aspectratio="f"/>
                <v:textbox>
                  <w:txbxContent>
                    <w:p>
                      <w:pPr>
                        <w:rPr>
                          <w:rFonts w:hint="default" w:eastAsia="宋体"/>
                          <w:b/>
                          <w:bCs/>
                          <w:sz w:val="28"/>
                          <w:szCs w:val="28"/>
                          <w:lang w:val="en-US" w:eastAsia="zh-CN"/>
                        </w:rPr>
                      </w:pPr>
                      <w:r>
                        <w:rPr>
                          <w:rFonts w:hint="eastAsia"/>
                          <w:b/>
                          <w:bCs/>
                          <w:sz w:val="28"/>
                          <w:szCs w:val="28"/>
                          <w:lang w:val="en-US" w:eastAsia="zh-CN"/>
                        </w:rPr>
                        <w:t>N</w:t>
                      </w:r>
                    </w:p>
                  </w:txbxContent>
                </v:textbox>
              </v:shape>
            </w:pict>
          </mc:Fallback>
        </mc:AlternateContent>
      </w:r>
      <w:r>
        <w:rPr>
          <w:sz w:val="28"/>
        </w:rPr>
        <mc:AlternateContent>
          <mc:Choice Requires="wps">
            <w:drawing>
              <wp:anchor distT="0" distB="0" distL="114300" distR="114300" simplePos="0" relativeHeight="266774528" behindDoc="0" locked="0" layoutInCell="1" allowOverlap="1">
                <wp:simplePos x="0" y="0"/>
                <wp:positionH relativeFrom="column">
                  <wp:posOffset>4302760</wp:posOffset>
                </wp:positionH>
                <wp:positionV relativeFrom="paragraph">
                  <wp:posOffset>152400</wp:posOffset>
                </wp:positionV>
                <wp:extent cx="0" cy="675640"/>
                <wp:effectExtent l="90805" t="13970" r="99695" b="53340"/>
                <wp:wrapNone/>
                <wp:docPr id="65" name="直接箭头连接符 65"/>
                <wp:cNvGraphicFramePr/>
                <a:graphic xmlns:a="http://schemas.openxmlformats.org/drawingml/2006/main">
                  <a:graphicData uri="http://schemas.microsoft.com/office/word/2010/wordprocessingShape">
                    <wps:wsp>
                      <wps:cNvCnPr/>
                      <wps:spPr>
                        <a:xfrm flipV="1">
                          <a:off x="5022850" y="1207770"/>
                          <a:ext cx="0" cy="675640"/>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flip:y;margin-left:338.8pt;margin-top:12pt;height:53.2pt;width:0pt;z-index:266774528;mso-width-relative:page;mso-height-relative:page;" filled="f" stroked="t" coordsize="21600,21600" o:gfxdata="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FNJz0&#10;1AAAAAoBAAAPAAAAAAAAAAEAIAAAACIAAABkcnMvZG93bnJldi54bWxQSwECFAAUAAAACACHTuJA&#10;u/oQYF4CAACdBAAADgAAAAAAAAABACAAAAAjAQAAZHJzL2Uyb0RvYy54bWxQSwUGAAAAAAYABgBZ&#10;AQAA8wUAAAAA&#10;">
                <v:fill on="f" focussize="0,0"/>
                <v:stroke weight="2pt" color="#000000 [3200]" joinstyle="round" endarrow="open"/>
                <v:imagedata o:title=""/>
                <o:lock v:ext="edit" aspectratio="f"/>
                <v:shadow on="t" color="#000000" opacity="24903f" offset="0pt,1.5748031496063pt" origin="0f,32768f" matrix="65536f,0f,0f,65536f"/>
              </v:shape>
            </w:pict>
          </mc:Fallback>
        </mc:AlternateContent>
      </w:r>
      <w:r>
        <w:rPr>
          <w:sz w:val="28"/>
        </w:rPr>
        <mc:AlternateContent>
          <mc:Choice Requires="wps">
            <w:drawing>
              <wp:anchor distT="0" distB="0" distL="114300" distR="114300" simplePos="0" relativeHeight="266772480" behindDoc="0" locked="0" layoutInCell="1" allowOverlap="1">
                <wp:simplePos x="0" y="0"/>
                <wp:positionH relativeFrom="column">
                  <wp:posOffset>682625</wp:posOffset>
                </wp:positionH>
                <wp:positionV relativeFrom="paragraph">
                  <wp:posOffset>273050</wp:posOffset>
                </wp:positionV>
                <wp:extent cx="705485" cy="377190"/>
                <wp:effectExtent l="0" t="0" r="0" b="0"/>
                <wp:wrapNone/>
                <wp:docPr id="62" name="文本框 62"/>
                <wp:cNvGraphicFramePr/>
                <a:graphic xmlns:a="http://schemas.openxmlformats.org/drawingml/2006/main">
                  <a:graphicData uri="http://schemas.microsoft.com/office/word/2010/wordprocessingShape">
                    <wps:wsp>
                      <wps:cNvSpPr txBox="1"/>
                      <wps:spPr>
                        <a:xfrm>
                          <a:off x="4685030" y="1337310"/>
                          <a:ext cx="705485" cy="3771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b/>
                                <w:bCs/>
                                <w:sz w:val="28"/>
                                <w:szCs w:val="28"/>
                                <w:lang w:eastAsia="zh-CN"/>
                              </w:rPr>
                            </w:pPr>
                            <w:r>
                              <w:rPr>
                                <w:rFonts w:hint="eastAsia"/>
                                <w:b/>
                                <w:bCs/>
                                <w:sz w:val="28"/>
                                <w:szCs w:val="28"/>
                                <w:lang w:eastAsia="zh-CN"/>
                              </w:rPr>
                              <w:t>北风</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75pt;margin-top:21.5pt;height:29.7pt;width:55.55pt;z-index:266772480;mso-width-relative:page;mso-height-relative:page;" filled="f" stroked="f" coordsize="21600,21600" o:gfxdata="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zABCNkAAAAKAQAADwAAAAAAAAAB&#10;ACAAAAAiAAAAZHJzL2Rvd25yZXYueG1sUEsBAhQAFAAAAAgAh07iQOKVcCdIAgAAcwQAAA4AAAAA&#10;AAAAAQAgAAAAKAEAAGRycy9lMm9Eb2MueG1sUEsFBgAAAAAGAAYAWQEAAOIFAAAAAA==&#10;">
                <v:fill on="f" focussize="0,0"/>
                <v:stroke on="f" weight="0.5pt"/>
                <v:imagedata o:title=""/>
                <o:lock v:ext="edit" aspectratio="f"/>
                <v:textbox>
                  <w:txbxContent>
                    <w:p>
                      <w:pPr>
                        <w:rPr>
                          <w:rFonts w:hint="eastAsia" w:eastAsia="宋体"/>
                          <w:b/>
                          <w:bCs/>
                          <w:sz w:val="28"/>
                          <w:szCs w:val="28"/>
                          <w:lang w:eastAsia="zh-CN"/>
                        </w:rPr>
                      </w:pPr>
                      <w:r>
                        <w:rPr>
                          <w:rFonts w:hint="eastAsia"/>
                          <w:b/>
                          <w:bCs/>
                          <w:sz w:val="28"/>
                          <w:szCs w:val="28"/>
                          <w:lang w:eastAsia="zh-CN"/>
                        </w:rPr>
                        <w:t>北风</w:t>
                      </w:r>
                    </w:p>
                  </w:txbxContent>
                </v:textbox>
              </v:shape>
            </w:pict>
          </mc:Fallback>
        </mc:AlternateContent>
      </w:r>
      <w:r>
        <w:rPr>
          <w:sz w:val="28"/>
        </w:rPr>
        <mc:AlternateContent>
          <mc:Choice Requires="wps">
            <w:drawing>
              <wp:anchor distT="0" distB="0" distL="114300" distR="114300" simplePos="0" relativeHeight="266773504" behindDoc="0" locked="0" layoutInCell="1" allowOverlap="1">
                <wp:simplePos x="0" y="0"/>
                <wp:positionH relativeFrom="column">
                  <wp:posOffset>657225</wp:posOffset>
                </wp:positionH>
                <wp:positionV relativeFrom="paragraph">
                  <wp:posOffset>194945</wp:posOffset>
                </wp:positionV>
                <wp:extent cx="0" cy="666750"/>
                <wp:effectExtent l="90805" t="13970" r="99695" b="62230"/>
                <wp:wrapNone/>
                <wp:docPr id="63" name="直接箭头连接符 63"/>
                <wp:cNvGraphicFramePr/>
                <a:graphic xmlns:a="http://schemas.openxmlformats.org/drawingml/2006/main">
                  <a:graphicData uri="http://schemas.microsoft.com/office/word/2010/wordprocessingShape">
                    <wps:wsp>
                      <wps:cNvCnPr/>
                      <wps:spPr>
                        <a:xfrm>
                          <a:off x="1377315" y="1250315"/>
                          <a:ext cx="0" cy="666750"/>
                        </a:xfrm>
                        <a:prstGeom prst="straightConnector1">
                          <a:avLst/>
                        </a:prstGeom>
                        <a:ln>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2" type="#_x0000_t32" style="position:absolute;left:0pt;margin-left:51.75pt;margin-top:15.35pt;height:52.5pt;width:0pt;z-index:266773504;mso-width-relative:page;mso-height-relative:page;" filled="f" stroked="t" coordsize="21600,21600" o:gfxdata="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CJho7bUAAAACgEA&#10;AA8AAAAAAAAAAQAgAAAAIgAAAGRycy9kb3ducmV2LnhtbFBLAQIUABQAAAAIAIdO4kDxlX9qVwIA&#10;AJMEAAAOAAAAAAAAAAEAIAAAACMBAABkcnMvZTJvRG9jLnhtbFBLBQYAAAAABgAGAFkBAADsBQAA&#10;AAA=&#10;">
                <v:fill on="f" focussize="0,0"/>
                <v:stroke weight="2pt" color="#000000 [3200]" joinstyle="round" endarrow="open"/>
                <v:imagedata o:title=""/>
                <o:lock v:ext="edit" aspectratio="f"/>
                <v:shadow on="t" color="#000000" opacity="24903f" offset="0pt,1.5748031496063pt" origin="0f,32768f" matrix="65536f,0f,0f,65536f"/>
              </v:shape>
            </w:pict>
          </mc:Fallback>
        </mc:AlternateContent>
      </w:r>
      <w:r>
        <w:rPr>
          <w:sz w:val="24"/>
        </w:rPr>
        <w:drawing>
          <wp:inline distT="0" distB="0" distL="114300" distR="114300">
            <wp:extent cx="5197475" cy="7303770"/>
            <wp:effectExtent l="0" t="0" r="3175" b="11430"/>
            <wp:docPr id="29" name="图片 3" descr="茶博城总平图_t3-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descr="茶博城总平图_t3-模型"/>
                    <pic:cNvPicPr>
                      <a:picLocks noChangeAspect="1"/>
                    </pic:cNvPicPr>
                  </pic:nvPicPr>
                  <pic:blipFill>
                    <a:blip r:embed="rId72"/>
                    <a:srcRect l="15947" t="12183" r="39745"/>
                    <a:stretch>
                      <a:fillRect/>
                    </a:stretch>
                  </pic:blipFill>
                  <pic:spPr>
                    <a:xfrm>
                      <a:off x="0" y="0"/>
                      <a:ext cx="5197475" cy="7303770"/>
                    </a:xfrm>
                    <a:prstGeom prst="rect">
                      <a:avLst/>
                    </a:prstGeom>
                    <a:noFill/>
                    <a:ln>
                      <a:noFill/>
                    </a:ln>
                  </pic:spPr>
                </pic:pic>
              </a:graphicData>
            </a:graphic>
          </wp:inline>
        </w:drawing>
      </w:r>
    </w:p>
    <w:p>
      <w:pPr>
        <w:spacing w:line="36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p>
      <w:pPr>
        <w:pStyle w:val="2"/>
        <w:spacing w:after="0" w:line="360" w:lineRule="auto"/>
        <w:ind w:firstLine="210" w:firstLineChars="100"/>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、“▲”为厂界噪声监测点位；</w:t>
      </w:r>
    </w:p>
    <w:p>
      <w:pPr>
        <w:pStyle w:val="2"/>
        <w:spacing w:after="0" w:line="360" w:lineRule="auto"/>
        <w:ind w:firstLine="210" w:firstLineChars="100"/>
        <w:rPr>
          <w:rFonts w:asciiTheme="majorBidi" w:hAnsiTheme="majorBidi" w:cstheme="majorBidi"/>
          <w:color w:val="000000" w:themeColor="text1"/>
          <w14:textFill>
            <w14:solidFill>
              <w14:schemeClr w14:val="tx1"/>
            </w14:solidFill>
          </w14:textFill>
        </w:rPr>
      </w:pPr>
      <w:r>
        <w:rPr>
          <w:rFonts w:hint="eastAsia" w:asciiTheme="majorBidi" w:hAnsiTheme="majorBidi" w:cstheme="majorBidi"/>
          <w:color w:val="000000" w:themeColor="text1"/>
          <w:lang w:val="en-US" w:eastAsia="zh-CN"/>
          <w14:textFill>
            <w14:solidFill>
              <w14:schemeClr w14:val="tx1"/>
            </w14:solidFill>
          </w14:textFill>
        </w:rPr>
        <w:t>2</w:t>
      </w:r>
      <w:r>
        <w:rPr>
          <w:rFonts w:asciiTheme="majorBidi" w:hAnsiTheme="majorBidi" w:cstheme="majorBidi"/>
          <w:color w:val="000000" w:themeColor="text1"/>
          <w14:textFill>
            <w14:solidFill>
              <w14:schemeClr w14:val="tx1"/>
            </w14:solidFill>
          </w14:textFill>
        </w:rPr>
        <w:t>、</w:t>
      </w:r>
      <w:r>
        <w:rPr>
          <w:rFonts w:hint="eastAsia" w:asciiTheme="majorBidi" w:hAnsiTheme="majorBidi" w:cstheme="majorBidi"/>
          <w:color w:val="000000" w:themeColor="text1"/>
          <w14:textFill>
            <w14:solidFill>
              <w14:schemeClr w14:val="tx1"/>
            </w14:solidFill>
          </w14:textFill>
        </w:rPr>
        <w:t>“</w:t>
      </w:r>
      <w:r>
        <w:rPr>
          <w:rFonts w:asciiTheme="minorEastAsia" w:hAnsiTheme="minorEastAsia" w:eastAsiaTheme="minorEastAsia"/>
          <w:color w:val="000000" w:themeColor="text1"/>
          <w:szCs w:val="21"/>
          <w14:textFill>
            <w14:solidFill>
              <w14:schemeClr w14:val="tx1"/>
            </w14:solidFill>
          </w14:textFill>
        </w:rPr>
        <w:t>○</w:t>
      </w:r>
      <w:r>
        <w:rPr>
          <w:rFonts w:hint="eastAsia" w:asciiTheme="majorBidi" w:hAnsiTheme="majorBidi" w:cstheme="majorBidi"/>
          <w:color w:val="000000" w:themeColor="text1"/>
          <w14:textFill>
            <w14:solidFill>
              <w14:schemeClr w14:val="tx1"/>
            </w14:solidFill>
          </w14:textFill>
        </w:rPr>
        <w:t>”为无组织</w:t>
      </w:r>
      <w:r>
        <w:rPr>
          <w:rFonts w:asciiTheme="majorBidi" w:hAnsiTheme="majorBidi" w:cstheme="majorBidi"/>
          <w:color w:val="000000" w:themeColor="text1"/>
          <w14:textFill>
            <w14:solidFill>
              <w14:schemeClr w14:val="tx1"/>
            </w14:solidFill>
          </w14:textFill>
        </w:rPr>
        <w:t>监测点位</w:t>
      </w:r>
      <w:r>
        <w:rPr>
          <w:rFonts w:hint="eastAsia" w:asciiTheme="majorBidi" w:hAnsiTheme="majorBidi" w:cstheme="majorBidi"/>
          <w:color w:val="000000" w:themeColor="text1"/>
          <w14:textFill>
            <w14:solidFill>
              <w14:schemeClr w14:val="tx1"/>
            </w14:solidFill>
          </w14:textFill>
        </w:rPr>
        <w:t>。</w:t>
      </w:r>
    </w:p>
    <w:p>
      <w:pPr>
        <w:pStyle w:val="2"/>
        <w:spacing w:after="0" w:line="360" w:lineRule="auto"/>
        <w:ind w:left="0" w:leftChars="0"/>
        <w:rPr>
          <w:rFonts w:ascii="宋体" w:hAnsi="宋体"/>
          <w:b/>
          <w:color w:val="000000" w:themeColor="text1"/>
          <w:sz w:val="28"/>
          <w:szCs w:val="28"/>
          <w14:textFill>
            <w14:solidFill>
              <w14:schemeClr w14:val="tx1"/>
            </w14:solidFill>
          </w14:textFill>
        </w:rPr>
      </w:pPr>
    </w:p>
    <w:p>
      <w:pPr>
        <w:pStyle w:val="39"/>
        <w:framePr w:w="7702" w:wrap="around" w:vAnchor="margin" w:hAnchor="text" w:y="1"/>
        <w:rPr>
          <w:rFonts w:ascii="宋体" w:hAnsi="宋体"/>
          <w:b/>
          <w:color w:val="000000" w:themeColor="text1"/>
          <w:sz w:val="28"/>
          <w:szCs w:val="28"/>
          <w14:textFill>
            <w14:solidFill>
              <w14:schemeClr w14:val="tx1"/>
            </w14:solidFill>
          </w14:textFill>
        </w:rPr>
        <w:sectPr>
          <w:pgSz w:w="11906" w:h="16838"/>
          <w:pgMar w:top="851" w:right="1134" w:bottom="992" w:left="1134" w:header="850" w:footer="992" w:gutter="0"/>
          <w:pgBorders>
            <w:top w:val="none" w:sz="0" w:space="0"/>
            <w:left w:val="none" w:sz="0" w:space="0"/>
            <w:bottom w:val="none" w:sz="0" w:space="0"/>
            <w:right w:val="none" w:sz="0" w:space="0"/>
          </w:pgBorders>
          <w:cols w:space="720" w:num="1"/>
          <w:docGrid w:linePitch="312" w:charSpace="0"/>
        </w:sectPr>
      </w:pPr>
    </w:p>
    <w:p>
      <w:pPr>
        <w:jc w:val="left"/>
        <w:rPr>
          <w:b/>
          <w:bCs/>
          <w:sz w:val="28"/>
          <w:szCs w:val="28"/>
        </w:rPr>
      </w:pPr>
      <w:r>
        <w:rPr>
          <w:rFonts w:hint="eastAsia"/>
          <w:b/>
          <w:bCs/>
          <w:sz w:val="28"/>
          <w:szCs w:val="28"/>
        </w:rPr>
        <w:t>附图</w:t>
      </w:r>
      <w:r>
        <w:rPr>
          <w:rFonts w:hint="eastAsia"/>
          <w:b/>
          <w:bCs/>
          <w:sz w:val="28"/>
          <w:szCs w:val="28"/>
          <w:lang w:eastAsia="zh-CN"/>
        </w:rPr>
        <w:t>四：</w:t>
      </w:r>
      <w:r>
        <w:rPr>
          <w:rFonts w:hint="eastAsia"/>
          <w:b/>
          <w:bCs/>
          <w:sz w:val="28"/>
          <w:szCs w:val="28"/>
        </w:rPr>
        <w:t>项目环境保护目标分布图</w:t>
      </w:r>
    </w:p>
    <w:p>
      <w:pPr>
        <w:pStyle w:val="39"/>
        <w:rPr>
          <w:bdr w:val="single" w:color="auto" w:sz="4" w:space="0"/>
        </w:rPr>
      </w:pPr>
    </w:p>
    <w:p>
      <w:pPr>
        <w:pStyle w:val="39"/>
        <w:rPr>
          <w:rFonts w:hint="eastAsia" w:ascii="宋体" w:hAnsi="宋体"/>
          <w:b/>
          <w:color w:val="000000" w:themeColor="text1"/>
          <w:sz w:val="28"/>
          <w:szCs w:val="28"/>
          <w14:textFill>
            <w14:solidFill>
              <w14:schemeClr w14:val="tx1"/>
            </w14:solidFill>
          </w14:textFill>
        </w:rPr>
      </w:pPr>
      <w:r>
        <w:rPr>
          <w:bdr w:val="single" w:color="auto" w:sz="4" w:space="0"/>
        </w:rPr>
        <w:drawing>
          <wp:inline distT="0" distB="0" distL="114300" distR="114300">
            <wp:extent cx="9229725" cy="5527675"/>
            <wp:effectExtent l="0" t="0" r="9525" b="15875"/>
            <wp:docPr id="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
                    <pic:cNvPicPr>
                      <a:picLocks noChangeAspect="1"/>
                    </pic:cNvPicPr>
                  </pic:nvPicPr>
                  <pic:blipFill>
                    <a:blip r:embed="rId73"/>
                    <a:stretch>
                      <a:fillRect/>
                    </a:stretch>
                  </pic:blipFill>
                  <pic:spPr>
                    <a:xfrm>
                      <a:off x="0" y="0"/>
                      <a:ext cx="9229725" cy="5527675"/>
                    </a:xfrm>
                    <a:prstGeom prst="rect">
                      <a:avLst/>
                    </a:prstGeom>
                    <a:noFill/>
                    <a:ln>
                      <a:noFill/>
                    </a:ln>
                  </pic:spPr>
                </pic:pic>
              </a:graphicData>
            </a:graphic>
          </wp:inline>
        </w:drawing>
      </w:r>
    </w:p>
    <w:p>
      <w:pPr>
        <w:pStyle w:val="39"/>
        <w:rPr>
          <w:rFonts w:ascii="宋体" w:hAnsi="宋体"/>
          <w:b/>
          <w:color w:val="000000" w:themeColor="text1"/>
          <w:sz w:val="28"/>
          <w:szCs w:val="28"/>
          <w14:textFill>
            <w14:solidFill>
              <w14:schemeClr w14:val="tx1"/>
            </w14:solidFill>
          </w14:textFill>
        </w:rPr>
      </w:pPr>
      <w:r>
        <w:rPr>
          <w:rFonts w:hint="eastAsia" w:ascii="宋体" w:hAnsi="宋体"/>
          <w:b/>
          <w:color w:val="000000" w:themeColor="text1"/>
          <w:sz w:val="28"/>
          <w:szCs w:val="28"/>
          <w14:textFill>
            <w14:solidFill>
              <w14:schemeClr w14:val="tx1"/>
            </w14:solidFill>
          </w14:textFill>
        </w:rPr>
        <w:t>附图</w:t>
      </w:r>
      <w:r>
        <w:rPr>
          <w:rFonts w:hint="eastAsia" w:ascii="宋体" w:hAnsi="宋体"/>
          <w:b/>
          <w:color w:val="000000" w:themeColor="text1"/>
          <w:sz w:val="28"/>
          <w:szCs w:val="28"/>
          <w:lang w:eastAsia="zh-CN"/>
          <w14:textFill>
            <w14:solidFill>
              <w14:schemeClr w14:val="tx1"/>
            </w14:solidFill>
          </w14:textFill>
        </w:rPr>
        <w:t>五</w:t>
      </w:r>
      <w:r>
        <w:rPr>
          <w:rFonts w:hint="eastAsia" w:ascii="宋体" w:hAnsi="宋体"/>
          <w:b/>
          <w:color w:val="000000" w:themeColor="text1"/>
          <w:sz w:val="28"/>
          <w:szCs w:val="28"/>
          <w14:textFill>
            <w14:solidFill>
              <w14:schemeClr w14:val="tx1"/>
            </w14:solidFill>
          </w14:textFill>
        </w:rPr>
        <w:t>：项目所在</w:t>
      </w:r>
      <w:r>
        <w:rPr>
          <w:rFonts w:hint="eastAsia" w:ascii="宋体" w:hAnsi="宋体"/>
          <w:b/>
          <w:color w:val="000000" w:themeColor="text1"/>
          <w:sz w:val="28"/>
          <w:szCs w:val="28"/>
          <w:lang w:eastAsia="zh-CN"/>
          <w14:textFill>
            <w14:solidFill>
              <w14:schemeClr w14:val="tx1"/>
            </w14:solidFill>
          </w14:textFill>
        </w:rPr>
        <w:t>地</w:t>
      </w:r>
      <w:r>
        <w:rPr>
          <w:rFonts w:hint="eastAsia" w:ascii="宋体" w:hAnsi="宋体"/>
          <w:b/>
          <w:color w:val="000000" w:themeColor="text1"/>
          <w:sz w:val="28"/>
          <w:szCs w:val="28"/>
          <w14:textFill>
            <w14:solidFill>
              <w14:schemeClr w14:val="tx1"/>
            </w14:solidFill>
          </w14:textFill>
        </w:rPr>
        <w:t>地理位置图</w:t>
      </w:r>
    </w:p>
    <w:p>
      <w:pPr>
        <w:pStyle w:val="39"/>
        <w:rPr>
          <w:rFonts w:ascii="宋体" w:hAnsi="宋体"/>
          <w:b/>
          <w:color w:val="000000" w:themeColor="text1"/>
          <w:sz w:val="28"/>
          <w:szCs w:val="28"/>
          <w14:textFill>
            <w14:solidFill>
              <w14:schemeClr w14:val="tx1"/>
            </w14:solidFill>
          </w14:textFill>
        </w:rPr>
      </w:pPr>
      <w:r>
        <mc:AlternateContent>
          <mc:Choice Requires="wps">
            <w:drawing>
              <wp:anchor distT="0" distB="0" distL="114300" distR="114300" simplePos="0" relativeHeight="251850752" behindDoc="0" locked="0" layoutInCell="1" allowOverlap="1">
                <wp:simplePos x="0" y="0"/>
                <wp:positionH relativeFrom="column">
                  <wp:posOffset>5947410</wp:posOffset>
                </wp:positionH>
                <wp:positionV relativeFrom="paragraph">
                  <wp:posOffset>3081020</wp:posOffset>
                </wp:positionV>
                <wp:extent cx="942975" cy="314325"/>
                <wp:effectExtent l="114300" t="171450" r="28575" b="28575"/>
                <wp:wrapNone/>
                <wp:docPr id="73" name="矩形标注 73"/>
                <wp:cNvGraphicFramePr/>
                <a:graphic xmlns:a="http://schemas.openxmlformats.org/drawingml/2006/main">
                  <a:graphicData uri="http://schemas.microsoft.com/office/word/2010/wordprocessingShape">
                    <wps:wsp>
                      <wps:cNvSpPr/>
                      <wps:spPr>
                        <a:xfrm>
                          <a:off x="0" y="0"/>
                          <a:ext cx="942975" cy="314325"/>
                        </a:xfrm>
                        <a:prstGeom prst="wedgeRectCallout">
                          <a:avLst>
                            <a:gd name="adj1" fmla="val -61315"/>
                            <a:gd name="adj2" fmla="val -101900"/>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color w:val="FF0000"/>
                              </w:rPr>
                            </w:pPr>
                            <w:r>
                              <w:rPr>
                                <w:rFonts w:hint="eastAsia"/>
                                <w:color w:val="FF0000"/>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68.3pt;margin-top:242.6pt;height:24.75pt;width:74.25pt;z-index:251850752;v-text-anchor:middle;mso-width-relative:page;mso-height-relative:page;" filled="f" stroked="t" coordsize="21600,21600" o:gfxdata="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Wqd7xdsAAAAMAQAADwAAAAAAAAABACAAAAAiAAAAZHJzL2Rvd25yZXYueG1s&#10;UEsBAhQAFAAAAAgAh07iQLqVv9ugAgAAJgUAAA4AAAAAAAAAAQAgAAAAKgEAAGRycy9lMm9Eb2Mu&#10;eG1sUEsFBgAAAAAGAAYAWQEAADwGAAAAAA==&#10;" adj="-2444,-11210">
                <v:fill on="f" focussize="0,0"/>
                <v:stroke weight="2pt" color="#00B0F0 [3204]" joinstyle="round"/>
                <v:imagedata o:title=""/>
                <o:lock v:ext="edit" aspectratio="f"/>
                <v:textbox>
                  <w:txbxContent>
                    <w:p>
                      <w:pPr>
                        <w:rPr>
                          <w:color w:val="FF0000"/>
                        </w:rPr>
                      </w:pPr>
                      <w:r>
                        <w:rPr>
                          <w:rFonts w:hint="eastAsia"/>
                          <w:color w:val="FF0000"/>
                        </w:rPr>
                        <w:t>项目所在地</w:t>
                      </w:r>
                    </w:p>
                  </w:txbxContent>
                </v:textbox>
              </v:shape>
            </w:pict>
          </mc:Fallback>
        </mc:AlternateContent>
      </w:r>
      <w:r>
        <mc:AlternateContent>
          <mc:Choice Requires="wps">
            <w:drawing>
              <wp:anchor distT="0" distB="0" distL="114300" distR="114300" simplePos="0" relativeHeight="251849728" behindDoc="0" locked="0" layoutInCell="1" allowOverlap="1">
                <wp:simplePos x="0" y="0"/>
                <wp:positionH relativeFrom="column">
                  <wp:posOffset>5699760</wp:posOffset>
                </wp:positionH>
                <wp:positionV relativeFrom="paragraph">
                  <wp:posOffset>2823845</wp:posOffset>
                </wp:positionV>
                <wp:extent cx="114300" cy="114300"/>
                <wp:effectExtent l="19050" t="38100" r="38100" b="38100"/>
                <wp:wrapNone/>
                <wp:docPr id="72" name="五角星 72"/>
                <wp:cNvGraphicFramePr/>
                <a:graphic xmlns:a="http://schemas.openxmlformats.org/drawingml/2006/main">
                  <a:graphicData uri="http://schemas.microsoft.com/office/word/2010/wordprocessingShape">
                    <wps:wsp>
                      <wps:cNvSpPr/>
                      <wps:spPr>
                        <a:xfrm>
                          <a:off x="0" y="0"/>
                          <a:ext cx="114300" cy="11430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48.8pt;margin-top:222.35pt;height:9pt;width:9pt;z-index:251849728;v-text-anchor:middle;mso-width-relative:page;mso-height-relative:page;" fillcolor="#FF0000" filled="t" stroked="t" coordsize="114300,114300" o:gfxdata="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rucUHZAAAACwEAAA8AAAAAAAAAAQAgAAAAIgAAAGRycy9kb3ducmV2Lnht&#10;bFBLAQIUABQAAAAIAIdO4kAyamWYagIAAO0EAAAOAAAAAAAAAAEAIAAAACgBAABkcnMvZTJvRG9j&#10;LnhtbFBLBQYAAAAABgAGAFkBAAAEBgAAAAA=&#10;" path="m0,43658l43658,43658,57150,0,70641,43658,114299,43658,78978,70640,92470,114299,57150,87316,21829,114299,35321,70640xe">
                <v:path textboxrect="0,0,114300,114300" o:connectlocs="57150,0;0,43658;21829,114299;92470,114299;114299,43658" o:connectangles="247,164,82,82,0"/>
                <v:fill on="t" focussize="0,0"/>
                <v:stroke weight="2pt" color="#FF0000 [3204]" joinstyle="round"/>
                <v:imagedata o:title=""/>
                <o:lock v:ext="edit" aspectratio="f"/>
                <v:textbox>
                  <w:txbxContent>
                    <w:p>
                      <w:pPr>
                        <w:jc w:val="center"/>
                      </w:pPr>
                    </w:p>
                  </w:txbxContent>
                </v:textbox>
              </v:shape>
            </w:pict>
          </mc:Fallback>
        </mc:AlternateContent>
      </w:r>
    </w:p>
    <w:p>
      <w:pPr>
        <w:widowControl/>
        <w:jc w:val="left"/>
        <w:rPr>
          <w:rFonts w:ascii="宋体" w:hAnsi="宋体" w:cs="Arial"/>
          <w:b/>
          <w:color w:val="000000" w:themeColor="text1"/>
          <w:kern w:val="0"/>
          <w:sz w:val="28"/>
          <w:szCs w:val="28"/>
          <w14:textFill>
            <w14:solidFill>
              <w14:schemeClr w14:val="tx1"/>
            </w14:solidFill>
          </w14:textFill>
        </w:rPr>
      </w:pPr>
      <w:r>
        <w:rPr>
          <w:bdr w:val="single" w:color="auto" w:sz="4" w:space="0"/>
        </w:rPr>
        <w:drawing>
          <wp:inline distT="0" distB="0" distL="114300" distR="114300">
            <wp:extent cx="8689975" cy="5366385"/>
            <wp:effectExtent l="0" t="0" r="15875" b="5715"/>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74"/>
                    <a:stretch>
                      <a:fillRect/>
                    </a:stretch>
                  </pic:blipFill>
                  <pic:spPr>
                    <a:xfrm>
                      <a:off x="0" y="0"/>
                      <a:ext cx="8689975" cy="5366385"/>
                    </a:xfrm>
                    <a:prstGeom prst="rect">
                      <a:avLst/>
                    </a:prstGeom>
                    <a:noFill/>
                    <a:ln>
                      <a:noFill/>
                    </a:ln>
                  </pic:spPr>
                </pic:pic>
              </a:graphicData>
            </a:graphic>
          </wp:inline>
        </w:drawing>
      </w:r>
    </w:p>
    <w:sectPr>
      <w:pgSz w:w="16838" w:h="11906" w:orient="landscape"/>
      <w:pgMar w:top="851" w:right="1134" w:bottom="992" w:left="1134" w:header="850" w:footer="992"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Segoe UI Symbol">
    <w:panose1 w:val="020B0502040204020203"/>
    <w:charset w:val="00"/>
    <w:family w:val="swiss"/>
    <w:pitch w:val="default"/>
    <w:sig w:usb0="8000006F" w:usb1="1200FBEF" w:usb2="0064C000" w:usb3="00000002" w:csb0="00000001" w:csb1="40000000"/>
  </w:font>
  <w:font w:name="Arial">
    <w:panose1 w:val="020B0604020202020204"/>
    <w:charset w:val="00"/>
    <w:family w:val="auto"/>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77" name="文本框 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rPr>
                              <w:rFonts w:hint="eastAsia"/>
                            </w:rPr>
                            <w:fldChar w:fldCharType="begin"/>
                          </w:r>
                          <w:r>
                            <w:rPr>
                              <w:rFonts w:hint="eastAsia"/>
                            </w:rPr>
                            <w:instrText xml:space="preserve"> PAGE  \* MERGEFORMAT </w:instrText>
                          </w:r>
                          <w:r>
                            <w:rPr>
                              <w:rFonts w:hint="eastAsia"/>
                            </w:rPr>
                            <w:fldChar w:fldCharType="separate"/>
                          </w:r>
                          <w:r>
                            <w:t>29</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IiIqotAgAAVw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GIiIqotAgAAVwQAAA4AAAAAAAAAAQAgAAAAHwEAAGRycy9lMm9Eb2MueG1sUEsFBgAAAAAG&#10;AAYAWQEAAL4FAAAAAA==&#10;">
              <v:fill on="f" focussize="0,0"/>
              <v:stroke on="f" weight="0.5pt"/>
              <v:imagedata o:title=""/>
              <o:lock v:ext="edit" aspectratio="f"/>
              <v:textbox inset="0mm,0mm,0mm,0mm" style="mso-fit-shape-to-text:t;">
                <w:txbxContent>
                  <w:p>
                    <w:pPr>
                      <w:pStyle w:val="13"/>
                    </w:pPr>
                    <w:r>
                      <w:rPr>
                        <w:rFonts w:hint="eastAsia"/>
                      </w:rPr>
                      <w:fldChar w:fldCharType="begin"/>
                    </w:r>
                    <w:r>
                      <w:rPr>
                        <w:rFonts w:hint="eastAsia"/>
                      </w:rPr>
                      <w:instrText xml:space="preserve"> PAGE  \* MERGEFORMAT </w:instrText>
                    </w:r>
                    <w:r>
                      <w:rPr>
                        <w:rFonts w:hint="eastAsia"/>
                      </w:rPr>
                      <w:fldChar w:fldCharType="separate"/>
                    </w:r>
                    <w:r>
                      <w:t>29</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sz w:val="18"/>
        <w:szCs w:val="18"/>
      </w:rPr>
    </w:pPr>
    <w:r>
      <w:rPr>
        <w:rFonts w:hint="eastAsia" w:ascii="宋体" w:hAnsi="宋体"/>
        <w:sz w:val="18"/>
        <w:szCs w:val="18"/>
      </w:rPr>
      <w:t>中国石化销售股份有限公司江西抚州资溪石油分公司茶博城加油站建设项目竣工环境保护验收监测报告表</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383BF56"/>
    <w:multiLevelType w:val="singleLevel"/>
    <w:tmpl w:val="C383BF56"/>
    <w:lvl w:ilvl="0" w:tentative="0">
      <w:start w:val="7"/>
      <w:numFmt w:val="decimal"/>
      <w:suff w:val="nothing"/>
      <w:lvlText w:val="（%1）"/>
      <w:lvlJc w:val="left"/>
    </w:lvl>
  </w:abstractNum>
  <w:abstractNum w:abstractNumId="1">
    <w:nsid w:val="E81AF36B"/>
    <w:multiLevelType w:val="singleLevel"/>
    <w:tmpl w:val="E81AF36B"/>
    <w:lvl w:ilvl="0" w:tentative="0">
      <w:start w:val="1"/>
      <w:numFmt w:val="chineseCounting"/>
      <w:suff w:val="nothing"/>
      <w:lvlText w:val="（%1）"/>
      <w:lvlJc w:val="left"/>
      <w:rPr>
        <w:rFonts w:hint="eastAsia"/>
      </w:rPr>
    </w:lvl>
  </w:abstractNum>
  <w:abstractNum w:abstractNumId="2">
    <w:nsid w:val="FEE2DE38"/>
    <w:multiLevelType w:val="singleLevel"/>
    <w:tmpl w:val="FEE2DE38"/>
    <w:lvl w:ilvl="0" w:tentative="0">
      <w:start w:val="2"/>
      <w:numFmt w:val="chineseCounting"/>
      <w:suff w:val="nothing"/>
      <w:lvlText w:val="（%1）"/>
      <w:lvlJc w:val="left"/>
      <w:rPr>
        <w:rFonts w:hint="eastAsia"/>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attachedTemplate r:id="rId1"/>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C23535B"/>
    <w:rsid w:val="00007C87"/>
    <w:rsid w:val="000126EB"/>
    <w:rsid w:val="000126FF"/>
    <w:rsid w:val="00012B4A"/>
    <w:rsid w:val="00012E89"/>
    <w:rsid w:val="000146BE"/>
    <w:rsid w:val="00014F1F"/>
    <w:rsid w:val="0001564A"/>
    <w:rsid w:val="00015689"/>
    <w:rsid w:val="00016814"/>
    <w:rsid w:val="00020A11"/>
    <w:rsid w:val="000214FF"/>
    <w:rsid w:val="000236C3"/>
    <w:rsid w:val="00023814"/>
    <w:rsid w:val="00024B6F"/>
    <w:rsid w:val="00025BB8"/>
    <w:rsid w:val="0003041C"/>
    <w:rsid w:val="00030907"/>
    <w:rsid w:val="00031C0E"/>
    <w:rsid w:val="00031C27"/>
    <w:rsid w:val="00032F2B"/>
    <w:rsid w:val="00034A7A"/>
    <w:rsid w:val="00034BCA"/>
    <w:rsid w:val="00036382"/>
    <w:rsid w:val="000375C2"/>
    <w:rsid w:val="0003793D"/>
    <w:rsid w:val="0004088F"/>
    <w:rsid w:val="000415A6"/>
    <w:rsid w:val="000416E5"/>
    <w:rsid w:val="00041BD0"/>
    <w:rsid w:val="00041C6D"/>
    <w:rsid w:val="00042222"/>
    <w:rsid w:val="000434AA"/>
    <w:rsid w:val="00044055"/>
    <w:rsid w:val="00045719"/>
    <w:rsid w:val="000462C7"/>
    <w:rsid w:val="00051453"/>
    <w:rsid w:val="0005178F"/>
    <w:rsid w:val="000519B5"/>
    <w:rsid w:val="00051AC5"/>
    <w:rsid w:val="00052369"/>
    <w:rsid w:val="0005273D"/>
    <w:rsid w:val="000534B9"/>
    <w:rsid w:val="0005482D"/>
    <w:rsid w:val="00055809"/>
    <w:rsid w:val="00056A8D"/>
    <w:rsid w:val="00060D56"/>
    <w:rsid w:val="00060E81"/>
    <w:rsid w:val="000644C3"/>
    <w:rsid w:val="00066D1B"/>
    <w:rsid w:val="00066DE7"/>
    <w:rsid w:val="00067004"/>
    <w:rsid w:val="00067817"/>
    <w:rsid w:val="000679E4"/>
    <w:rsid w:val="000701E0"/>
    <w:rsid w:val="00071E33"/>
    <w:rsid w:val="00072169"/>
    <w:rsid w:val="00072633"/>
    <w:rsid w:val="0007406E"/>
    <w:rsid w:val="00074C0E"/>
    <w:rsid w:val="00075299"/>
    <w:rsid w:val="00082345"/>
    <w:rsid w:val="00082C60"/>
    <w:rsid w:val="00082CD6"/>
    <w:rsid w:val="00082FB9"/>
    <w:rsid w:val="00084244"/>
    <w:rsid w:val="0008642E"/>
    <w:rsid w:val="00086502"/>
    <w:rsid w:val="00086AB8"/>
    <w:rsid w:val="000872B9"/>
    <w:rsid w:val="00091609"/>
    <w:rsid w:val="00091D25"/>
    <w:rsid w:val="00093C7E"/>
    <w:rsid w:val="00093F41"/>
    <w:rsid w:val="000947FC"/>
    <w:rsid w:val="00094CDA"/>
    <w:rsid w:val="00094E42"/>
    <w:rsid w:val="00095B18"/>
    <w:rsid w:val="0009758A"/>
    <w:rsid w:val="00097963"/>
    <w:rsid w:val="000A01AB"/>
    <w:rsid w:val="000A023C"/>
    <w:rsid w:val="000A1A12"/>
    <w:rsid w:val="000A4C2D"/>
    <w:rsid w:val="000A5B0D"/>
    <w:rsid w:val="000A5B80"/>
    <w:rsid w:val="000A5DC8"/>
    <w:rsid w:val="000A67AB"/>
    <w:rsid w:val="000A7476"/>
    <w:rsid w:val="000A7A22"/>
    <w:rsid w:val="000B0944"/>
    <w:rsid w:val="000B0C7D"/>
    <w:rsid w:val="000B1C58"/>
    <w:rsid w:val="000B1CE3"/>
    <w:rsid w:val="000B1F75"/>
    <w:rsid w:val="000B2ADE"/>
    <w:rsid w:val="000B4301"/>
    <w:rsid w:val="000B48AD"/>
    <w:rsid w:val="000B493D"/>
    <w:rsid w:val="000B6344"/>
    <w:rsid w:val="000C1300"/>
    <w:rsid w:val="000C1E42"/>
    <w:rsid w:val="000C3A66"/>
    <w:rsid w:val="000C42E0"/>
    <w:rsid w:val="000C4535"/>
    <w:rsid w:val="000C53D6"/>
    <w:rsid w:val="000C6074"/>
    <w:rsid w:val="000C6AB2"/>
    <w:rsid w:val="000C6BD1"/>
    <w:rsid w:val="000C6E9C"/>
    <w:rsid w:val="000D26B2"/>
    <w:rsid w:val="000D3EA4"/>
    <w:rsid w:val="000D4073"/>
    <w:rsid w:val="000D469F"/>
    <w:rsid w:val="000D5B7D"/>
    <w:rsid w:val="000D66C3"/>
    <w:rsid w:val="000E0A70"/>
    <w:rsid w:val="000E0DC5"/>
    <w:rsid w:val="000E1F49"/>
    <w:rsid w:val="000E336E"/>
    <w:rsid w:val="000E356E"/>
    <w:rsid w:val="000E361D"/>
    <w:rsid w:val="000E3EDD"/>
    <w:rsid w:val="000E5A70"/>
    <w:rsid w:val="000E6103"/>
    <w:rsid w:val="000E66AE"/>
    <w:rsid w:val="000E7E50"/>
    <w:rsid w:val="000F1DBA"/>
    <w:rsid w:val="000F1F37"/>
    <w:rsid w:val="000F2DE4"/>
    <w:rsid w:val="000F3271"/>
    <w:rsid w:val="000F6110"/>
    <w:rsid w:val="000F66B1"/>
    <w:rsid w:val="000F7559"/>
    <w:rsid w:val="000F7B09"/>
    <w:rsid w:val="00100EAE"/>
    <w:rsid w:val="00101C88"/>
    <w:rsid w:val="00101D02"/>
    <w:rsid w:val="00101F78"/>
    <w:rsid w:val="00101FB3"/>
    <w:rsid w:val="0010235D"/>
    <w:rsid w:val="0010257B"/>
    <w:rsid w:val="0010350E"/>
    <w:rsid w:val="0010460C"/>
    <w:rsid w:val="001065A4"/>
    <w:rsid w:val="001067D4"/>
    <w:rsid w:val="00107281"/>
    <w:rsid w:val="00110DBA"/>
    <w:rsid w:val="001116A5"/>
    <w:rsid w:val="00112F65"/>
    <w:rsid w:val="001133E7"/>
    <w:rsid w:val="001141B6"/>
    <w:rsid w:val="00114765"/>
    <w:rsid w:val="00116F04"/>
    <w:rsid w:val="001203DC"/>
    <w:rsid w:val="00120D5F"/>
    <w:rsid w:val="00121FDC"/>
    <w:rsid w:val="001228D9"/>
    <w:rsid w:val="00125649"/>
    <w:rsid w:val="00125FB9"/>
    <w:rsid w:val="0012671A"/>
    <w:rsid w:val="0012701E"/>
    <w:rsid w:val="00130572"/>
    <w:rsid w:val="0013437B"/>
    <w:rsid w:val="00136731"/>
    <w:rsid w:val="00136EF3"/>
    <w:rsid w:val="00137F7C"/>
    <w:rsid w:val="0014016C"/>
    <w:rsid w:val="00140411"/>
    <w:rsid w:val="001412CD"/>
    <w:rsid w:val="0014287C"/>
    <w:rsid w:val="00146412"/>
    <w:rsid w:val="001476BC"/>
    <w:rsid w:val="0015045F"/>
    <w:rsid w:val="001514AB"/>
    <w:rsid w:val="00153656"/>
    <w:rsid w:val="00153A85"/>
    <w:rsid w:val="001543B8"/>
    <w:rsid w:val="00155902"/>
    <w:rsid w:val="00156C6D"/>
    <w:rsid w:val="00156D1B"/>
    <w:rsid w:val="0015719D"/>
    <w:rsid w:val="001577F2"/>
    <w:rsid w:val="001656AD"/>
    <w:rsid w:val="00167EB1"/>
    <w:rsid w:val="0017090C"/>
    <w:rsid w:val="001713B4"/>
    <w:rsid w:val="0017160C"/>
    <w:rsid w:val="00171F2E"/>
    <w:rsid w:val="0017314F"/>
    <w:rsid w:val="001746C6"/>
    <w:rsid w:val="00176290"/>
    <w:rsid w:val="00176EEE"/>
    <w:rsid w:val="00177256"/>
    <w:rsid w:val="001772AB"/>
    <w:rsid w:val="0017744E"/>
    <w:rsid w:val="0018003F"/>
    <w:rsid w:val="001805BB"/>
    <w:rsid w:val="0018231F"/>
    <w:rsid w:val="0018260B"/>
    <w:rsid w:val="00183669"/>
    <w:rsid w:val="00185AC4"/>
    <w:rsid w:val="001869C6"/>
    <w:rsid w:val="00187855"/>
    <w:rsid w:val="00187C32"/>
    <w:rsid w:val="001921C7"/>
    <w:rsid w:val="0019311A"/>
    <w:rsid w:val="00193319"/>
    <w:rsid w:val="001937AE"/>
    <w:rsid w:val="00193B36"/>
    <w:rsid w:val="001943A1"/>
    <w:rsid w:val="00196F52"/>
    <w:rsid w:val="00197229"/>
    <w:rsid w:val="001A1E9E"/>
    <w:rsid w:val="001A1F3F"/>
    <w:rsid w:val="001A32F6"/>
    <w:rsid w:val="001A446C"/>
    <w:rsid w:val="001A5354"/>
    <w:rsid w:val="001A5850"/>
    <w:rsid w:val="001A6017"/>
    <w:rsid w:val="001B01CD"/>
    <w:rsid w:val="001B08A2"/>
    <w:rsid w:val="001B08E6"/>
    <w:rsid w:val="001B113E"/>
    <w:rsid w:val="001B1D72"/>
    <w:rsid w:val="001B2E1C"/>
    <w:rsid w:val="001B31E9"/>
    <w:rsid w:val="001B330D"/>
    <w:rsid w:val="001B3604"/>
    <w:rsid w:val="001B4BDD"/>
    <w:rsid w:val="001B512A"/>
    <w:rsid w:val="001B5467"/>
    <w:rsid w:val="001B555D"/>
    <w:rsid w:val="001B558A"/>
    <w:rsid w:val="001B7FE3"/>
    <w:rsid w:val="001C0B8B"/>
    <w:rsid w:val="001C2673"/>
    <w:rsid w:val="001C3B1A"/>
    <w:rsid w:val="001C4227"/>
    <w:rsid w:val="001C43DA"/>
    <w:rsid w:val="001C4810"/>
    <w:rsid w:val="001C4906"/>
    <w:rsid w:val="001C4E51"/>
    <w:rsid w:val="001C6218"/>
    <w:rsid w:val="001C6A23"/>
    <w:rsid w:val="001D0260"/>
    <w:rsid w:val="001D0B62"/>
    <w:rsid w:val="001D11B4"/>
    <w:rsid w:val="001D2341"/>
    <w:rsid w:val="001D2E8B"/>
    <w:rsid w:val="001D3448"/>
    <w:rsid w:val="001D3B01"/>
    <w:rsid w:val="001D5065"/>
    <w:rsid w:val="001D76D4"/>
    <w:rsid w:val="001E121C"/>
    <w:rsid w:val="001E15B6"/>
    <w:rsid w:val="001E26B0"/>
    <w:rsid w:val="001E3587"/>
    <w:rsid w:val="001E372E"/>
    <w:rsid w:val="001E3DE4"/>
    <w:rsid w:val="001E3F3C"/>
    <w:rsid w:val="001E47C6"/>
    <w:rsid w:val="001E4AB3"/>
    <w:rsid w:val="001E4F2C"/>
    <w:rsid w:val="001E7699"/>
    <w:rsid w:val="001E7DC1"/>
    <w:rsid w:val="001F0E03"/>
    <w:rsid w:val="001F1C92"/>
    <w:rsid w:val="001F21C5"/>
    <w:rsid w:val="001F21EF"/>
    <w:rsid w:val="001F2FC6"/>
    <w:rsid w:val="001F45A9"/>
    <w:rsid w:val="001F48B1"/>
    <w:rsid w:val="001F4A22"/>
    <w:rsid w:val="001F4AAF"/>
    <w:rsid w:val="001F4DF7"/>
    <w:rsid w:val="001F6F64"/>
    <w:rsid w:val="00200470"/>
    <w:rsid w:val="002008BB"/>
    <w:rsid w:val="00201481"/>
    <w:rsid w:val="00201A8D"/>
    <w:rsid w:val="00202509"/>
    <w:rsid w:val="00202D7D"/>
    <w:rsid w:val="002034EA"/>
    <w:rsid w:val="00203AD6"/>
    <w:rsid w:val="00203D6C"/>
    <w:rsid w:val="00204FFC"/>
    <w:rsid w:val="002051ED"/>
    <w:rsid w:val="00207382"/>
    <w:rsid w:val="00210B76"/>
    <w:rsid w:val="0021189E"/>
    <w:rsid w:val="00213553"/>
    <w:rsid w:val="0021489B"/>
    <w:rsid w:val="002149D0"/>
    <w:rsid w:val="002154FB"/>
    <w:rsid w:val="002179CF"/>
    <w:rsid w:val="00222EFD"/>
    <w:rsid w:val="00224828"/>
    <w:rsid w:val="0022493B"/>
    <w:rsid w:val="00224B54"/>
    <w:rsid w:val="00224C6C"/>
    <w:rsid w:val="0022505D"/>
    <w:rsid w:val="002259BA"/>
    <w:rsid w:val="002259EA"/>
    <w:rsid w:val="0022792B"/>
    <w:rsid w:val="002309C9"/>
    <w:rsid w:val="00230BD4"/>
    <w:rsid w:val="00236CBC"/>
    <w:rsid w:val="0023742C"/>
    <w:rsid w:val="002376D2"/>
    <w:rsid w:val="00240B31"/>
    <w:rsid w:val="0024236E"/>
    <w:rsid w:val="002431D6"/>
    <w:rsid w:val="002431EA"/>
    <w:rsid w:val="00243A23"/>
    <w:rsid w:val="00244093"/>
    <w:rsid w:val="002444F2"/>
    <w:rsid w:val="00244E37"/>
    <w:rsid w:val="00245747"/>
    <w:rsid w:val="00247DDA"/>
    <w:rsid w:val="00250A45"/>
    <w:rsid w:val="00251650"/>
    <w:rsid w:val="002527A7"/>
    <w:rsid w:val="00252F94"/>
    <w:rsid w:val="00253530"/>
    <w:rsid w:val="00254059"/>
    <w:rsid w:val="002541D0"/>
    <w:rsid w:val="002542B5"/>
    <w:rsid w:val="002544A7"/>
    <w:rsid w:val="00254786"/>
    <w:rsid w:val="002563E5"/>
    <w:rsid w:val="00256A6B"/>
    <w:rsid w:val="00257BD0"/>
    <w:rsid w:val="00263535"/>
    <w:rsid w:val="002654A3"/>
    <w:rsid w:val="002656CE"/>
    <w:rsid w:val="00266629"/>
    <w:rsid w:val="00270093"/>
    <w:rsid w:val="00270DBF"/>
    <w:rsid w:val="00271C8D"/>
    <w:rsid w:val="00273E26"/>
    <w:rsid w:val="00277B3E"/>
    <w:rsid w:val="00277B65"/>
    <w:rsid w:val="00277DC1"/>
    <w:rsid w:val="0028051C"/>
    <w:rsid w:val="0028176A"/>
    <w:rsid w:val="00283585"/>
    <w:rsid w:val="002836E1"/>
    <w:rsid w:val="00286396"/>
    <w:rsid w:val="0029081C"/>
    <w:rsid w:val="002909BC"/>
    <w:rsid w:val="0029163B"/>
    <w:rsid w:val="0029314D"/>
    <w:rsid w:val="002939C9"/>
    <w:rsid w:val="00293EAA"/>
    <w:rsid w:val="00293FEF"/>
    <w:rsid w:val="00294910"/>
    <w:rsid w:val="00294D17"/>
    <w:rsid w:val="00294D9F"/>
    <w:rsid w:val="0029546D"/>
    <w:rsid w:val="002954D6"/>
    <w:rsid w:val="002959D5"/>
    <w:rsid w:val="002968B8"/>
    <w:rsid w:val="00297DC8"/>
    <w:rsid w:val="002A011A"/>
    <w:rsid w:val="002A0525"/>
    <w:rsid w:val="002A1BA6"/>
    <w:rsid w:val="002A4B5E"/>
    <w:rsid w:val="002A4C6E"/>
    <w:rsid w:val="002A4F62"/>
    <w:rsid w:val="002A62EE"/>
    <w:rsid w:val="002A6F62"/>
    <w:rsid w:val="002B09A1"/>
    <w:rsid w:val="002B280A"/>
    <w:rsid w:val="002B34A9"/>
    <w:rsid w:val="002B40FC"/>
    <w:rsid w:val="002B4512"/>
    <w:rsid w:val="002B5F1A"/>
    <w:rsid w:val="002B618B"/>
    <w:rsid w:val="002B6ACC"/>
    <w:rsid w:val="002B6ECF"/>
    <w:rsid w:val="002B6F82"/>
    <w:rsid w:val="002B7090"/>
    <w:rsid w:val="002B73B7"/>
    <w:rsid w:val="002B7B4E"/>
    <w:rsid w:val="002C017A"/>
    <w:rsid w:val="002C038A"/>
    <w:rsid w:val="002C1786"/>
    <w:rsid w:val="002C25D4"/>
    <w:rsid w:val="002C288F"/>
    <w:rsid w:val="002C5E35"/>
    <w:rsid w:val="002C7802"/>
    <w:rsid w:val="002C7DC5"/>
    <w:rsid w:val="002D10D0"/>
    <w:rsid w:val="002D16E2"/>
    <w:rsid w:val="002D1DDA"/>
    <w:rsid w:val="002D2480"/>
    <w:rsid w:val="002D47AB"/>
    <w:rsid w:val="002D7A28"/>
    <w:rsid w:val="002D7CBC"/>
    <w:rsid w:val="002E0FA3"/>
    <w:rsid w:val="002E2793"/>
    <w:rsid w:val="002E38C8"/>
    <w:rsid w:val="002E3A20"/>
    <w:rsid w:val="002E43F4"/>
    <w:rsid w:val="002E59A4"/>
    <w:rsid w:val="002E7957"/>
    <w:rsid w:val="002E798F"/>
    <w:rsid w:val="002F1BE2"/>
    <w:rsid w:val="002F26AD"/>
    <w:rsid w:val="002F29B7"/>
    <w:rsid w:val="002F2F05"/>
    <w:rsid w:val="002F533E"/>
    <w:rsid w:val="002F6FBF"/>
    <w:rsid w:val="002F70B7"/>
    <w:rsid w:val="00301C0D"/>
    <w:rsid w:val="00302773"/>
    <w:rsid w:val="00302A39"/>
    <w:rsid w:val="00304E0B"/>
    <w:rsid w:val="00306183"/>
    <w:rsid w:val="00306F47"/>
    <w:rsid w:val="00307BE9"/>
    <w:rsid w:val="00311574"/>
    <w:rsid w:val="00311B81"/>
    <w:rsid w:val="00313782"/>
    <w:rsid w:val="00313A88"/>
    <w:rsid w:val="00314BE4"/>
    <w:rsid w:val="00315182"/>
    <w:rsid w:val="00315357"/>
    <w:rsid w:val="00316A90"/>
    <w:rsid w:val="00316D30"/>
    <w:rsid w:val="003172D1"/>
    <w:rsid w:val="003175F4"/>
    <w:rsid w:val="003207E1"/>
    <w:rsid w:val="00320C57"/>
    <w:rsid w:val="003212F2"/>
    <w:rsid w:val="003219B0"/>
    <w:rsid w:val="00323403"/>
    <w:rsid w:val="003235A1"/>
    <w:rsid w:val="00323BB1"/>
    <w:rsid w:val="003241E1"/>
    <w:rsid w:val="00327374"/>
    <w:rsid w:val="003320FB"/>
    <w:rsid w:val="00332130"/>
    <w:rsid w:val="00333220"/>
    <w:rsid w:val="00333322"/>
    <w:rsid w:val="00335B09"/>
    <w:rsid w:val="003361EF"/>
    <w:rsid w:val="0033757F"/>
    <w:rsid w:val="00337FF0"/>
    <w:rsid w:val="0034127B"/>
    <w:rsid w:val="003418B9"/>
    <w:rsid w:val="0034195A"/>
    <w:rsid w:val="00341A95"/>
    <w:rsid w:val="00341AF1"/>
    <w:rsid w:val="00342788"/>
    <w:rsid w:val="0034330C"/>
    <w:rsid w:val="00343C07"/>
    <w:rsid w:val="0034686D"/>
    <w:rsid w:val="003470DC"/>
    <w:rsid w:val="0034732C"/>
    <w:rsid w:val="003478E0"/>
    <w:rsid w:val="003508B3"/>
    <w:rsid w:val="00351FBD"/>
    <w:rsid w:val="0035470C"/>
    <w:rsid w:val="00354954"/>
    <w:rsid w:val="003555EE"/>
    <w:rsid w:val="0035562E"/>
    <w:rsid w:val="00356D4D"/>
    <w:rsid w:val="00357115"/>
    <w:rsid w:val="00357AA4"/>
    <w:rsid w:val="00360010"/>
    <w:rsid w:val="00360B49"/>
    <w:rsid w:val="0036138B"/>
    <w:rsid w:val="003617F2"/>
    <w:rsid w:val="00361F7C"/>
    <w:rsid w:val="0036341C"/>
    <w:rsid w:val="00365E74"/>
    <w:rsid w:val="003664DC"/>
    <w:rsid w:val="003666C2"/>
    <w:rsid w:val="0037089C"/>
    <w:rsid w:val="00370A2F"/>
    <w:rsid w:val="00371109"/>
    <w:rsid w:val="0037115E"/>
    <w:rsid w:val="00371C35"/>
    <w:rsid w:val="00372273"/>
    <w:rsid w:val="00372AD9"/>
    <w:rsid w:val="00372F6A"/>
    <w:rsid w:val="00373BB5"/>
    <w:rsid w:val="00375040"/>
    <w:rsid w:val="00376098"/>
    <w:rsid w:val="00385116"/>
    <w:rsid w:val="00385D31"/>
    <w:rsid w:val="00390A33"/>
    <w:rsid w:val="003929B8"/>
    <w:rsid w:val="0039309C"/>
    <w:rsid w:val="003949D6"/>
    <w:rsid w:val="003951E8"/>
    <w:rsid w:val="00395B49"/>
    <w:rsid w:val="003A0CE7"/>
    <w:rsid w:val="003A11C9"/>
    <w:rsid w:val="003A2125"/>
    <w:rsid w:val="003A4488"/>
    <w:rsid w:val="003A4FE3"/>
    <w:rsid w:val="003A62DE"/>
    <w:rsid w:val="003A6AB7"/>
    <w:rsid w:val="003B6741"/>
    <w:rsid w:val="003B6935"/>
    <w:rsid w:val="003C082C"/>
    <w:rsid w:val="003C0B15"/>
    <w:rsid w:val="003C17BB"/>
    <w:rsid w:val="003C1967"/>
    <w:rsid w:val="003C19F8"/>
    <w:rsid w:val="003C2F70"/>
    <w:rsid w:val="003C45D2"/>
    <w:rsid w:val="003C6372"/>
    <w:rsid w:val="003C6EF1"/>
    <w:rsid w:val="003C7422"/>
    <w:rsid w:val="003C77BD"/>
    <w:rsid w:val="003D1198"/>
    <w:rsid w:val="003D1EB7"/>
    <w:rsid w:val="003D2516"/>
    <w:rsid w:val="003D3195"/>
    <w:rsid w:val="003D66D6"/>
    <w:rsid w:val="003D7E77"/>
    <w:rsid w:val="003E098E"/>
    <w:rsid w:val="003E26F8"/>
    <w:rsid w:val="003E2BCB"/>
    <w:rsid w:val="003E344C"/>
    <w:rsid w:val="003E3EAC"/>
    <w:rsid w:val="003E4A1E"/>
    <w:rsid w:val="003E4D1E"/>
    <w:rsid w:val="003E6C24"/>
    <w:rsid w:val="003E6C8A"/>
    <w:rsid w:val="003E71C0"/>
    <w:rsid w:val="003E76A5"/>
    <w:rsid w:val="003E7AE8"/>
    <w:rsid w:val="003F1A46"/>
    <w:rsid w:val="003F1E45"/>
    <w:rsid w:val="003F3477"/>
    <w:rsid w:val="003F46F6"/>
    <w:rsid w:val="003F63EF"/>
    <w:rsid w:val="003F6FC7"/>
    <w:rsid w:val="003F7F2A"/>
    <w:rsid w:val="004007D9"/>
    <w:rsid w:val="00401085"/>
    <w:rsid w:val="0040111C"/>
    <w:rsid w:val="004011F1"/>
    <w:rsid w:val="00402374"/>
    <w:rsid w:val="00402538"/>
    <w:rsid w:val="004028DE"/>
    <w:rsid w:val="004046C4"/>
    <w:rsid w:val="004047B9"/>
    <w:rsid w:val="00404FA8"/>
    <w:rsid w:val="00406654"/>
    <w:rsid w:val="00406751"/>
    <w:rsid w:val="004102F8"/>
    <w:rsid w:val="0041094E"/>
    <w:rsid w:val="00412814"/>
    <w:rsid w:val="004134E8"/>
    <w:rsid w:val="00413917"/>
    <w:rsid w:val="00413B79"/>
    <w:rsid w:val="004150F7"/>
    <w:rsid w:val="004159FF"/>
    <w:rsid w:val="004170C1"/>
    <w:rsid w:val="00421382"/>
    <w:rsid w:val="00423DB5"/>
    <w:rsid w:val="00425D12"/>
    <w:rsid w:val="004267FC"/>
    <w:rsid w:val="00427900"/>
    <w:rsid w:val="00427945"/>
    <w:rsid w:val="00431154"/>
    <w:rsid w:val="004314C3"/>
    <w:rsid w:val="00434389"/>
    <w:rsid w:val="00435475"/>
    <w:rsid w:val="0043547B"/>
    <w:rsid w:val="00437318"/>
    <w:rsid w:val="004415E9"/>
    <w:rsid w:val="00441864"/>
    <w:rsid w:val="00444527"/>
    <w:rsid w:val="00444F74"/>
    <w:rsid w:val="00445241"/>
    <w:rsid w:val="00445270"/>
    <w:rsid w:val="004463ED"/>
    <w:rsid w:val="00446D82"/>
    <w:rsid w:val="00447273"/>
    <w:rsid w:val="00450335"/>
    <w:rsid w:val="00450D25"/>
    <w:rsid w:val="0045103A"/>
    <w:rsid w:val="00451B90"/>
    <w:rsid w:val="004539B9"/>
    <w:rsid w:val="0045514D"/>
    <w:rsid w:val="00455207"/>
    <w:rsid w:val="00455E42"/>
    <w:rsid w:val="00457EBE"/>
    <w:rsid w:val="00461BC3"/>
    <w:rsid w:val="0046237E"/>
    <w:rsid w:val="00462680"/>
    <w:rsid w:val="00463482"/>
    <w:rsid w:val="004646EA"/>
    <w:rsid w:val="00465164"/>
    <w:rsid w:val="00465AC2"/>
    <w:rsid w:val="00466FC3"/>
    <w:rsid w:val="00467940"/>
    <w:rsid w:val="004679B3"/>
    <w:rsid w:val="00467BCC"/>
    <w:rsid w:val="0047410B"/>
    <w:rsid w:val="004757FA"/>
    <w:rsid w:val="00475B13"/>
    <w:rsid w:val="0047679D"/>
    <w:rsid w:val="00476BC0"/>
    <w:rsid w:val="004771B1"/>
    <w:rsid w:val="004774BB"/>
    <w:rsid w:val="00477C15"/>
    <w:rsid w:val="00482A76"/>
    <w:rsid w:val="00485429"/>
    <w:rsid w:val="004862EA"/>
    <w:rsid w:val="0048771F"/>
    <w:rsid w:val="00490CC9"/>
    <w:rsid w:val="00491B9E"/>
    <w:rsid w:val="00492896"/>
    <w:rsid w:val="00492A44"/>
    <w:rsid w:val="0049408D"/>
    <w:rsid w:val="004947A0"/>
    <w:rsid w:val="00494FF4"/>
    <w:rsid w:val="00496338"/>
    <w:rsid w:val="00496373"/>
    <w:rsid w:val="004963CD"/>
    <w:rsid w:val="00496D2D"/>
    <w:rsid w:val="00497C1B"/>
    <w:rsid w:val="004A013A"/>
    <w:rsid w:val="004A06E4"/>
    <w:rsid w:val="004A0D82"/>
    <w:rsid w:val="004A0F7E"/>
    <w:rsid w:val="004A129B"/>
    <w:rsid w:val="004A1E43"/>
    <w:rsid w:val="004A2378"/>
    <w:rsid w:val="004A5618"/>
    <w:rsid w:val="004A5820"/>
    <w:rsid w:val="004A7233"/>
    <w:rsid w:val="004A7F8F"/>
    <w:rsid w:val="004B028B"/>
    <w:rsid w:val="004B0308"/>
    <w:rsid w:val="004B0347"/>
    <w:rsid w:val="004B10A7"/>
    <w:rsid w:val="004B1279"/>
    <w:rsid w:val="004B16A8"/>
    <w:rsid w:val="004B1F1B"/>
    <w:rsid w:val="004B3FB2"/>
    <w:rsid w:val="004B4E68"/>
    <w:rsid w:val="004B4FFF"/>
    <w:rsid w:val="004B68CC"/>
    <w:rsid w:val="004B6E25"/>
    <w:rsid w:val="004B7392"/>
    <w:rsid w:val="004B7BF4"/>
    <w:rsid w:val="004C0C6A"/>
    <w:rsid w:val="004C272A"/>
    <w:rsid w:val="004C3DF3"/>
    <w:rsid w:val="004C5F0C"/>
    <w:rsid w:val="004C6A2C"/>
    <w:rsid w:val="004D0139"/>
    <w:rsid w:val="004D04A6"/>
    <w:rsid w:val="004D1475"/>
    <w:rsid w:val="004D1D6F"/>
    <w:rsid w:val="004D3725"/>
    <w:rsid w:val="004D4703"/>
    <w:rsid w:val="004D5F10"/>
    <w:rsid w:val="004D7164"/>
    <w:rsid w:val="004D7D11"/>
    <w:rsid w:val="004E0318"/>
    <w:rsid w:val="004E0CF9"/>
    <w:rsid w:val="004E10C5"/>
    <w:rsid w:val="004E1A18"/>
    <w:rsid w:val="004E1DA8"/>
    <w:rsid w:val="004E26DE"/>
    <w:rsid w:val="004E31BE"/>
    <w:rsid w:val="004E3FCD"/>
    <w:rsid w:val="004E415D"/>
    <w:rsid w:val="004E415F"/>
    <w:rsid w:val="004E7529"/>
    <w:rsid w:val="004E7AC6"/>
    <w:rsid w:val="004E7CAD"/>
    <w:rsid w:val="004E7DA4"/>
    <w:rsid w:val="004F0795"/>
    <w:rsid w:val="004F0AC0"/>
    <w:rsid w:val="004F0AFA"/>
    <w:rsid w:val="004F187B"/>
    <w:rsid w:val="004F1AFD"/>
    <w:rsid w:val="004F263E"/>
    <w:rsid w:val="004F2FC8"/>
    <w:rsid w:val="004F32B7"/>
    <w:rsid w:val="004F3AB4"/>
    <w:rsid w:val="004F51F4"/>
    <w:rsid w:val="004F727C"/>
    <w:rsid w:val="004F7558"/>
    <w:rsid w:val="004F76F0"/>
    <w:rsid w:val="00500C11"/>
    <w:rsid w:val="00501D91"/>
    <w:rsid w:val="0050223B"/>
    <w:rsid w:val="005024E6"/>
    <w:rsid w:val="00504513"/>
    <w:rsid w:val="00504DC8"/>
    <w:rsid w:val="00505CE2"/>
    <w:rsid w:val="00506094"/>
    <w:rsid w:val="005060D5"/>
    <w:rsid w:val="00507329"/>
    <w:rsid w:val="00507CFF"/>
    <w:rsid w:val="0051060C"/>
    <w:rsid w:val="00510ECC"/>
    <w:rsid w:val="005112DD"/>
    <w:rsid w:val="0051239C"/>
    <w:rsid w:val="0051260A"/>
    <w:rsid w:val="00512A4F"/>
    <w:rsid w:val="00513CF0"/>
    <w:rsid w:val="00517ECB"/>
    <w:rsid w:val="00517F2B"/>
    <w:rsid w:val="00520B21"/>
    <w:rsid w:val="00520B7A"/>
    <w:rsid w:val="0052135C"/>
    <w:rsid w:val="005216EB"/>
    <w:rsid w:val="00522130"/>
    <w:rsid w:val="00522255"/>
    <w:rsid w:val="00523205"/>
    <w:rsid w:val="005239B8"/>
    <w:rsid w:val="005251BE"/>
    <w:rsid w:val="00525295"/>
    <w:rsid w:val="0052669A"/>
    <w:rsid w:val="00526B9E"/>
    <w:rsid w:val="00526CD5"/>
    <w:rsid w:val="005274CF"/>
    <w:rsid w:val="00532730"/>
    <w:rsid w:val="00532A7D"/>
    <w:rsid w:val="00533731"/>
    <w:rsid w:val="00533DA4"/>
    <w:rsid w:val="00537373"/>
    <w:rsid w:val="00537F79"/>
    <w:rsid w:val="0054003E"/>
    <w:rsid w:val="005411B6"/>
    <w:rsid w:val="005430B1"/>
    <w:rsid w:val="00543528"/>
    <w:rsid w:val="005436C9"/>
    <w:rsid w:val="00544808"/>
    <w:rsid w:val="00545331"/>
    <w:rsid w:val="00547530"/>
    <w:rsid w:val="00550739"/>
    <w:rsid w:val="0055379F"/>
    <w:rsid w:val="00553915"/>
    <w:rsid w:val="00562454"/>
    <w:rsid w:val="0056489C"/>
    <w:rsid w:val="005659C1"/>
    <w:rsid w:val="00565D34"/>
    <w:rsid w:val="005668B0"/>
    <w:rsid w:val="00567066"/>
    <w:rsid w:val="00570184"/>
    <w:rsid w:val="00574A0A"/>
    <w:rsid w:val="00575AFD"/>
    <w:rsid w:val="005761B9"/>
    <w:rsid w:val="00576797"/>
    <w:rsid w:val="0058053B"/>
    <w:rsid w:val="005827A9"/>
    <w:rsid w:val="0058496E"/>
    <w:rsid w:val="00584CBE"/>
    <w:rsid w:val="00585797"/>
    <w:rsid w:val="0058730F"/>
    <w:rsid w:val="00587C63"/>
    <w:rsid w:val="005908B3"/>
    <w:rsid w:val="00591148"/>
    <w:rsid w:val="00591821"/>
    <w:rsid w:val="005961B6"/>
    <w:rsid w:val="005965DB"/>
    <w:rsid w:val="005971D1"/>
    <w:rsid w:val="005973CF"/>
    <w:rsid w:val="005A0E2E"/>
    <w:rsid w:val="005A1A04"/>
    <w:rsid w:val="005A2AC9"/>
    <w:rsid w:val="005A562B"/>
    <w:rsid w:val="005A66A7"/>
    <w:rsid w:val="005A75AD"/>
    <w:rsid w:val="005A79FA"/>
    <w:rsid w:val="005B0207"/>
    <w:rsid w:val="005B0266"/>
    <w:rsid w:val="005B0697"/>
    <w:rsid w:val="005B1462"/>
    <w:rsid w:val="005B15C5"/>
    <w:rsid w:val="005B20A2"/>
    <w:rsid w:val="005B2963"/>
    <w:rsid w:val="005B4469"/>
    <w:rsid w:val="005B534A"/>
    <w:rsid w:val="005B6472"/>
    <w:rsid w:val="005C07E9"/>
    <w:rsid w:val="005C1D52"/>
    <w:rsid w:val="005C3495"/>
    <w:rsid w:val="005C39D8"/>
    <w:rsid w:val="005C4100"/>
    <w:rsid w:val="005C55D4"/>
    <w:rsid w:val="005C5AC3"/>
    <w:rsid w:val="005C750E"/>
    <w:rsid w:val="005C7F05"/>
    <w:rsid w:val="005D003F"/>
    <w:rsid w:val="005D020D"/>
    <w:rsid w:val="005D07F1"/>
    <w:rsid w:val="005D09E5"/>
    <w:rsid w:val="005D1313"/>
    <w:rsid w:val="005D5D59"/>
    <w:rsid w:val="005D6F28"/>
    <w:rsid w:val="005D7E6E"/>
    <w:rsid w:val="005E18AF"/>
    <w:rsid w:val="005E2144"/>
    <w:rsid w:val="005E4D37"/>
    <w:rsid w:val="005E53B2"/>
    <w:rsid w:val="005E5519"/>
    <w:rsid w:val="005E5E57"/>
    <w:rsid w:val="005E5F64"/>
    <w:rsid w:val="005E6710"/>
    <w:rsid w:val="005E6F12"/>
    <w:rsid w:val="005E7957"/>
    <w:rsid w:val="005F1F06"/>
    <w:rsid w:val="005F44CE"/>
    <w:rsid w:val="005F4E40"/>
    <w:rsid w:val="005F5D88"/>
    <w:rsid w:val="005F727A"/>
    <w:rsid w:val="005F780A"/>
    <w:rsid w:val="006004A8"/>
    <w:rsid w:val="00600BCF"/>
    <w:rsid w:val="00602F40"/>
    <w:rsid w:val="00603037"/>
    <w:rsid w:val="00604037"/>
    <w:rsid w:val="00605A4A"/>
    <w:rsid w:val="006074AB"/>
    <w:rsid w:val="00607B23"/>
    <w:rsid w:val="006102D0"/>
    <w:rsid w:val="0061186D"/>
    <w:rsid w:val="00611E45"/>
    <w:rsid w:val="00612125"/>
    <w:rsid w:val="00612FD2"/>
    <w:rsid w:val="0061360F"/>
    <w:rsid w:val="00613659"/>
    <w:rsid w:val="00614EA2"/>
    <w:rsid w:val="00616290"/>
    <w:rsid w:val="00617673"/>
    <w:rsid w:val="00621A1F"/>
    <w:rsid w:val="00621DDA"/>
    <w:rsid w:val="00621EDC"/>
    <w:rsid w:val="00622CB2"/>
    <w:rsid w:val="00623358"/>
    <w:rsid w:val="00623ABE"/>
    <w:rsid w:val="00624010"/>
    <w:rsid w:val="00624310"/>
    <w:rsid w:val="00624B4B"/>
    <w:rsid w:val="006256F1"/>
    <w:rsid w:val="00631457"/>
    <w:rsid w:val="00631ADE"/>
    <w:rsid w:val="00632A87"/>
    <w:rsid w:val="00633456"/>
    <w:rsid w:val="00634F04"/>
    <w:rsid w:val="006359FC"/>
    <w:rsid w:val="00635B5F"/>
    <w:rsid w:val="00635BF9"/>
    <w:rsid w:val="00635C1C"/>
    <w:rsid w:val="00636941"/>
    <w:rsid w:val="00636F4E"/>
    <w:rsid w:val="006378C8"/>
    <w:rsid w:val="00641645"/>
    <w:rsid w:val="00642070"/>
    <w:rsid w:val="00642E3C"/>
    <w:rsid w:val="00643626"/>
    <w:rsid w:val="00643876"/>
    <w:rsid w:val="0064500A"/>
    <w:rsid w:val="006450DB"/>
    <w:rsid w:val="0064790C"/>
    <w:rsid w:val="00647A47"/>
    <w:rsid w:val="00651630"/>
    <w:rsid w:val="00651F76"/>
    <w:rsid w:val="00653445"/>
    <w:rsid w:val="0065382E"/>
    <w:rsid w:val="00653BBF"/>
    <w:rsid w:val="006547A7"/>
    <w:rsid w:val="006554D1"/>
    <w:rsid w:val="0065744F"/>
    <w:rsid w:val="00657806"/>
    <w:rsid w:val="006603FD"/>
    <w:rsid w:val="00660995"/>
    <w:rsid w:val="00660C51"/>
    <w:rsid w:val="00663FAA"/>
    <w:rsid w:val="0066510D"/>
    <w:rsid w:val="00665FA6"/>
    <w:rsid w:val="00666F2D"/>
    <w:rsid w:val="00667E2C"/>
    <w:rsid w:val="006702D3"/>
    <w:rsid w:val="006704EC"/>
    <w:rsid w:val="00670E5B"/>
    <w:rsid w:val="00671170"/>
    <w:rsid w:val="0067250B"/>
    <w:rsid w:val="0067266B"/>
    <w:rsid w:val="006747C8"/>
    <w:rsid w:val="006749D1"/>
    <w:rsid w:val="00674C88"/>
    <w:rsid w:val="00674FA9"/>
    <w:rsid w:val="0067555C"/>
    <w:rsid w:val="006755E9"/>
    <w:rsid w:val="00676AD3"/>
    <w:rsid w:val="00677571"/>
    <w:rsid w:val="00677B1A"/>
    <w:rsid w:val="00680A20"/>
    <w:rsid w:val="0068186B"/>
    <w:rsid w:val="00682DDA"/>
    <w:rsid w:val="00684793"/>
    <w:rsid w:val="0068536D"/>
    <w:rsid w:val="0068691D"/>
    <w:rsid w:val="00686D17"/>
    <w:rsid w:val="00687367"/>
    <w:rsid w:val="006874CC"/>
    <w:rsid w:val="006878DB"/>
    <w:rsid w:val="00690EE9"/>
    <w:rsid w:val="006911A8"/>
    <w:rsid w:val="00692DA7"/>
    <w:rsid w:val="006931BB"/>
    <w:rsid w:val="00693426"/>
    <w:rsid w:val="00693B40"/>
    <w:rsid w:val="00693E06"/>
    <w:rsid w:val="00694FEE"/>
    <w:rsid w:val="00696524"/>
    <w:rsid w:val="00696B5A"/>
    <w:rsid w:val="00697557"/>
    <w:rsid w:val="00697A6C"/>
    <w:rsid w:val="006A074A"/>
    <w:rsid w:val="006A22F2"/>
    <w:rsid w:val="006A4206"/>
    <w:rsid w:val="006A4458"/>
    <w:rsid w:val="006A4623"/>
    <w:rsid w:val="006A5970"/>
    <w:rsid w:val="006A5D1E"/>
    <w:rsid w:val="006A5FBA"/>
    <w:rsid w:val="006B006D"/>
    <w:rsid w:val="006B096B"/>
    <w:rsid w:val="006B137C"/>
    <w:rsid w:val="006B1BEB"/>
    <w:rsid w:val="006B1E29"/>
    <w:rsid w:val="006B1F70"/>
    <w:rsid w:val="006B23F3"/>
    <w:rsid w:val="006B3ACC"/>
    <w:rsid w:val="006B50F6"/>
    <w:rsid w:val="006B6CA5"/>
    <w:rsid w:val="006B6FA7"/>
    <w:rsid w:val="006B70BD"/>
    <w:rsid w:val="006B723C"/>
    <w:rsid w:val="006C09AB"/>
    <w:rsid w:val="006C0B48"/>
    <w:rsid w:val="006C1286"/>
    <w:rsid w:val="006C19C9"/>
    <w:rsid w:val="006C2092"/>
    <w:rsid w:val="006C25E8"/>
    <w:rsid w:val="006C2885"/>
    <w:rsid w:val="006C40E5"/>
    <w:rsid w:val="006C4E67"/>
    <w:rsid w:val="006C5AAA"/>
    <w:rsid w:val="006C6CCC"/>
    <w:rsid w:val="006C7346"/>
    <w:rsid w:val="006D17FA"/>
    <w:rsid w:val="006D1B09"/>
    <w:rsid w:val="006D392D"/>
    <w:rsid w:val="006D54E7"/>
    <w:rsid w:val="006D5620"/>
    <w:rsid w:val="006D5634"/>
    <w:rsid w:val="006D58A8"/>
    <w:rsid w:val="006E058D"/>
    <w:rsid w:val="006E0F28"/>
    <w:rsid w:val="006E2115"/>
    <w:rsid w:val="006E2172"/>
    <w:rsid w:val="006E21CE"/>
    <w:rsid w:val="006E2D50"/>
    <w:rsid w:val="006E2ECA"/>
    <w:rsid w:val="006E475F"/>
    <w:rsid w:val="006E4C08"/>
    <w:rsid w:val="006E681E"/>
    <w:rsid w:val="006E6D7E"/>
    <w:rsid w:val="006E77A4"/>
    <w:rsid w:val="006F127E"/>
    <w:rsid w:val="006F17FE"/>
    <w:rsid w:val="006F36E0"/>
    <w:rsid w:val="006F37BC"/>
    <w:rsid w:val="006F4199"/>
    <w:rsid w:val="006F52C9"/>
    <w:rsid w:val="006F5EA1"/>
    <w:rsid w:val="006F7A5C"/>
    <w:rsid w:val="0070046C"/>
    <w:rsid w:val="007024EE"/>
    <w:rsid w:val="007038B0"/>
    <w:rsid w:val="00703C25"/>
    <w:rsid w:val="00703D43"/>
    <w:rsid w:val="00704095"/>
    <w:rsid w:val="00704654"/>
    <w:rsid w:val="00705DD0"/>
    <w:rsid w:val="0071122E"/>
    <w:rsid w:val="0071141B"/>
    <w:rsid w:val="00711622"/>
    <w:rsid w:val="00712096"/>
    <w:rsid w:val="007125B2"/>
    <w:rsid w:val="00712B4A"/>
    <w:rsid w:val="00713447"/>
    <w:rsid w:val="007138EA"/>
    <w:rsid w:val="00714049"/>
    <w:rsid w:val="007152CD"/>
    <w:rsid w:val="00715831"/>
    <w:rsid w:val="0071628F"/>
    <w:rsid w:val="00716E5A"/>
    <w:rsid w:val="00717420"/>
    <w:rsid w:val="00717774"/>
    <w:rsid w:val="007177EC"/>
    <w:rsid w:val="00717BDB"/>
    <w:rsid w:val="00720395"/>
    <w:rsid w:val="0072247C"/>
    <w:rsid w:val="00722646"/>
    <w:rsid w:val="00722655"/>
    <w:rsid w:val="00722E65"/>
    <w:rsid w:val="007232C1"/>
    <w:rsid w:val="0072385C"/>
    <w:rsid w:val="00723EC1"/>
    <w:rsid w:val="007240AA"/>
    <w:rsid w:val="00724ACF"/>
    <w:rsid w:val="00725CBA"/>
    <w:rsid w:val="00726591"/>
    <w:rsid w:val="00727913"/>
    <w:rsid w:val="00727A34"/>
    <w:rsid w:val="007303FA"/>
    <w:rsid w:val="00730EFD"/>
    <w:rsid w:val="007318CA"/>
    <w:rsid w:val="0073222C"/>
    <w:rsid w:val="00733198"/>
    <w:rsid w:val="00733240"/>
    <w:rsid w:val="00733718"/>
    <w:rsid w:val="00736128"/>
    <w:rsid w:val="007361AC"/>
    <w:rsid w:val="007365F2"/>
    <w:rsid w:val="00736878"/>
    <w:rsid w:val="00737972"/>
    <w:rsid w:val="00737D15"/>
    <w:rsid w:val="007409AC"/>
    <w:rsid w:val="00740D9B"/>
    <w:rsid w:val="007419B4"/>
    <w:rsid w:val="00741A55"/>
    <w:rsid w:val="00741B6E"/>
    <w:rsid w:val="0074307D"/>
    <w:rsid w:val="007432D1"/>
    <w:rsid w:val="00744F19"/>
    <w:rsid w:val="00745A77"/>
    <w:rsid w:val="00747455"/>
    <w:rsid w:val="00747BAA"/>
    <w:rsid w:val="00750222"/>
    <w:rsid w:val="00750D87"/>
    <w:rsid w:val="00750FE2"/>
    <w:rsid w:val="00751106"/>
    <w:rsid w:val="00751A00"/>
    <w:rsid w:val="00751D9F"/>
    <w:rsid w:val="00752343"/>
    <w:rsid w:val="00755354"/>
    <w:rsid w:val="00757518"/>
    <w:rsid w:val="0076267E"/>
    <w:rsid w:val="00763A5E"/>
    <w:rsid w:val="00764260"/>
    <w:rsid w:val="0076445C"/>
    <w:rsid w:val="00766721"/>
    <w:rsid w:val="00766D48"/>
    <w:rsid w:val="0077198F"/>
    <w:rsid w:val="00774F87"/>
    <w:rsid w:val="00775CA5"/>
    <w:rsid w:val="007767B2"/>
    <w:rsid w:val="00776B5E"/>
    <w:rsid w:val="00776D97"/>
    <w:rsid w:val="00777410"/>
    <w:rsid w:val="007800D1"/>
    <w:rsid w:val="007809D3"/>
    <w:rsid w:val="00780D20"/>
    <w:rsid w:val="00780E12"/>
    <w:rsid w:val="00781115"/>
    <w:rsid w:val="00782125"/>
    <w:rsid w:val="007831F2"/>
    <w:rsid w:val="00783587"/>
    <w:rsid w:val="00783B23"/>
    <w:rsid w:val="00785B5F"/>
    <w:rsid w:val="00786437"/>
    <w:rsid w:val="00786936"/>
    <w:rsid w:val="0078764C"/>
    <w:rsid w:val="007900E2"/>
    <w:rsid w:val="007932C3"/>
    <w:rsid w:val="00793D2F"/>
    <w:rsid w:val="00793E86"/>
    <w:rsid w:val="00794968"/>
    <w:rsid w:val="0079577F"/>
    <w:rsid w:val="00795C80"/>
    <w:rsid w:val="00797A4D"/>
    <w:rsid w:val="007A0BE3"/>
    <w:rsid w:val="007A1005"/>
    <w:rsid w:val="007A1E20"/>
    <w:rsid w:val="007A267B"/>
    <w:rsid w:val="007A317F"/>
    <w:rsid w:val="007A3AA2"/>
    <w:rsid w:val="007A41FF"/>
    <w:rsid w:val="007A598B"/>
    <w:rsid w:val="007A65DC"/>
    <w:rsid w:val="007A6B73"/>
    <w:rsid w:val="007A6F7E"/>
    <w:rsid w:val="007A7658"/>
    <w:rsid w:val="007A7865"/>
    <w:rsid w:val="007A7C4B"/>
    <w:rsid w:val="007A7E10"/>
    <w:rsid w:val="007B05BF"/>
    <w:rsid w:val="007B2AD0"/>
    <w:rsid w:val="007B497A"/>
    <w:rsid w:val="007B5D84"/>
    <w:rsid w:val="007B5ED5"/>
    <w:rsid w:val="007B631B"/>
    <w:rsid w:val="007B65FA"/>
    <w:rsid w:val="007B6E36"/>
    <w:rsid w:val="007B74FE"/>
    <w:rsid w:val="007C0933"/>
    <w:rsid w:val="007C139E"/>
    <w:rsid w:val="007C31E4"/>
    <w:rsid w:val="007C35AC"/>
    <w:rsid w:val="007C3FDB"/>
    <w:rsid w:val="007C4E44"/>
    <w:rsid w:val="007C5AD2"/>
    <w:rsid w:val="007C5B8D"/>
    <w:rsid w:val="007C65B3"/>
    <w:rsid w:val="007C69A5"/>
    <w:rsid w:val="007C722A"/>
    <w:rsid w:val="007D071D"/>
    <w:rsid w:val="007D0BE4"/>
    <w:rsid w:val="007D1F00"/>
    <w:rsid w:val="007D2183"/>
    <w:rsid w:val="007D2AD8"/>
    <w:rsid w:val="007D2E8A"/>
    <w:rsid w:val="007D3432"/>
    <w:rsid w:val="007D3563"/>
    <w:rsid w:val="007D3992"/>
    <w:rsid w:val="007E0673"/>
    <w:rsid w:val="007E2145"/>
    <w:rsid w:val="007E35C4"/>
    <w:rsid w:val="007E5B2E"/>
    <w:rsid w:val="007E69FE"/>
    <w:rsid w:val="007E6DD0"/>
    <w:rsid w:val="007E7384"/>
    <w:rsid w:val="007F13B9"/>
    <w:rsid w:val="007F2BFF"/>
    <w:rsid w:val="007F34F5"/>
    <w:rsid w:val="007F41D9"/>
    <w:rsid w:val="007F4CA8"/>
    <w:rsid w:val="007F544A"/>
    <w:rsid w:val="007F5F2D"/>
    <w:rsid w:val="007F6538"/>
    <w:rsid w:val="007F70B0"/>
    <w:rsid w:val="007F71DF"/>
    <w:rsid w:val="00800359"/>
    <w:rsid w:val="00800EEF"/>
    <w:rsid w:val="0080146C"/>
    <w:rsid w:val="00801AC1"/>
    <w:rsid w:val="00801B99"/>
    <w:rsid w:val="0080203D"/>
    <w:rsid w:val="00803078"/>
    <w:rsid w:val="00803F67"/>
    <w:rsid w:val="00805043"/>
    <w:rsid w:val="00805548"/>
    <w:rsid w:val="00805721"/>
    <w:rsid w:val="00805ACD"/>
    <w:rsid w:val="008071D5"/>
    <w:rsid w:val="00807BFB"/>
    <w:rsid w:val="0081069A"/>
    <w:rsid w:val="00810915"/>
    <w:rsid w:val="00810F8D"/>
    <w:rsid w:val="008111AB"/>
    <w:rsid w:val="00812FCE"/>
    <w:rsid w:val="0081336F"/>
    <w:rsid w:val="00815A5D"/>
    <w:rsid w:val="00815D92"/>
    <w:rsid w:val="008160EE"/>
    <w:rsid w:val="0081683E"/>
    <w:rsid w:val="00816C74"/>
    <w:rsid w:val="00817294"/>
    <w:rsid w:val="00820918"/>
    <w:rsid w:val="0082092A"/>
    <w:rsid w:val="00820F39"/>
    <w:rsid w:val="00822078"/>
    <w:rsid w:val="00822A8D"/>
    <w:rsid w:val="00822BB4"/>
    <w:rsid w:val="00823077"/>
    <w:rsid w:val="00823A51"/>
    <w:rsid w:val="008243C4"/>
    <w:rsid w:val="008244A1"/>
    <w:rsid w:val="00826228"/>
    <w:rsid w:val="008267B2"/>
    <w:rsid w:val="00826FFB"/>
    <w:rsid w:val="008301A5"/>
    <w:rsid w:val="0083206F"/>
    <w:rsid w:val="00832E7C"/>
    <w:rsid w:val="00833453"/>
    <w:rsid w:val="008336D4"/>
    <w:rsid w:val="00835967"/>
    <w:rsid w:val="008372F3"/>
    <w:rsid w:val="00840DF4"/>
    <w:rsid w:val="00841207"/>
    <w:rsid w:val="0084195F"/>
    <w:rsid w:val="00842456"/>
    <w:rsid w:val="00842849"/>
    <w:rsid w:val="00842B26"/>
    <w:rsid w:val="00842F7E"/>
    <w:rsid w:val="008431AD"/>
    <w:rsid w:val="008439F5"/>
    <w:rsid w:val="00843F05"/>
    <w:rsid w:val="00844242"/>
    <w:rsid w:val="00844F37"/>
    <w:rsid w:val="00845B78"/>
    <w:rsid w:val="00845D74"/>
    <w:rsid w:val="00846129"/>
    <w:rsid w:val="00851B3D"/>
    <w:rsid w:val="00854D9A"/>
    <w:rsid w:val="00855B26"/>
    <w:rsid w:val="00856187"/>
    <w:rsid w:val="00856987"/>
    <w:rsid w:val="00857202"/>
    <w:rsid w:val="008573B5"/>
    <w:rsid w:val="00857AE0"/>
    <w:rsid w:val="00857E40"/>
    <w:rsid w:val="00857E81"/>
    <w:rsid w:val="00860422"/>
    <w:rsid w:val="00860BB4"/>
    <w:rsid w:val="00861228"/>
    <w:rsid w:val="008632E7"/>
    <w:rsid w:val="00863824"/>
    <w:rsid w:val="00863AF9"/>
    <w:rsid w:val="00865623"/>
    <w:rsid w:val="00865AC6"/>
    <w:rsid w:val="00865D20"/>
    <w:rsid w:val="0086681A"/>
    <w:rsid w:val="00871A04"/>
    <w:rsid w:val="00871BB7"/>
    <w:rsid w:val="0087291E"/>
    <w:rsid w:val="0087460D"/>
    <w:rsid w:val="00875E44"/>
    <w:rsid w:val="00876753"/>
    <w:rsid w:val="00877466"/>
    <w:rsid w:val="008805EB"/>
    <w:rsid w:val="00880E2C"/>
    <w:rsid w:val="008826C7"/>
    <w:rsid w:val="00882FBA"/>
    <w:rsid w:val="00883F1E"/>
    <w:rsid w:val="008845A9"/>
    <w:rsid w:val="00887686"/>
    <w:rsid w:val="00887C60"/>
    <w:rsid w:val="00891A81"/>
    <w:rsid w:val="00891EBC"/>
    <w:rsid w:val="00891F0F"/>
    <w:rsid w:val="008953E2"/>
    <w:rsid w:val="008A039C"/>
    <w:rsid w:val="008A05AA"/>
    <w:rsid w:val="008A27C0"/>
    <w:rsid w:val="008A3391"/>
    <w:rsid w:val="008A3A6F"/>
    <w:rsid w:val="008A4562"/>
    <w:rsid w:val="008A506B"/>
    <w:rsid w:val="008A58E3"/>
    <w:rsid w:val="008A67C5"/>
    <w:rsid w:val="008A7874"/>
    <w:rsid w:val="008B0994"/>
    <w:rsid w:val="008B0BD1"/>
    <w:rsid w:val="008B1B66"/>
    <w:rsid w:val="008B2085"/>
    <w:rsid w:val="008B27B8"/>
    <w:rsid w:val="008B2C17"/>
    <w:rsid w:val="008B51D3"/>
    <w:rsid w:val="008B59FB"/>
    <w:rsid w:val="008B7B54"/>
    <w:rsid w:val="008C21C4"/>
    <w:rsid w:val="008C27B4"/>
    <w:rsid w:val="008C2D7F"/>
    <w:rsid w:val="008C4133"/>
    <w:rsid w:val="008C510C"/>
    <w:rsid w:val="008C6594"/>
    <w:rsid w:val="008D07F2"/>
    <w:rsid w:val="008D0D0F"/>
    <w:rsid w:val="008D27EC"/>
    <w:rsid w:val="008D2B65"/>
    <w:rsid w:val="008D344B"/>
    <w:rsid w:val="008D42A1"/>
    <w:rsid w:val="008D47F4"/>
    <w:rsid w:val="008D4824"/>
    <w:rsid w:val="008D6D6B"/>
    <w:rsid w:val="008E07DA"/>
    <w:rsid w:val="008E11CF"/>
    <w:rsid w:val="008E451B"/>
    <w:rsid w:val="008E4A40"/>
    <w:rsid w:val="008E6038"/>
    <w:rsid w:val="008F02EB"/>
    <w:rsid w:val="008F0D99"/>
    <w:rsid w:val="008F2E2A"/>
    <w:rsid w:val="008F5387"/>
    <w:rsid w:val="008F550C"/>
    <w:rsid w:val="008F5D20"/>
    <w:rsid w:val="008F63D6"/>
    <w:rsid w:val="008F6D9C"/>
    <w:rsid w:val="008F71EC"/>
    <w:rsid w:val="00900020"/>
    <w:rsid w:val="009003D3"/>
    <w:rsid w:val="00904EC7"/>
    <w:rsid w:val="0090696C"/>
    <w:rsid w:val="0090766C"/>
    <w:rsid w:val="00907F85"/>
    <w:rsid w:val="00910449"/>
    <w:rsid w:val="009110D3"/>
    <w:rsid w:val="00912342"/>
    <w:rsid w:val="00914111"/>
    <w:rsid w:val="00914E40"/>
    <w:rsid w:val="00915034"/>
    <w:rsid w:val="00916AED"/>
    <w:rsid w:val="00916D38"/>
    <w:rsid w:val="00917867"/>
    <w:rsid w:val="00917965"/>
    <w:rsid w:val="00920AC2"/>
    <w:rsid w:val="00921BF2"/>
    <w:rsid w:val="0092235F"/>
    <w:rsid w:val="0092387C"/>
    <w:rsid w:val="00923933"/>
    <w:rsid w:val="00923B80"/>
    <w:rsid w:val="00923F98"/>
    <w:rsid w:val="00924245"/>
    <w:rsid w:val="00925164"/>
    <w:rsid w:val="00925927"/>
    <w:rsid w:val="00925AAA"/>
    <w:rsid w:val="00926324"/>
    <w:rsid w:val="00927D55"/>
    <w:rsid w:val="00930570"/>
    <w:rsid w:val="00930931"/>
    <w:rsid w:val="00931751"/>
    <w:rsid w:val="009333B5"/>
    <w:rsid w:val="00935D82"/>
    <w:rsid w:val="009375BC"/>
    <w:rsid w:val="00940724"/>
    <w:rsid w:val="00941BDB"/>
    <w:rsid w:val="00941FC1"/>
    <w:rsid w:val="00942C18"/>
    <w:rsid w:val="00945D10"/>
    <w:rsid w:val="00946F57"/>
    <w:rsid w:val="00947C66"/>
    <w:rsid w:val="00950C8D"/>
    <w:rsid w:val="00951E37"/>
    <w:rsid w:val="0095288A"/>
    <w:rsid w:val="00952B3A"/>
    <w:rsid w:val="00952BD2"/>
    <w:rsid w:val="00954D04"/>
    <w:rsid w:val="009553AE"/>
    <w:rsid w:val="00955BE2"/>
    <w:rsid w:val="0095697D"/>
    <w:rsid w:val="00956EB4"/>
    <w:rsid w:val="00957517"/>
    <w:rsid w:val="009576E6"/>
    <w:rsid w:val="00957CEA"/>
    <w:rsid w:val="009613B2"/>
    <w:rsid w:val="009618AE"/>
    <w:rsid w:val="0096203D"/>
    <w:rsid w:val="009623F4"/>
    <w:rsid w:val="00962494"/>
    <w:rsid w:val="0096489F"/>
    <w:rsid w:val="00964EA3"/>
    <w:rsid w:val="009650F2"/>
    <w:rsid w:val="0097042C"/>
    <w:rsid w:val="0097212E"/>
    <w:rsid w:val="009733D3"/>
    <w:rsid w:val="00974EF0"/>
    <w:rsid w:val="009761CE"/>
    <w:rsid w:val="00976EB1"/>
    <w:rsid w:val="009779B9"/>
    <w:rsid w:val="00980941"/>
    <w:rsid w:val="00980A1F"/>
    <w:rsid w:val="00981A7E"/>
    <w:rsid w:val="00981D93"/>
    <w:rsid w:val="00981ED6"/>
    <w:rsid w:val="00981FF8"/>
    <w:rsid w:val="00982031"/>
    <w:rsid w:val="009821F0"/>
    <w:rsid w:val="00984004"/>
    <w:rsid w:val="00984272"/>
    <w:rsid w:val="00986060"/>
    <w:rsid w:val="00986421"/>
    <w:rsid w:val="00986D9F"/>
    <w:rsid w:val="00986F77"/>
    <w:rsid w:val="009871D9"/>
    <w:rsid w:val="00993D77"/>
    <w:rsid w:val="00996207"/>
    <w:rsid w:val="00996419"/>
    <w:rsid w:val="00997E15"/>
    <w:rsid w:val="009A0539"/>
    <w:rsid w:val="009A0CDE"/>
    <w:rsid w:val="009A10B8"/>
    <w:rsid w:val="009A17A8"/>
    <w:rsid w:val="009A21E8"/>
    <w:rsid w:val="009A270E"/>
    <w:rsid w:val="009A2E69"/>
    <w:rsid w:val="009A4665"/>
    <w:rsid w:val="009A522A"/>
    <w:rsid w:val="009A7082"/>
    <w:rsid w:val="009A7956"/>
    <w:rsid w:val="009B1372"/>
    <w:rsid w:val="009B1ADA"/>
    <w:rsid w:val="009B2F3D"/>
    <w:rsid w:val="009B323E"/>
    <w:rsid w:val="009B40D7"/>
    <w:rsid w:val="009B4FCC"/>
    <w:rsid w:val="009B5236"/>
    <w:rsid w:val="009B5E47"/>
    <w:rsid w:val="009B682D"/>
    <w:rsid w:val="009B6B50"/>
    <w:rsid w:val="009B6DB7"/>
    <w:rsid w:val="009B6DD2"/>
    <w:rsid w:val="009B6E97"/>
    <w:rsid w:val="009B763F"/>
    <w:rsid w:val="009C0767"/>
    <w:rsid w:val="009C09D2"/>
    <w:rsid w:val="009C0A5B"/>
    <w:rsid w:val="009C0C84"/>
    <w:rsid w:val="009C1265"/>
    <w:rsid w:val="009C377E"/>
    <w:rsid w:val="009C4257"/>
    <w:rsid w:val="009C6318"/>
    <w:rsid w:val="009C667E"/>
    <w:rsid w:val="009C68CB"/>
    <w:rsid w:val="009C71D9"/>
    <w:rsid w:val="009C7933"/>
    <w:rsid w:val="009D0C92"/>
    <w:rsid w:val="009D1A67"/>
    <w:rsid w:val="009D1D95"/>
    <w:rsid w:val="009D26BC"/>
    <w:rsid w:val="009D60DF"/>
    <w:rsid w:val="009D64C9"/>
    <w:rsid w:val="009D7590"/>
    <w:rsid w:val="009D77F6"/>
    <w:rsid w:val="009E02DF"/>
    <w:rsid w:val="009E10F8"/>
    <w:rsid w:val="009E1320"/>
    <w:rsid w:val="009E13BF"/>
    <w:rsid w:val="009E1441"/>
    <w:rsid w:val="009E367A"/>
    <w:rsid w:val="009E504C"/>
    <w:rsid w:val="009F2892"/>
    <w:rsid w:val="009F2E31"/>
    <w:rsid w:val="009F40C4"/>
    <w:rsid w:val="009F434B"/>
    <w:rsid w:val="009F4A07"/>
    <w:rsid w:val="009F5F9B"/>
    <w:rsid w:val="00A00684"/>
    <w:rsid w:val="00A008A5"/>
    <w:rsid w:val="00A00C86"/>
    <w:rsid w:val="00A00F14"/>
    <w:rsid w:val="00A01788"/>
    <w:rsid w:val="00A028C4"/>
    <w:rsid w:val="00A02A5B"/>
    <w:rsid w:val="00A02F7A"/>
    <w:rsid w:val="00A057E4"/>
    <w:rsid w:val="00A07A81"/>
    <w:rsid w:val="00A10B70"/>
    <w:rsid w:val="00A112AB"/>
    <w:rsid w:val="00A11DF5"/>
    <w:rsid w:val="00A1301B"/>
    <w:rsid w:val="00A13020"/>
    <w:rsid w:val="00A132BA"/>
    <w:rsid w:val="00A13E44"/>
    <w:rsid w:val="00A145C5"/>
    <w:rsid w:val="00A14A22"/>
    <w:rsid w:val="00A14C51"/>
    <w:rsid w:val="00A14E0C"/>
    <w:rsid w:val="00A158AC"/>
    <w:rsid w:val="00A160AF"/>
    <w:rsid w:val="00A16B03"/>
    <w:rsid w:val="00A17174"/>
    <w:rsid w:val="00A20BBC"/>
    <w:rsid w:val="00A21B1D"/>
    <w:rsid w:val="00A22CFC"/>
    <w:rsid w:val="00A22E97"/>
    <w:rsid w:val="00A2427C"/>
    <w:rsid w:val="00A24FA2"/>
    <w:rsid w:val="00A26442"/>
    <w:rsid w:val="00A26498"/>
    <w:rsid w:val="00A26C78"/>
    <w:rsid w:val="00A26E9C"/>
    <w:rsid w:val="00A30632"/>
    <w:rsid w:val="00A309AC"/>
    <w:rsid w:val="00A30CEB"/>
    <w:rsid w:val="00A32190"/>
    <w:rsid w:val="00A3222E"/>
    <w:rsid w:val="00A32280"/>
    <w:rsid w:val="00A3311E"/>
    <w:rsid w:val="00A33C78"/>
    <w:rsid w:val="00A340C5"/>
    <w:rsid w:val="00A37A1B"/>
    <w:rsid w:val="00A4009E"/>
    <w:rsid w:val="00A40653"/>
    <w:rsid w:val="00A40F62"/>
    <w:rsid w:val="00A41AE3"/>
    <w:rsid w:val="00A43F7D"/>
    <w:rsid w:val="00A44A2E"/>
    <w:rsid w:val="00A46128"/>
    <w:rsid w:val="00A526F9"/>
    <w:rsid w:val="00A52E06"/>
    <w:rsid w:val="00A557D4"/>
    <w:rsid w:val="00A6001C"/>
    <w:rsid w:val="00A616BE"/>
    <w:rsid w:val="00A62907"/>
    <w:rsid w:val="00A63A6D"/>
    <w:rsid w:val="00A643EC"/>
    <w:rsid w:val="00A658F6"/>
    <w:rsid w:val="00A66738"/>
    <w:rsid w:val="00A67A3B"/>
    <w:rsid w:val="00A67BED"/>
    <w:rsid w:val="00A71E28"/>
    <w:rsid w:val="00A724F6"/>
    <w:rsid w:val="00A730B4"/>
    <w:rsid w:val="00A73421"/>
    <w:rsid w:val="00A734C3"/>
    <w:rsid w:val="00A737BD"/>
    <w:rsid w:val="00A73EF5"/>
    <w:rsid w:val="00A75F49"/>
    <w:rsid w:val="00A76A14"/>
    <w:rsid w:val="00A77389"/>
    <w:rsid w:val="00A77F37"/>
    <w:rsid w:val="00A80AF4"/>
    <w:rsid w:val="00A817CA"/>
    <w:rsid w:val="00A8489D"/>
    <w:rsid w:val="00A84DA1"/>
    <w:rsid w:val="00A86B7E"/>
    <w:rsid w:val="00A9465B"/>
    <w:rsid w:val="00A953EF"/>
    <w:rsid w:val="00A95FFC"/>
    <w:rsid w:val="00A96FBA"/>
    <w:rsid w:val="00A978B0"/>
    <w:rsid w:val="00AA1086"/>
    <w:rsid w:val="00AA3F65"/>
    <w:rsid w:val="00AA467F"/>
    <w:rsid w:val="00AA46AE"/>
    <w:rsid w:val="00AA56D9"/>
    <w:rsid w:val="00AA68DE"/>
    <w:rsid w:val="00AB05A9"/>
    <w:rsid w:val="00AB3066"/>
    <w:rsid w:val="00AB39F3"/>
    <w:rsid w:val="00AB3E55"/>
    <w:rsid w:val="00AB53B4"/>
    <w:rsid w:val="00AB6E17"/>
    <w:rsid w:val="00AC11A6"/>
    <w:rsid w:val="00AC3168"/>
    <w:rsid w:val="00AC3FB0"/>
    <w:rsid w:val="00AC4076"/>
    <w:rsid w:val="00AC42E8"/>
    <w:rsid w:val="00AC4620"/>
    <w:rsid w:val="00AC5531"/>
    <w:rsid w:val="00AC6351"/>
    <w:rsid w:val="00AC79C2"/>
    <w:rsid w:val="00AD192F"/>
    <w:rsid w:val="00AD2CBD"/>
    <w:rsid w:val="00AD2EF1"/>
    <w:rsid w:val="00AD3F65"/>
    <w:rsid w:val="00AD435E"/>
    <w:rsid w:val="00AD5556"/>
    <w:rsid w:val="00AD7299"/>
    <w:rsid w:val="00AE072E"/>
    <w:rsid w:val="00AE1160"/>
    <w:rsid w:val="00AE174C"/>
    <w:rsid w:val="00AE2F5C"/>
    <w:rsid w:val="00AE30E3"/>
    <w:rsid w:val="00AE31CD"/>
    <w:rsid w:val="00AE3606"/>
    <w:rsid w:val="00AE3EDC"/>
    <w:rsid w:val="00AE520F"/>
    <w:rsid w:val="00AE57C4"/>
    <w:rsid w:val="00AE5A64"/>
    <w:rsid w:val="00AE660C"/>
    <w:rsid w:val="00AE6C35"/>
    <w:rsid w:val="00AE736B"/>
    <w:rsid w:val="00AE797E"/>
    <w:rsid w:val="00AE7DB5"/>
    <w:rsid w:val="00AF00B4"/>
    <w:rsid w:val="00AF0272"/>
    <w:rsid w:val="00AF145B"/>
    <w:rsid w:val="00AF17BB"/>
    <w:rsid w:val="00AF18E0"/>
    <w:rsid w:val="00AF42E3"/>
    <w:rsid w:val="00AF4687"/>
    <w:rsid w:val="00AF7878"/>
    <w:rsid w:val="00B005EC"/>
    <w:rsid w:val="00B00BBB"/>
    <w:rsid w:val="00B00BE8"/>
    <w:rsid w:val="00B00F39"/>
    <w:rsid w:val="00B01F2D"/>
    <w:rsid w:val="00B029D3"/>
    <w:rsid w:val="00B03E99"/>
    <w:rsid w:val="00B0468C"/>
    <w:rsid w:val="00B06A36"/>
    <w:rsid w:val="00B0739D"/>
    <w:rsid w:val="00B10FBD"/>
    <w:rsid w:val="00B11176"/>
    <w:rsid w:val="00B12A05"/>
    <w:rsid w:val="00B133E2"/>
    <w:rsid w:val="00B14BD6"/>
    <w:rsid w:val="00B14DE7"/>
    <w:rsid w:val="00B14F49"/>
    <w:rsid w:val="00B15791"/>
    <w:rsid w:val="00B16CF2"/>
    <w:rsid w:val="00B17541"/>
    <w:rsid w:val="00B20EFC"/>
    <w:rsid w:val="00B21655"/>
    <w:rsid w:val="00B22C48"/>
    <w:rsid w:val="00B22D9F"/>
    <w:rsid w:val="00B25531"/>
    <w:rsid w:val="00B25D62"/>
    <w:rsid w:val="00B26C84"/>
    <w:rsid w:val="00B27384"/>
    <w:rsid w:val="00B27BE1"/>
    <w:rsid w:val="00B30ECB"/>
    <w:rsid w:val="00B323AC"/>
    <w:rsid w:val="00B345A8"/>
    <w:rsid w:val="00B36C2D"/>
    <w:rsid w:val="00B424F5"/>
    <w:rsid w:val="00B4266A"/>
    <w:rsid w:val="00B42E73"/>
    <w:rsid w:val="00B43362"/>
    <w:rsid w:val="00B4389D"/>
    <w:rsid w:val="00B45EEC"/>
    <w:rsid w:val="00B46B51"/>
    <w:rsid w:val="00B46D24"/>
    <w:rsid w:val="00B46D76"/>
    <w:rsid w:val="00B475DE"/>
    <w:rsid w:val="00B50310"/>
    <w:rsid w:val="00B5037D"/>
    <w:rsid w:val="00B50DD7"/>
    <w:rsid w:val="00B51377"/>
    <w:rsid w:val="00B52075"/>
    <w:rsid w:val="00B534F5"/>
    <w:rsid w:val="00B54591"/>
    <w:rsid w:val="00B546E7"/>
    <w:rsid w:val="00B55DA9"/>
    <w:rsid w:val="00B56126"/>
    <w:rsid w:val="00B61C34"/>
    <w:rsid w:val="00B62AF5"/>
    <w:rsid w:val="00B63197"/>
    <w:rsid w:val="00B63732"/>
    <w:rsid w:val="00B64172"/>
    <w:rsid w:val="00B64AAA"/>
    <w:rsid w:val="00B64D1F"/>
    <w:rsid w:val="00B64FD1"/>
    <w:rsid w:val="00B65188"/>
    <w:rsid w:val="00B65840"/>
    <w:rsid w:val="00B66B4A"/>
    <w:rsid w:val="00B67A9D"/>
    <w:rsid w:val="00B70A2A"/>
    <w:rsid w:val="00B7159A"/>
    <w:rsid w:val="00B71CAF"/>
    <w:rsid w:val="00B75427"/>
    <w:rsid w:val="00B75692"/>
    <w:rsid w:val="00B7578C"/>
    <w:rsid w:val="00B76937"/>
    <w:rsid w:val="00B76C84"/>
    <w:rsid w:val="00B771A9"/>
    <w:rsid w:val="00B77377"/>
    <w:rsid w:val="00B8001C"/>
    <w:rsid w:val="00B80398"/>
    <w:rsid w:val="00B8157B"/>
    <w:rsid w:val="00B8254C"/>
    <w:rsid w:val="00B8282A"/>
    <w:rsid w:val="00B843C3"/>
    <w:rsid w:val="00B856B8"/>
    <w:rsid w:val="00B90FE9"/>
    <w:rsid w:val="00B926A0"/>
    <w:rsid w:val="00B927A8"/>
    <w:rsid w:val="00B9319D"/>
    <w:rsid w:val="00B9328C"/>
    <w:rsid w:val="00B93673"/>
    <w:rsid w:val="00B943C9"/>
    <w:rsid w:val="00B952C2"/>
    <w:rsid w:val="00B96498"/>
    <w:rsid w:val="00B96FA1"/>
    <w:rsid w:val="00B97A92"/>
    <w:rsid w:val="00BA1FE6"/>
    <w:rsid w:val="00BA2D08"/>
    <w:rsid w:val="00BA31FE"/>
    <w:rsid w:val="00BA357B"/>
    <w:rsid w:val="00BA443F"/>
    <w:rsid w:val="00BA4B23"/>
    <w:rsid w:val="00BA50BA"/>
    <w:rsid w:val="00BA53AB"/>
    <w:rsid w:val="00BA697A"/>
    <w:rsid w:val="00BA7743"/>
    <w:rsid w:val="00BB0CD3"/>
    <w:rsid w:val="00BB1265"/>
    <w:rsid w:val="00BB56F3"/>
    <w:rsid w:val="00BB5FDE"/>
    <w:rsid w:val="00BB6693"/>
    <w:rsid w:val="00BB6B20"/>
    <w:rsid w:val="00BB6FD6"/>
    <w:rsid w:val="00BB7111"/>
    <w:rsid w:val="00BC02BB"/>
    <w:rsid w:val="00BC10D2"/>
    <w:rsid w:val="00BC1BE4"/>
    <w:rsid w:val="00BC2937"/>
    <w:rsid w:val="00BC2F3C"/>
    <w:rsid w:val="00BC348F"/>
    <w:rsid w:val="00BD0FD7"/>
    <w:rsid w:val="00BD1FC0"/>
    <w:rsid w:val="00BD2AC0"/>
    <w:rsid w:val="00BD3940"/>
    <w:rsid w:val="00BD4C95"/>
    <w:rsid w:val="00BD6A75"/>
    <w:rsid w:val="00BE0580"/>
    <w:rsid w:val="00BE07BD"/>
    <w:rsid w:val="00BE1275"/>
    <w:rsid w:val="00BE40CC"/>
    <w:rsid w:val="00BE5CA5"/>
    <w:rsid w:val="00BE63CB"/>
    <w:rsid w:val="00BE6408"/>
    <w:rsid w:val="00BE656B"/>
    <w:rsid w:val="00BE7173"/>
    <w:rsid w:val="00BE7AE2"/>
    <w:rsid w:val="00BF1A7E"/>
    <w:rsid w:val="00BF2D8E"/>
    <w:rsid w:val="00BF3C93"/>
    <w:rsid w:val="00BF528A"/>
    <w:rsid w:val="00BF74FD"/>
    <w:rsid w:val="00C00726"/>
    <w:rsid w:val="00C02860"/>
    <w:rsid w:val="00C0447A"/>
    <w:rsid w:val="00C0468A"/>
    <w:rsid w:val="00C04777"/>
    <w:rsid w:val="00C054FA"/>
    <w:rsid w:val="00C05848"/>
    <w:rsid w:val="00C06211"/>
    <w:rsid w:val="00C06C05"/>
    <w:rsid w:val="00C06EB5"/>
    <w:rsid w:val="00C1211A"/>
    <w:rsid w:val="00C1267D"/>
    <w:rsid w:val="00C13E4A"/>
    <w:rsid w:val="00C14665"/>
    <w:rsid w:val="00C15A42"/>
    <w:rsid w:val="00C16C4D"/>
    <w:rsid w:val="00C16E02"/>
    <w:rsid w:val="00C173A5"/>
    <w:rsid w:val="00C17A2E"/>
    <w:rsid w:val="00C228CF"/>
    <w:rsid w:val="00C22D36"/>
    <w:rsid w:val="00C2317E"/>
    <w:rsid w:val="00C24748"/>
    <w:rsid w:val="00C24991"/>
    <w:rsid w:val="00C2609F"/>
    <w:rsid w:val="00C26F3C"/>
    <w:rsid w:val="00C278EE"/>
    <w:rsid w:val="00C27F7A"/>
    <w:rsid w:val="00C30120"/>
    <w:rsid w:val="00C30475"/>
    <w:rsid w:val="00C31D85"/>
    <w:rsid w:val="00C338CF"/>
    <w:rsid w:val="00C34F69"/>
    <w:rsid w:val="00C350DA"/>
    <w:rsid w:val="00C352FD"/>
    <w:rsid w:val="00C37B6A"/>
    <w:rsid w:val="00C37E61"/>
    <w:rsid w:val="00C41567"/>
    <w:rsid w:val="00C41958"/>
    <w:rsid w:val="00C41B60"/>
    <w:rsid w:val="00C41E7C"/>
    <w:rsid w:val="00C42009"/>
    <w:rsid w:val="00C420B7"/>
    <w:rsid w:val="00C42945"/>
    <w:rsid w:val="00C445A8"/>
    <w:rsid w:val="00C44AB1"/>
    <w:rsid w:val="00C46612"/>
    <w:rsid w:val="00C4701A"/>
    <w:rsid w:val="00C476D2"/>
    <w:rsid w:val="00C47823"/>
    <w:rsid w:val="00C47F3F"/>
    <w:rsid w:val="00C5038A"/>
    <w:rsid w:val="00C507BE"/>
    <w:rsid w:val="00C51399"/>
    <w:rsid w:val="00C52B9A"/>
    <w:rsid w:val="00C52F6A"/>
    <w:rsid w:val="00C52FA8"/>
    <w:rsid w:val="00C5371C"/>
    <w:rsid w:val="00C5417F"/>
    <w:rsid w:val="00C6040F"/>
    <w:rsid w:val="00C61764"/>
    <w:rsid w:val="00C643AF"/>
    <w:rsid w:val="00C647C2"/>
    <w:rsid w:val="00C65641"/>
    <w:rsid w:val="00C65979"/>
    <w:rsid w:val="00C661F2"/>
    <w:rsid w:val="00C66509"/>
    <w:rsid w:val="00C6660C"/>
    <w:rsid w:val="00C67458"/>
    <w:rsid w:val="00C709FB"/>
    <w:rsid w:val="00C70E44"/>
    <w:rsid w:val="00C71489"/>
    <w:rsid w:val="00C725F9"/>
    <w:rsid w:val="00C738F7"/>
    <w:rsid w:val="00C73A7D"/>
    <w:rsid w:val="00C7506A"/>
    <w:rsid w:val="00C75D06"/>
    <w:rsid w:val="00C7621B"/>
    <w:rsid w:val="00C76781"/>
    <w:rsid w:val="00C76E03"/>
    <w:rsid w:val="00C77B26"/>
    <w:rsid w:val="00C80E24"/>
    <w:rsid w:val="00C8146E"/>
    <w:rsid w:val="00C819D6"/>
    <w:rsid w:val="00C82FDC"/>
    <w:rsid w:val="00C83438"/>
    <w:rsid w:val="00C83DBC"/>
    <w:rsid w:val="00C84861"/>
    <w:rsid w:val="00C85765"/>
    <w:rsid w:val="00C85A4C"/>
    <w:rsid w:val="00C85B26"/>
    <w:rsid w:val="00C87228"/>
    <w:rsid w:val="00C87B96"/>
    <w:rsid w:val="00C91A39"/>
    <w:rsid w:val="00C9222F"/>
    <w:rsid w:val="00C92682"/>
    <w:rsid w:val="00C94400"/>
    <w:rsid w:val="00C9531E"/>
    <w:rsid w:val="00C963E7"/>
    <w:rsid w:val="00CA169E"/>
    <w:rsid w:val="00CA1EBC"/>
    <w:rsid w:val="00CA4104"/>
    <w:rsid w:val="00CA4364"/>
    <w:rsid w:val="00CA4A28"/>
    <w:rsid w:val="00CA684E"/>
    <w:rsid w:val="00CA6CAF"/>
    <w:rsid w:val="00CA7175"/>
    <w:rsid w:val="00CA7A5B"/>
    <w:rsid w:val="00CB0459"/>
    <w:rsid w:val="00CB0C53"/>
    <w:rsid w:val="00CB114B"/>
    <w:rsid w:val="00CB2D4B"/>
    <w:rsid w:val="00CB4FAC"/>
    <w:rsid w:val="00CB5669"/>
    <w:rsid w:val="00CB70C2"/>
    <w:rsid w:val="00CC0DAA"/>
    <w:rsid w:val="00CC1408"/>
    <w:rsid w:val="00CC1AEE"/>
    <w:rsid w:val="00CC1D1D"/>
    <w:rsid w:val="00CC369C"/>
    <w:rsid w:val="00CC569B"/>
    <w:rsid w:val="00CC5AC0"/>
    <w:rsid w:val="00CC5EA7"/>
    <w:rsid w:val="00CD0AB2"/>
    <w:rsid w:val="00CD15F5"/>
    <w:rsid w:val="00CD2224"/>
    <w:rsid w:val="00CD32BA"/>
    <w:rsid w:val="00CD32C7"/>
    <w:rsid w:val="00CD38EA"/>
    <w:rsid w:val="00CD3E68"/>
    <w:rsid w:val="00CD4308"/>
    <w:rsid w:val="00CD47C0"/>
    <w:rsid w:val="00CD52EE"/>
    <w:rsid w:val="00CD56AF"/>
    <w:rsid w:val="00CE3A85"/>
    <w:rsid w:val="00CE6C84"/>
    <w:rsid w:val="00CE7EE5"/>
    <w:rsid w:val="00CF0372"/>
    <w:rsid w:val="00CF245E"/>
    <w:rsid w:val="00CF3914"/>
    <w:rsid w:val="00CF4122"/>
    <w:rsid w:val="00CF4C4E"/>
    <w:rsid w:val="00CF59D0"/>
    <w:rsid w:val="00CF6154"/>
    <w:rsid w:val="00CF799C"/>
    <w:rsid w:val="00D006F9"/>
    <w:rsid w:val="00D01990"/>
    <w:rsid w:val="00D028A4"/>
    <w:rsid w:val="00D02B78"/>
    <w:rsid w:val="00D02BF4"/>
    <w:rsid w:val="00D02FE5"/>
    <w:rsid w:val="00D033F3"/>
    <w:rsid w:val="00D03B33"/>
    <w:rsid w:val="00D04677"/>
    <w:rsid w:val="00D05D37"/>
    <w:rsid w:val="00D05FB3"/>
    <w:rsid w:val="00D061C3"/>
    <w:rsid w:val="00D079EA"/>
    <w:rsid w:val="00D102BA"/>
    <w:rsid w:val="00D111A4"/>
    <w:rsid w:val="00D11900"/>
    <w:rsid w:val="00D11972"/>
    <w:rsid w:val="00D11BB9"/>
    <w:rsid w:val="00D11EF1"/>
    <w:rsid w:val="00D122B8"/>
    <w:rsid w:val="00D12F71"/>
    <w:rsid w:val="00D12F98"/>
    <w:rsid w:val="00D132D9"/>
    <w:rsid w:val="00D13F65"/>
    <w:rsid w:val="00D14461"/>
    <w:rsid w:val="00D150AE"/>
    <w:rsid w:val="00D15652"/>
    <w:rsid w:val="00D159AD"/>
    <w:rsid w:val="00D167DC"/>
    <w:rsid w:val="00D17441"/>
    <w:rsid w:val="00D17722"/>
    <w:rsid w:val="00D177B4"/>
    <w:rsid w:val="00D206BD"/>
    <w:rsid w:val="00D21043"/>
    <w:rsid w:val="00D21E14"/>
    <w:rsid w:val="00D224A7"/>
    <w:rsid w:val="00D225E8"/>
    <w:rsid w:val="00D22713"/>
    <w:rsid w:val="00D236F0"/>
    <w:rsid w:val="00D23772"/>
    <w:rsid w:val="00D23A7E"/>
    <w:rsid w:val="00D23DFD"/>
    <w:rsid w:val="00D251A9"/>
    <w:rsid w:val="00D25355"/>
    <w:rsid w:val="00D25F22"/>
    <w:rsid w:val="00D26345"/>
    <w:rsid w:val="00D27132"/>
    <w:rsid w:val="00D27528"/>
    <w:rsid w:val="00D30E1A"/>
    <w:rsid w:val="00D333F6"/>
    <w:rsid w:val="00D349D6"/>
    <w:rsid w:val="00D360FF"/>
    <w:rsid w:val="00D36A84"/>
    <w:rsid w:val="00D404D0"/>
    <w:rsid w:val="00D4162A"/>
    <w:rsid w:val="00D416F1"/>
    <w:rsid w:val="00D422D3"/>
    <w:rsid w:val="00D42751"/>
    <w:rsid w:val="00D42CF9"/>
    <w:rsid w:val="00D435AC"/>
    <w:rsid w:val="00D437F4"/>
    <w:rsid w:val="00D4394A"/>
    <w:rsid w:val="00D45444"/>
    <w:rsid w:val="00D46268"/>
    <w:rsid w:val="00D46BE3"/>
    <w:rsid w:val="00D4755C"/>
    <w:rsid w:val="00D500DB"/>
    <w:rsid w:val="00D50CBD"/>
    <w:rsid w:val="00D51702"/>
    <w:rsid w:val="00D51737"/>
    <w:rsid w:val="00D51CD2"/>
    <w:rsid w:val="00D53A7B"/>
    <w:rsid w:val="00D5460C"/>
    <w:rsid w:val="00D558A8"/>
    <w:rsid w:val="00D56985"/>
    <w:rsid w:val="00D57564"/>
    <w:rsid w:val="00D579B6"/>
    <w:rsid w:val="00D60356"/>
    <w:rsid w:val="00D607A1"/>
    <w:rsid w:val="00D60C45"/>
    <w:rsid w:val="00D619FF"/>
    <w:rsid w:val="00D62C03"/>
    <w:rsid w:val="00D630D4"/>
    <w:rsid w:val="00D644F5"/>
    <w:rsid w:val="00D64FDB"/>
    <w:rsid w:val="00D67931"/>
    <w:rsid w:val="00D67FFB"/>
    <w:rsid w:val="00D70F4D"/>
    <w:rsid w:val="00D71872"/>
    <w:rsid w:val="00D7282B"/>
    <w:rsid w:val="00D74B3D"/>
    <w:rsid w:val="00D76E10"/>
    <w:rsid w:val="00D77D40"/>
    <w:rsid w:val="00D809C3"/>
    <w:rsid w:val="00D80C88"/>
    <w:rsid w:val="00D81C4B"/>
    <w:rsid w:val="00D82429"/>
    <w:rsid w:val="00D83899"/>
    <w:rsid w:val="00D839D9"/>
    <w:rsid w:val="00D85A0A"/>
    <w:rsid w:val="00D86504"/>
    <w:rsid w:val="00D86895"/>
    <w:rsid w:val="00D90399"/>
    <w:rsid w:val="00D90C1B"/>
    <w:rsid w:val="00D90FE8"/>
    <w:rsid w:val="00D91087"/>
    <w:rsid w:val="00D9194F"/>
    <w:rsid w:val="00D922AF"/>
    <w:rsid w:val="00D93846"/>
    <w:rsid w:val="00D93E0A"/>
    <w:rsid w:val="00D946BE"/>
    <w:rsid w:val="00DA0321"/>
    <w:rsid w:val="00DA08D6"/>
    <w:rsid w:val="00DA0C13"/>
    <w:rsid w:val="00DA0E2E"/>
    <w:rsid w:val="00DA1054"/>
    <w:rsid w:val="00DA20B5"/>
    <w:rsid w:val="00DA215D"/>
    <w:rsid w:val="00DA2592"/>
    <w:rsid w:val="00DA2F95"/>
    <w:rsid w:val="00DA6065"/>
    <w:rsid w:val="00DA6C52"/>
    <w:rsid w:val="00DA7922"/>
    <w:rsid w:val="00DA7BF0"/>
    <w:rsid w:val="00DB04B7"/>
    <w:rsid w:val="00DB0A6D"/>
    <w:rsid w:val="00DB1FCC"/>
    <w:rsid w:val="00DB2142"/>
    <w:rsid w:val="00DB3857"/>
    <w:rsid w:val="00DB3D8C"/>
    <w:rsid w:val="00DB643A"/>
    <w:rsid w:val="00DB6DF1"/>
    <w:rsid w:val="00DB7ECC"/>
    <w:rsid w:val="00DC061F"/>
    <w:rsid w:val="00DC070B"/>
    <w:rsid w:val="00DC0808"/>
    <w:rsid w:val="00DC1B14"/>
    <w:rsid w:val="00DC23FD"/>
    <w:rsid w:val="00DC317A"/>
    <w:rsid w:val="00DC3E6A"/>
    <w:rsid w:val="00DC4DAB"/>
    <w:rsid w:val="00DC6FD9"/>
    <w:rsid w:val="00DD0BD0"/>
    <w:rsid w:val="00DD24AD"/>
    <w:rsid w:val="00DD28D2"/>
    <w:rsid w:val="00DD3100"/>
    <w:rsid w:val="00DD5645"/>
    <w:rsid w:val="00DD676B"/>
    <w:rsid w:val="00DE02CF"/>
    <w:rsid w:val="00DE082D"/>
    <w:rsid w:val="00DE0951"/>
    <w:rsid w:val="00DE1FBB"/>
    <w:rsid w:val="00DE4B60"/>
    <w:rsid w:val="00DE4CAB"/>
    <w:rsid w:val="00DE4D9E"/>
    <w:rsid w:val="00DE4EC6"/>
    <w:rsid w:val="00DE578B"/>
    <w:rsid w:val="00DE6475"/>
    <w:rsid w:val="00DE6B9E"/>
    <w:rsid w:val="00DE70A7"/>
    <w:rsid w:val="00DF028E"/>
    <w:rsid w:val="00DF13C9"/>
    <w:rsid w:val="00DF1668"/>
    <w:rsid w:val="00DF1736"/>
    <w:rsid w:val="00DF1C89"/>
    <w:rsid w:val="00DF2EAD"/>
    <w:rsid w:val="00DF46E5"/>
    <w:rsid w:val="00E000ED"/>
    <w:rsid w:val="00E0037A"/>
    <w:rsid w:val="00E00B06"/>
    <w:rsid w:val="00E00EE1"/>
    <w:rsid w:val="00E00EEE"/>
    <w:rsid w:val="00E018EC"/>
    <w:rsid w:val="00E02639"/>
    <w:rsid w:val="00E03E22"/>
    <w:rsid w:val="00E043E0"/>
    <w:rsid w:val="00E046D8"/>
    <w:rsid w:val="00E060A6"/>
    <w:rsid w:val="00E101B1"/>
    <w:rsid w:val="00E106FD"/>
    <w:rsid w:val="00E126A0"/>
    <w:rsid w:val="00E131E0"/>
    <w:rsid w:val="00E1382A"/>
    <w:rsid w:val="00E13CDF"/>
    <w:rsid w:val="00E14CDE"/>
    <w:rsid w:val="00E17D69"/>
    <w:rsid w:val="00E207B8"/>
    <w:rsid w:val="00E2108B"/>
    <w:rsid w:val="00E21198"/>
    <w:rsid w:val="00E229DA"/>
    <w:rsid w:val="00E22F1B"/>
    <w:rsid w:val="00E2357E"/>
    <w:rsid w:val="00E24285"/>
    <w:rsid w:val="00E249C1"/>
    <w:rsid w:val="00E2578D"/>
    <w:rsid w:val="00E2701B"/>
    <w:rsid w:val="00E27813"/>
    <w:rsid w:val="00E27F18"/>
    <w:rsid w:val="00E305F1"/>
    <w:rsid w:val="00E305F6"/>
    <w:rsid w:val="00E31AF8"/>
    <w:rsid w:val="00E3346B"/>
    <w:rsid w:val="00E34272"/>
    <w:rsid w:val="00E344C7"/>
    <w:rsid w:val="00E346D7"/>
    <w:rsid w:val="00E3483C"/>
    <w:rsid w:val="00E34C47"/>
    <w:rsid w:val="00E3545C"/>
    <w:rsid w:val="00E3630B"/>
    <w:rsid w:val="00E377B4"/>
    <w:rsid w:val="00E3780B"/>
    <w:rsid w:val="00E401DD"/>
    <w:rsid w:val="00E4529E"/>
    <w:rsid w:val="00E45421"/>
    <w:rsid w:val="00E462FE"/>
    <w:rsid w:val="00E466C9"/>
    <w:rsid w:val="00E467F2"/>
    <w:rsid w:val="00E46A32"/>
    <w:rsid w:val="00E47297"/>
    <w:rsid w:val="00E47B36"/>
    <w:rsid w:val="00E50516"/>
    <w:rsid w:val="00E52F25"/>
    <w:rsid w:val="00E545C4"/>
    <w:rsid w:val="00E549D0"/>
    <w:rsid w:val="00E55889"/>
    <w:rsid w:val="00E5593A"/>
    <w:rsid w:val="00E55DA2"/>
    <w:rsid w:val="00E561B4"/>
    <w:rsid w:val="00E56DA0"/>
    <w:rsid w:val="00E56DF9"/>
    <w:rsid w:val="00E56F7A"/>
    <w:rsid w:val="00E57523"/>
    <w:rsid w:val="00E5769A"/>
    <w:rsid w:val="00E609BD"/>
    <w:rsid w:val="00E62446"/>
    <w:rsid w:val="00E63ABA"/>
    <w:rsid w:val="00E6437B"/>
    <w:rsid w:val="00E664FA"/>
    <w:rsid w:val="00E70123"/>
    <w:rsid w:val="00E70785"/>
    <w:rsid w:val="00E70CCD"/>
    <w:rsid w:val="00E714F8"/>
    <w:rsid w:val="00E7175F"/>
    <w:rsid w:val="00E71882"/>
    <w:rsid w:val="00E722C4"/>
    <w:rsid w:val="00E72548"/>
    <w:rsid w:val="00E73703"/>
    <w:rsid w:val="00E75325"/>
    <w:rsid w:val="00E755EB"/>
    <w:rsid w:val="00E75ADD"/>
    <w:rsid w:val="00E75B4F"/>
    <w:rsid w:val="00E75BAA"/>
    <w:rsid w:val="00E76123"/>
    <w:rsid w:val="00E761DA"/>
    <w:rsid w:val="00E7669A"/>
    <w:rsid w:val="00E76DA5"/>
    <w:rsid w:val="00E771E9"/>
    <w:rsid w:val="00E80697"/>
    <w:rsid w:val="00E80C66"/>
    <w:rsid w:val="00E80C9E"/>
    <w:rsid w:val="00E812F6"/>
    <w:rsid w:val="00E823C6"/>
    <w:rsid w:val="00E85BB8"/>
    <w:rsid w:val="00E86D33"/>
    <w:rsid w:val="00E86E61"/>
    <w:rsid w:val="00E87201"/>
    <w:rsid w:val="00E87E0A"/>
    <w:rsid w:val="00E87EF8"/>
    <w:rsid w:val="00E9070A"/>
    <w:rsid w:val="00E90E70"/>
    <w:rsid w:val="00E9347A"/>
    <w:rsid w:val="00E93A96"/>
    <w:rsid w:val="00E9482C"/>
    <w:rsid w:val="00E94D50"/>
    <w:rsid w:val="00E953CA"/>
    <w:rsid w:val="00E977CB"/>
    <w:rsid w:val="00EA03FD"/>
    <w:rsid w:val="00EA0E33"/>
    <w:rsid w:val="00EA15F7"/>
    <w:rsid w:val="00EA2355"/>
    <w:rsid w:val="00EA3D67"/>
    <w:rsid w:val="00EA4ABC"/>
    <w:rsid w:val="00EA4F2D"/>
    <w:rsid w:val="00EA71CC"/>
    <w:rsid w:val="00EA742E"/>
    <w:rsid w:val="00EA75E4"/>
    <w:rsid w:val="00EB0B9B"/>
    <w:rsid w:val="00EB17B9"/>
    <w:rsid w:val="00EB21BD"/>
    <w:rsid w:val="00EB249A"/>
    <w:rsid w:val="00EB2D2F"/>
    <w:rsid w:val="00EB4712"/>
    <w:rsid w:val="00EB58BF"/>
    <w:rsid w:val="00EB5984"/>
    <w:rsid w:val="00EB7FD4"/>
    <w:rsid w:val="00EC0231"/>
    <w:rsid w:val="00EC0300"/>
    <w:rsid w:val="00EC0DE1"/>
    <w:rsid w:val="00EC1406"/>
    <w:rsid w:val="00EC1FFD"/>
    <w:rsid w:val="00EC230C"/>
    <w:rsid w:val="00EC4081"/>
    <w:rsid w:val="00EC5310"/>
    <w:rsid w:val="00EC5A59"/>
    <w:rsid w:val="00EC775D"/>
    <w:rsid w:val="00ED53D7"/>
    <w:rsid w:val="00ED5704"/>
    <w:rsid w:val="00ED57E9"/>
    <w:rsid w:val="00ED589B"/>
    <w:rsid w:val="00ED74C2"/>
    <w:rsid w:val="00ED7CAA"/>
    <w:rsid w:val="00EE00FD"/>
    <w:rsid w:val="00EE0FFB"/>
    <w:rsid w:val="00EE14CA"/>
    <w:rsid w:val="00EE1B69"/>
    <w:rsid w:val="00EE1F35"/>
    <w:rsid w:val="00EE2C81"/>
    <w:rsid w:val="00EE497A"/>
    <w:rsid w:val="00EE5F8C"/>
    <w:rsid w:val="00EE6770"/>
    <w:rsid w:val="00EE688A"/>
    <w:rsid w:val="00EE6D23"/>
    <w:rsid w:val="00EF0035"/>
    <w:rsid w:val="00EF0E21"/>
    <w:rsid w:val="00EF1799"/>
    <w:rsid w:val="00EF2266"/>
    <w:rsid w:val="00EF3175"/>
    <w:rsid w:val="00EF3461"/>
    <w:rsid w:val="00EF34D6"/>
    <w:rsid w:val="00EF365C"/>
    <w:rsid w:val="00EF3EA4"/>
    <w:rsid w:val="00EF49CD"/>
    <w:rsid w:val="00EF5933"/>
    <w:rsid w:val="00EF59F9"/>
    <w:rsid w:val="00EF690A"/>
    <w:rsid w:val="00EF78D9"/>
    <w:rsid w:val="00EF7915"/>
    <w:rsid w:val="00F00460"/>
    <w:rsid w:val="00F00504"/>
    <w:rsid w:val="00F00B0D"/>
    <w:rsid w:val="00F0113F"/>
    <w:rsid w:val="00F014A9"/>
    <w:rsid w:val="00F02DA0"/>
    <w:rsid w:val="00F03C14"/>
    <w:rsid w:val="00F03F79"/>
    <w:rsid w:val="00F04E5F"/>
    <w:rsid w:val="00F05C68"/>
    <w:rsid w:val="00F06438"/>
    <w:rsid w:val="00F066A2"/>
    <w:rsid w:val="00F1084C"/>
    <w:rsid w:val="00F10F15"/>
    <w:rsid w:val="00F11E41"/>
    <w:rsid w:val="00F134EE"/>
    <w:rsid w:val="00F142C8"/>
    <w:rsid w:val="00F14DE7"/>
    <w:rsid w:val="00F14F07"/>
    <w:rsid w:val="00F15CEF"/>
    <w:rsid w:val="00F160BB"/>
    <w:rsid w:val="00F167DE"/>
    <w:rsid w:val="00F20348"/>
    <w:rsid w:val="00F219A8"/>
    <w:rsid w:val="00F2249B"/>
    <w:rsid w:val="00F268D8"/>
    <w:rsid w:val="00F272B1"/>
    <w:rsid w:val="00F3103A"/>
    <w:rsid w:val="00F31F03"/>
    <w:rsid w:val="00F37313"/>
    <w:rsid w:val="00F40AC9"/>
    <w:rsid w:val="00F411EE"/>
    <w:rsid w:val="00F418B6"/>
    <w:rsid w:val="00F42774"/>
    <w:rsid w:val="00F427F7"/>
    <w:rsid w:val="00F4327A"/>
    <w:rsid w:val="00F433F2"/>
    <w:rsid w:val="00F43C70"/>
    <w:rsid w:val="00F446A3"/>
    <w:rsid w:val="00F44DE0"/>
    <w:rsid w:val="00F44DF8"/>
    <w:rsid w:val="00F45ABF"/>
    <w:rsid w:val="00F50973"/>
    <w:rsid w:val="00F516A1"/>
    <w:rsid w:val="00F52296"/>
    <w:rsid w:val="00F52924"/>
    <w:rsid w:val="00F52E4B"/>
    <w:rsid w:val="00F5387C"/>
    <w:rsid w:val="00F55705"/>
    <w:rsid w:val="00F567BE"/>
    <w:rsid w:val="00F56873"/>
    <w:rsid w:val="00F570CC"/>
    <w:rsid w:val="00F57C92"/>
    <w:rsid w:val="00F60562"/>
    <w:rsid w:val="00F61101"/>
    <w:rsid w:val="00F61134"/>
    <w:rsid w:val="00F62B03"/>
    <w:rsid w:val="00F635DE"/>
    <w:rsid w:val="00F65C0E"/>
    <w:rsid w:val="00F66E1F"/>
    <w:rsid w:val="00F703C8"/>
    <w:rsid w:val="00F70C94"/>
    <w:rsid w:val="00F71597"/>
    <w:rsid w:val="00F716CB"/>
    <w:rsid w:val="00F72758"/>
    <w:rsid w:val="00F733C0"/>
    <w:rsid w:val="00F735C7"/>
    <w:rsid w:val="00F73768"/>
    <w:rsid w:val="00F73880"/>
    <w:rsid w:val="00F73CB7"/>
    <w:rsid w:val="00F74094"/>
    <w:rsid w:val="00F74453"/>
    <w:rsid w:val="00F7535E"/>
    <w:rsid w:val="00F75D1F"/>
    <w:rsid w:val="00F764B8"/>
    <w:rsid w:val="00F76CCD"/>
    <w:rsid w:val="00F76DDB"/>
    <w:rsid w:val="00F77737"/>
    <w:rsid w:val="00F81B82"/>
    <w:rsid w:val="00F81EEE"/>
    <w:rsid w:val="00F81F36"/>
    <w:rsid w:val="00F83B0B"/>
    <w:rsid w:val="00F85E26"/>
    <w:rsid w:val="00F86B79"/>
    <w:rsid w:val="00F87126"/>
    <w:rsid w:val="00F87552"/>
    <w:rsid w:val="00F92784"/>
    <w:rsid w:val="00F92E7D"/>
    <w:rsid w:val="00F92FC1"/>
    <w:rsid w:val="00F93158"/>
    <w:rsid w:val="00F93C8D"/>
    <w:rsid w:val="00F951C2"/>
    <w:rsid w:val="00F95771"/>
    <w:rsid w:val="00F9578F"/>
    <w:rsid w:val="00F96D07"/>
    <w:rsid w:val="00F97949"/>
    <w:rsid w:val="00F97BA9"/>
    <w:rsid w:val="00FA024E"/>
    <w:rsid w:val="00FA1275"/>
    <w:rsid w:val="00FA3095"/>
    <w:rsid w:val="00FA31B3"/>
    <w:rsid w:val="00FA40D0"/>
    <w:rsid w:val="00FA5579"/>
    <w:rsid w:val="00FA67EC"/>
    <w:rsid w:val="00FA6A94"/>
    <w:rsid w:val="00FA7D28"/>
    <w:rsid w:val="00FB02CB"/>
    <w:rsid w:val="00FB1ADC"/>
    <w:rsid w:val="00FB1B83"/>
    <w:rsid w:val="00FB315D"/>
    <w:rsid w:val="00FB525E"/>
    <w:rsid w:val="00FB5874"/>
    <w:rsid w:val="00FB7B43"/>
    <w:rsid w:val="00FC0A13"/>
    <w:rsid w:val="00FC3772"/>
    <w:rsid w:val="00FC6DDE"/>
    <w:rsid w:val="00FD08FD"/>
    <w:rsid w:val="00FD1CBA"/>
    <w:rsid w:val="00FD28C8"/>
    <w:rsid w:val="00FD32CF"/>
    <w:rsid w:val="00FD70AC"/>
    <w:rsid w:val="00FD718D"/>
    <w:rsid w:val="00FD73E9"/>
    <w:rsid w:val="00FE0565"/>
    <w:rsid w:val="00FE0EC6"/>
    <w:rsid w:val="00FE3A26"/>
    <w:rsid w:val="00FE4619"/>
    <w:rsid w:val="00FE4845"/>
    <w:rsid w:val="00FE5152"/>
    <w:rsid w:val="00FE548F"/>
    <w:rsid w:val="00FE70B6"/>
    <w:rsid w:val="00FE78E4"/>
    <w:rsid w:val="00FE7E6C"/>
    <w:rsid w:val="00FF028E"/>
    <w:rsid w:val="00FF0610"/>
    <w:rsid w:val="00FF1122"/>
    <w:rsid w:val="00FF26C3"/>
    <w:rsid w:val="00FF3907"/>
    <w:rsid w:val="00FF4CE1"/>
    <w:rsid w:val="00FF5BE3"/>
    <w:rsid w:val="00FF6FFC"/>
    <w:rsid w:val="00FF7D34"/>
    <w:rsid w:val="016E5980"/>
    <w:rsid w:val="01CC1A4E"/>
    <w:rsid w:val="029119D1"/>
    <w:rsid w:val="039C75E8"/>
    <w:rsid w:val="03DE7130"/>
    <w:rsid w:val="03E80A3C"/>
    <w:rsid w:val="04353111"/>
    <w:rsid w:val="051E7E83"/>
    <w:rsid w:val="055B7766"/>
    <w:rsid w:val="056D07C5"/>
    <w:rsid w:val="05796555"/>
    <w:rsid w:val="05A35760"/>
    <w:rsid w:val="05DB2170"/>
    <w:rsid w:val="05E40453"/>
    <w:rsid w:val="06664BB3"/>
    <w:rsid w:val="067B7EE7"/>
    <w:rsid w:val="07402DD3"/>
    <w:rsid w:val="077F75D5"/>
    <w:rsid w:val="07956219"/>
    <w:rsid w:val="08F54642"/>
    <w:rsid w:val="09141F5B"/>
    <w:rsid w:val="09534300"/>
    <w:rsid w:val="09617733"/>
    <w:rsid w:val="099E03D8"/>
    <w:rsid w:val="09BD65FB"/>
    <w:rsid w:val="09E5135C"/>
    <w:rsid w:val="09E866D3"/>
    <w:rsid w:val="0A215DD4"/>
    <w:rsid w:val="0A741903"/>
    <w:rsid w:val="0B080E33"/>
    <w:rsid w:val="0BAB3420"/>
    <w:rsid w:val="0C57382F"/>
    <w:rsid w:val="0CFE17C7"/>
    <w:rsid w:val="0D0B7E01"/>
    <w:rsid w:val="0D536767"/>
    <w:rsid w:val="0E096C99"/>
    <w:rsid w:val="0EB41B81"/>
    <w:rsid w:val="0EBF75F1"/>
    <w:rsid w:val="0ECF06C1"/>
    <w:rsid w:val="0F224B9C"/>
    <w:rsid w:val="0F360700"/>
    <w:rsid w:val="0F6B4B5D"/>
    <w:rsid w:val="0F727F14"/>
    <w:rsid w:val="0F9016A5"/>
    <w:rsid w:val="0FB1244E"/>
    <w:rsid w:val="0FD8614C"/>
    <w:rsid w:val="0FEF3496"/>
    <w:rsid w:val="10C43D58"/>
    <w:rsid w:val="10FD54DA"/>
    <w:rsid w:val="113E5E4D"/>
    <w:rsid w:val="12CF2E0A"/>
    <w:rsid w:val="12EC2E3F"/>
    <w:rsid w:val="13F32668"/>
    <w:rsid w:val="14183902"/>
    <w:rsid w:val="146C04B0"/>
    <w:rsid w:val="14FA31BA"/>
    <w:rsid w:val="15265F7C"/>
    <w:rsid w:val="15590F45"/>
    <w:rsid w:val="1582253A"/>
    <w:rsid w:val="15B44877"/>
    <w:rsid w:val="16031B22"/>
    <w:rsid w:val="16776596"/>
    <w:rsid w:val="167D216C"/>
    <w:rsid w:val="17166BA7"/>
    <w:rsid w:val="17570681"/>
    <w:rsid w:val="17BC35B3"/>
    <w:rsid w:val="17D34F7D"/>
    <w:rsid w:val="186002A4"/>
    <w:rsid w:val="1929381F"/>
    <w:rsid w:val="1AA16CB2"/>
    <w:rsid w:val="1AEA6CA9"/>
    <w:rsid w:val="1B874449"/>
    <w:rsid w:val="1BAB7EF0"/>
    <w:rsid w:val="1BD36D09"/>
    <w:rsid w:val="1CE4508E"/>
    <w:rsid w:val="1D34266E"/>
    <w:rsid w:val="1DF9212F"/>
    <w:rsid w:val="1E251A02"/>
    <w:rsid w:val="1E46125D"/>
    <w:rsid w:val="1EDF4A60"/>
    <w:rsid w:val="1EE50CA0"/>
    <w:rsid w:val="1F2428D2"/>
    <w:rsid w:val="1F353BB0"/>
    <w:rsid w:val="1F4A7C45"/>
    <w:rsid w:val="1F5469BB"/>
    <w:rsid w:val="1F5D1802"/>
    <w:rsid w:val="1F825CEA"/>
    <w:rsid w:val="1FBD32BD"/>
    <w:rsid w:val="1FE75356"/>
    <w:rsid w:val="20793783"/>
    <w:rsid w:val="207B1259"/>
    <w:rsid w:val="20854E40"/>
    <w:rsid w:val="20F85646"/>
    <w:rsid w:val="2120750D"/>
    <w:rsid w:val="21885F91"/>
    <w:rsid w:val="23361976"/>
    <w:rsid w:val="234F5622"/>
    <w:rsid w:val="242A6848"/>
    <w:rsid w:val="251C661D"/>
    <w:rsid w:val="25354E4F"/>
    <w:rsid w:val="260A2DFE"/>
    <w:rsid w:val="26382A11"/>
    <w:rsid w:val="263E2A2E"/>
    <w:rsid w:val="2728704A"/>
    <w:rsid w:val="27A27528"/>
    <w:rsid w:val="27F06B5B"/>
    <w:rsid w:val="27F22CBD"/>
    <w:rsid w:val="28160DA8"/>
    <w:rsid w:val="2905762A"/>
    <w:rsid w:val="296802C6"/>
    <w:rsid w:val="29924F38"/>
    <w:rsid w:val="29F057B4"/>
    <w:rsid w:val="2A197897"/>
    <w:rsid w:val="2A2F1D6B"/>
    <w:rsid w:val="2A4D1188"/>
    <w:rsid w:val="2A9119EB"/>
    <w:rsid w:val="2B5A4FF9"/>
    <w:rsid w:val="2BB07254"/>
    <w:rsid w:val="2BDA6776"/>
    <w:rsid w:val="2BEB45A0"/>
    <w:rsid w:val="2BF167A2"/>
    <w:rsid w:val="2C23535B"/>
    <w:rsid w:val="2D784310"/>
    <w:rsid w:val="2D812CFB"/>
    <w:rsid w:val="2DF42A41"/>
    <w:rsid w:val="2E5D62C5"/>
    <w:rsid w:val="2E7E32D0"/>
    <w:rsid w:val="2EBD79A7"/>
    <w:rsid w:val="2F1046E0"/>
    <w:rsid w:val="2F705D10"/>
    <w:rsid w:val="2F8F36DE"/>
    <w:rsid w:val="30A72EBB"/>
    <w:rsid w:val="30C3259F"/>
    <w:rsid w:val="30C42E36"/>
    <w:rsid w:val="31454B00"/>
    <w:rsid w:val="31B453A6"/>
    <w:rsid w:val="31C41BE8"/>
    <w:rsid w:val="320E6652"/>
    <w:rsid w:val="322B2134"/>
    <w:rsid w:val="3256469F"/>
    <w:rsid w:val="326A4AAB"/>
    <w:rsid w:val="33396257"/>
    <w:rsid w:val="334727CC"/>
    <w:rsid w:val="336230C3"/>
    <w:rsid w:val="33DC0DE4"/>
    <w:rsid w:val="34405C40"/>
    <w:rsid w:val="345F1AD4"/>
    <w:rsid w:val="35125702"/>
    <w:rsid w:val="3542530E"/>
    <w:rsid w:val="358411EA"/>
    <w:rsid w:val="35925B7F"/>
    <w:rsid w:val="35A76620"/>
    <w:rsid w:val="35D4758F"/>
    <w:rsid w:val="36554052"/>
    <w:rsid w:val="3797606C"/>
    <w:rsid w:val="38D57952"/>
    <w:rsid w:val="38D72703"/>
    <w:rsid w:val="390917F7"/>
    <w:rsid w:val="3ADE4B0F"/>
    <w:rsid w:val="3AE00B31"/>
    <w:rsid w:val="3B537564"/>
    <w:rsid w:val="3CA02528"/>
    <w:rsid w:val="3CA81280"/>
    <w:rsid w:val="3CBC249B"/>
    <w:rsid w:val="3CE23B01"/>
    <w:rsid w:val="3D1E435C"/>
    <w:rsid w:val="3DED06C3"/>
    <w:rsid w:val="3E556774"/>
    <w:rsid w:val="3E5E3671"/>
    <w:rsid w:val="3E5E4B16"/>
    <w:rsid w:val="3F621C7C"/>
    <w:rsid w:val="3F7C4A0A"/>
    <w:rsid w:val="3F9F7BD2"/>
    <w:rsid w:val="3FFF7F5B"/>
    <w:rsid w:val="400641DF"/>
    <w:rsid w:val="401E6593"/>
    <w:rsid w:val="40552DD8"/>
    <w:rsid w:val="405E700D"/>
    <w:rsid w:val="41340287"/>
    <w:rsid w:val="41450B9A"/>
    <w:rsid w:val="41FF4A4D"/>
    <w:rsid w:val="42220DBB"/>
    <w:rsid w:val="42CC2D09"/>
    <w:rsid w:val="42FA6131"/>
    <w:rsid w:val="43147E89"/>
    <w:rsid w:val="431A7327"/>
    <w:rsid w:val="44416049"/>
    <w:rsid w:val="445D1D8E"/>
    <w:rsid w:val="46370383"/>
    <w:rsid w:val="46A8799B"/>
    <w:rsid w:val="46A92D6D"/>
    <w:rsid w:val="484249D6"/>
    <w:rsid w:val="48C310A4"/>
    <w:rsid w:val="49773B92"/>
    <w:rsid w:val="49BB68B5"/>
    <w:rsid w:val="4B97482B"/>
    <w:rsid w:val="4BDE3CFA"/>
    <w:rsid w:val="4C0A2657"/>
    <w:rsid w:val="4C195687"/>
    <w:rsid w:val="4C4A0BC9"/>
    <w:rsid w:val="4C4F5544"/>
    <w:rsid w:val="4C586DE8"/>
    <w:rsid w:val="4C5B6B20"/>
    <w:rsid w:val="4C900F77"/>
    <w:rsid w:val="4CBC1F33"/>
    <w:rsid w:val="4CEA615F"/>
    <w:rsid w:val="4D0E2DC1"/>
    <w:rsid w:val="4D8D21D9"/>
    <w:rsid w:val="4DE021B7"/>
    <w:rsid w:val="4E22039D"/>
    <w:rsid w:val="4E7B7619"/>
    <w:rsid w:val="4EEA3C41"/>
    <w:rsid w:val="4F333AD8"/>
    <w:rsid w:val="4F45284E"/>
    <w:rsid w:val="4F8107A7"/>
    <w:rsid w:val="4FF02203"/>
    <w:rsid w:val="509B469F"/>
    <w:rsid w:val="50C57F4C"/>
    <w:rsid w:val="521B48B0"/>
    <w:rsid w:val="52222A9C"/>
    <w:rsid w:val="52DC50DF"/>
    <w:rsid w:val="534028E4"/>
    <w:rsid w:val="53925EFC"/>
    <w:rsid w:val="54223F19"/>
    <w:rsid w:val="544F6D3B"/>
    <w:rsid w:val="54DB35A2"/>
    <w:rsid w:val="55091A44"/>
    <w:rsid w:val="557B3C00"/>
    <w:rsid w:val="56272031"/>
    <w:rsid w:val="56535759"/>
    <w:rsid w:val="56660BEC"/>
    <w:rsid w:val="56841AA1"/>
    <w:rsid w:val="573A145B"/>
    <w:rsid w:val="574E339D"/>
    <w:rsid w:val="57605BFB"/>
    <w:rsid w:val="57D65C32"/>
    <w:rsid w:val="57E768BB"/>
    <w:rsid w:val="58603D45"/>
    <w:rsid w:val="58870561"/>
    <w:rsid w:val="58C0669A"/>
    <w:rsid w:val="59A61E0F"/>
    <w:rsid w:val="59CF77D8"/>
    <w:rsid w:val="5A606F3E"/>
    <w:rsid w:val="5AD303A1"/>
    <w:rsid w:val="5AEF771E"/>
    <w:rsid w:val="5B2A26A7"/>
    <w:rsid w:val="5B5E3A8B"/>
    <w:rsid w:val="5B6C534B"/>
    <w:rsid w:val="5B78787F"/>
    <w:rsid w:val="5B7C1821"/>
    <w:rsid w:val="5C6E0AF5"/>
    <w:rsid w:val="5C862DED"/>
    <w:rsid w:val="5D49678B"/>
    <w:rsid w:val="5D4C396D"/>
    <w:rsid w:val="5DB21AB8"/>
    <w:rsid w:val="5DC9491D"/>
    <w:rsid w:val="5EA71FDA"/>
    <w:rsid w:val="5EC448DE"/>
    <w:rsid w:val="5F4D2413"/>
    <w:rsid w:val="5F7319A2"/>
    <w:rsid w:val="5FAD03CD"/>
    <w:rsid w:val="5FCA183B"/>
    <w:rsid w:val="60397D98"/>
    <w:rsid w:val="603D112F"/>
    <w:rsid w:val="6094750D"/>
    <w:rsid w:val="609A242C"/>
    <w:rsid w:val="612A67F5"/>
    <w:rsid w:val="614E6C70"/>
    <w:rsid w:val="618C2879"/>
    <w:rsid w:val="61A7605D"/>
    <w:rsid w:val="61B94B59"/>
    <w:rsid w:val="61D21B16"/>
    <w:rsid w:val="62E66384"/>
    <w:rsid w:val="632924CF"/>
    <w:rsid w:val="63661FD0"/>
    <w:rsid w:val="644346AC"/>
    <w:rsid w:val="64AC6676"/>
    <w:rsid w:val="64BF4D65"/>
    <w:rsid w:val="65313884"/>
    <w:rsid w:val="654F5A39"/>
    <w:rsid w:val="66A86239"/>
    <w:rsid w:val="670766B6"/>
    <w:rsid w:val="67120057"/>
    <w:rsid w:val="68026EFB"/>
    <w:rsid w:val="692D5834"/>
    <w:rsid w:val="6966041F"/>
    <w:rsid w:val="69724194"/>
    <w:rsid w:val="69741DEC"/>
    <w:rsid w:val="69826B60"/>
    <w:rsid w:val="69DC2DCC"/>
    <w:rsid w:val="6AE419B2"/>
    <w:rsid w:val="6B0E71BC"/>
    <w:rsid w:val="6B12755A"/>
    <w:rsid w:val="6C397A96"/>
    <w:rsid w:val="6C7219F7"/>
    <w:rsid w:val="6C8B4F09"/>
    <w:rsid w:val="6CCD24A5"/>
    <w:rsid w:val="6CDF582D"/>
    <w:rsid w:val="6D535020"/>
    <w:rsid w:val="6D9C0F05"/>
    <w:rsid w:val="6D9E4C99"/>
    <w:rsid w:val="6DC01D1E"/>
    <w:rsid w:val="6DEB59AE"/>
    <w:rsid w:val="6F135901"/>
    <w:rsid w:val="6F907BCB"/>
    <w:rsid w:val="6FE829F2"/>
    <w:rsid w:val="6FF7364F"/>
    <w:rsid w:val="70CE568F"/>
    <w:rsid w:val="712C047D"/>
    <w:rsid w:val="7191188C"/>
    <w:rsid w:val="71B246DE"/>
    <w:rsid w:val="71D36072"/>
    <w:rsid w:val="72C217D5"/>
    <w:rsid w:val="72C91597"/>
    <w:rsid w:val="72C965F1"/>
    <w:rsid w:val="72F61119"/>
    <w:rsid w:val="73222E60"/>
    <w:rsid w:val="73E76868"/>
    <w:rsid w:val="73FF10D4"/>
    <w:rsid w:val="74592178"/>
    <w:rsid w:val="759F0F25"/>
    <w:rsid w:val="75ED1C59"/>
    <w:rsid w:val="764A1512"/>
    <w:rsid w:val="765D6B5A"/>
    <w:rsid w:val="76F4766B"/>
    <w:rsid w:val="77752CEB"/>
    <w:rsid w:val="780E7DE8"/>
    <w:rsid w:val="78197516"/>
    <w:rsid w:val="782313ED"/>
    <w:rsid w:val="788F39E0"/>
    <w:rsid w:val="789557C5"/>
    <w:rsid w:val="790941B1"/>
    <w:rsid w:val="798F6965"/>
    <w:rsid w:val="799415E4"/>
    <w:rsid w:val="79DD580C"/>
    <w:rsid w:val="79E7206C"/>
    <w:rsid w:val="7A2029AC"/>
    <w:rsid w:val="7A994CB4"/>
    <w:rsid w:val="7AA71F61"/>
    <w:rsid w:val="7ADD5F49"/>
    <w:rsid w:val="7B302783"/>
    <w:rsid w:val="7B7B2451"/>
    <w:rsid w:val="7C224DE9"/>
    <w:rsid w:val="7C6970CA"/>
    <w:rsid w:val="7D484D54"/>
    <w:rsid w:val="7D7315F2"/>
    <w:rsid w:val="7DDD24CA"/>
    <w:rsid w:val="7FD3197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qFormat="1" w:unhideWhenUsed="0" w:uiPriority="0" w:semiHidden="0" w:name="HTML Definition"/>
    <w:lsdException w:unhideWhenUsed="0" w:uiPriority="0" w:semiHidden="0" w:name="HTML Keyboard"/>
    <w:lsdException w:qFormat="1"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52"/>
    <w:qFormat/>
    <w:uiPriority w:val="0"/>
    <w:pPr>
      <w:keepNext/>
      <w:keepLines/>
      <w:spacing w:before="340" w:after="330" w:line="578" w:lineRule="auto"/>
      <w:outlineLvl w:val="0"/>
    </w:pPr>
    <w:rPr>
      <w:b/>
      <w:bCs/>
      <w:kern w:val="44"/>
      <w:sz w:val="44"/>
      <w:szCs w:val="44"/>
    </w:rPr>
  </w:style>
  <w:style w:type="paragraph" w:styleId="4">
    <w:name w:val="heading 2"/>
    <w:basedOn w:val="1"/>
    <w:next w:val="1"/>
    <w:qFormat/>
    <w:uiPriority w:val="0"/>
    <w:pPr>
      <w:keepNext/>
      <w:keepLines/>
      <w:snapToGrid w:val="0"/>
      <w:spacing w:line="360" w:lineRule="auto"/>
      <w:ind w:firstLine="1044" w:firstLineChars="200"/>
      <w:outlineLvl w:val="1"/>
    </w:pPr>
    <w:rPr>
      <w:b/>
      <w:bCs/>
      <w:sz w:val="30"/>
      <w:szCs w:val="32"/>
    </w:rPr>
  </w:style>
  <w:style w:type="paragraph" w:styleId="5">
    <w:name w:val="heading 3"/>
    <w:basedOn w:val="1"/>
    <w:next w:val="6"/>
    <w:qFormat/>
    <w:uiPriority w:val="0"/>
    <w:pPr>
      <w:keepNext/>
      <w:keepLines/>
      <w:spacing w:line="360" w:lineRule="auto"/>
      <w:ind w:firstLine="1044" w:firstLineChars="200"/>
      <w:outlineLvl w:val="2"/>
    </w:pPr>
    <w:rPr>
      <w:b/>
      <w:bCs/>
      <w:sz w:val="28"/>
      <w:szCs w:val="32"/>
    </w:rPr>
  </w:style>
  <w:style w:type="character" w:default="1" w:styleId="27">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2">
    <w:name w:val="Body Text Indent 2"/>
    <w:basedOn w:val="1"/>
    <w:link w:val="35"/>
    <w:qFormat/>
    <w:uiPriority w:val="0"/>
    <w:pPr>
      <w:spacing w:after="120" w:line="480" w:lineRule="auto"/>
      <w:ind w:left="420" w:leftChars="200"/>
    </w:pPr>
  </w:style>
  <w:style w:type="paragraph" w:styleId="6">
    <w:name w:val="Normal Indent"/>
    <w:basedOn w:val="1"/>
    <w:qFormat/>
    <w:uiPriority w:val="0"/>
    <w:pPr>
      <w:ind w:firstLine="420" w:firstLineChars="200"/>
    </w:pPr>
  </w:style>
  <w:style w:type="paragraph" w:styleId="7">
    <w:name w:val="annotation text"/>
    <w:basedOn w:val="1"/>
    <w:qFormat/>
    <w:uiPriority w:val="0"/>
    <w:pPr>
      <w:jc w:val="left"/>
    </w:pPr>
  </w:style>
  <w:style w:type="paragraph" w:styleId="8">
    <w:name w:val="Body Text"/>
    <w:basedOn w:val="1"/>
    <w:qFormat/>
    <w:uiPriority w:val="0"/>
    <w:pPr>
      <w:spacing w:after="120"/>
    </w:pPr>
  </w:style>
  <w:style w:type="paragraph" w:styleId="9">
    <w:name w:val="Body Text Indent"/>
    <w:basedOn w:val="1"/>
    <w:link w:val="32"/>
    <w:qFormat/>
    <w:uiPriority w:val="99"/>
    <w:pPr>
      <w:spacing w:after="120"/>
      <w:ind w:left="420" w:leftChars="200"/>
    </w:pPr>
  </w:style>
  <w:style w:type="paragraph" w:styleId="10">
    <w:name w:val="toc 3"/>
    <w:basedOn w:val="1"/>
    <w:next w:val="1"/>
    <w:unhideWhenUsed/>
    <w:qFormat/>
    <w:uiPriority w:val="39"/>
    <w:pPr>
      <w:widowControl/>
      <w:spacing w:after="100" w:line="276" w:lineRule="auto"/>
      <w:ind w:left="440"/>
      <w:jc w:val="left"/>
    </w:pPr>
    <w:rPr>
      <w:rFonts w:asciiTheme="minorHAnsi" w:hAnsiTheme="minorHAnsi" w:eastAsiaTheme="minorEastAsia" w:cstheme="minorBidi"/>
      <w:kern w:val="0"/>
      <w:sz w:val="22"/>
      <w:szCs w:val="22"/>
    </w:rPr>
  </w:style>
  <w:style w:type="paragraph" w:styleId="11">
    <w:name w:val="Plain Text"/>
    <w:basedOn w:val="1"/>
    <w:link w:val="36"/>
    <w:qFormat/>
    <w:uiPriority w:val="0"/>
    <w:rPr>
      <w:rFonts w:ascii="宋体" w:hAnsi="Courier New" w:cs="Courier New"/>
      <w:szCs w:val="21"/>
    </w:rPr>
  </w:style>
  <w:style w:type="paragraph" w:styleId="12">
    <w:name w:val="Balloon Text"/>
    <w:basedOn w:val="1"/>
    <w:link w:val="37"/>
    <w:qFormat/>
    <w:uiPriority w:val="0"/>
    <w:rPr>
      <w:sz w:val="18"/>
      <w:szCs w:val="18"/>
    </w:rPr>
  </w:style>
  <w:style w:type="paragraph" w:styleId="13">
    <w:name w:val="footer"/>
    <w:basedOn w:val="1"/>
    <w:qFormat/>
    <w:uiPriority w:val="99"/>
    <w:pPr>
      <w:tabs>
        <w:tab w:val="center" w:pos="4153"/>
        <w:tab w:val="right" w:pos="8306"/>
      </w:tabs>
      <w:snapToGrid w:val="0"/>
      <w:jc w:val="left"/>
    </w:pPr>
    <w:rPr>
      <w:sz w:val="18"/>
      <w:szCs w:val="18"/>
    </w:rPr>
  </w:style>
  <w:style w:type="paragraph" w:styleId="14">
    <w:name w:val="header"/>
    <w:basedOn w:val="1"/>
    <w:link w:val="34"/>
    <w:qFormat/>
    <w:uiPriority w:val="0"/>
    <w:pPr>
      <w:pBdr>
        <w:bottom w:val="single" w:color="auto" w:sz="6" w:space="1"/>
      </w:pBdr>
      <w:tabs>
        <w:tab w:val="center" w:pos="4153"/>
        <w:tab w:val="right" w:pos="8306"/>
      </w:tabs>
      <w:snapToGrid w:val="0"/>
      <w:jc w:val="center"/>
    </w:pPr>
    <w:rPr>
      <w:sz w:val="18"/>
      <w:szCs w:val="18"/>
    </w:rPr>
  </w:style>
  <w:style w:type="paragraph" w:styleId="15">
    <w:name w:val="toc 1"/>
    <w:basedOn w:val="1"/>
    <w:next w:val="1"/>
    <w:unhideWhenUsed/>
    <w:qFormat/>
    <w:uiPriority w:val="39"/>
    <w:pPr>
      <w:widowControl/>
      <w:spacing w:after="100" w:line="276" w:lineRule="auto"/>
      <w:jc w:val="left"/>
    </w:pPr>
    <w:rPr>
      <w:rFonts w:asciiTheme="minorHAnsi" w:hAnsiTheme="minorHAnsi" w:eastAsiaTheme="minorEastAsia" w:cstheme="minorBidi"/>
      <w:kern w:val="0"/>
      <w:sz w:val="22"/>
      <w:szCs w:val="22"/>
    </w:rPr>
  </w:style>
  <w:style w:type="paragraph" w:styleId="16">
    <w:name w:val="Subtitle"/>
    <w:basedOn w:val="1"/>
    <w:next w:val="1"/>
    <w:link w:val="33"/>
    <w:qFormat/>
    <w:uiPriority w:val="0"/>
    <w:pPr>
      <w:spacing w:line="312" w:lineRule="atLeast"/>
      <w:jc w:val="left"/>
      <w:outlineLvl w:val="1"/>
    </w:pPr>
    <w:rPr>
      <w:rFonts w:ascii="Cambria" w:hAnsi="Cambria"/>
      <w:b/>
      <w:bCs/>
      <w:kern w:val="28"/>
      <w:szCs w:val="32"/>
    </w:rPr>
  </w:style>
  <w:style w:type="paragraph" w:styleId="17">
    <w:name w:val="List"/>
    <w:basedOn w:val="1"/>
    <w:qFormat/>
    <w:uiPriority w:val="0"/>
    <w:pPr>
      <w:ind w:left="200" w:hanging="200" w:hangingChars="200"/>
    </w:pPr>
    <w:rPr>
      <w:szCs w:val="24"/>
    </w:rPr>
  </w:style>
  <w:style w:type="paragraph" w:styleId="18">
    <w:name w:val="toc 2"/>
    <w:basedOn w:val="1"/>
    <w:next w:val="1"/>
    <w:unhideWhenUsed/>
    <w:qFormat/>
    <w:uiPriority w:val="39"/>
    <w:pPr>
      <w:widowControl/>
      <w:spacing w:after="100" w:line="276" w:lineRule="auto"/>
      <w:ind w:left="220"/>
      <w:jc w:val="left"/>
    </w:pPr>
    <w:rPr>
      <w:rFonts w:asciiTheme="minorHAnsi" w:hAnsiTheme="minorHAnsi" w:eastAsiaTheme="minorEastAsia" w:cstheme="minorBidi"/>
      <w:kern w:val="0"/>
      <w:sz w:val="22"/>
      <w:szCs w:val="22"/>
    </w:rPr>
  </w:style>
  <w:style w:type="paragraph" w:styleId="19">
    <w:name w:val="HTML Preformatted"/>
    <w:basedOn w:val="1"/>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20">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paragraph" w:styleId="21">
    <w:name w:val="Title"/>
    <w:basedOn w:val="1"/>
    <w:next w:val="1"/>
    <w:link w:val="54"/>
    <w:qFormat/>
    <w:uiPriority w:val="0"/>
    <w:pPr>
      <w:spacing w:before="240" w:after="60"/>
      <w:jc w:val="center"/>
      <w:outlineLvl w:val="0"/>
    </w:pPr>
    <w:rPr>
      <w:rFonts w:asciiTheme="majorHAnsi" w:hAnsiTheme="majorHAnsi" w:cstheme="majorBidi"/>
      <w:b/>
      <w:bCs/>
      <w:sz w:val="32"/>
      <w:szCs w:val="32"/>
    </w:rPr>
  </w:style>
  <w:style w:type="paragraph" w:styleId="22">
    <w:name w:val="Body Text First Indent"/>
    <w:basedOn w:val="1"/>
    <w:qFormat/>
    <w:uiPriority w:val="0"/>
    <w:pPr>
      <w:ind w:firstLine="420" w:firstLineChars="100"/>
    </w:pPr>
  </w:style>
  <w:style w:type="paragraph" w:styleId="23">
    <w:name w:val="Body Text First Indent 2"/>
    <w:basedOn w:val="9"/>
    <w:link w:val="59"/>
    <w:qFormat/>
    <w:uiPriority w:val="0"/>
    <w:pPr>
      <w:ind w:firstLine="420" w:firstLineChars="200"/>
    </w:pPr>
    <w:rPr>
      <w:rFonts w:ascii="Calibri" w:hAnsi="Calibri" w:cs="Arial"/>
      <w:sz w:val="28"/>
    </w:rPr>
  </w:style>
  <w:style w:type="table" w:styleId="25">
    <w:name w:val="Table Grid"/>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26">
    <w:name w:val="Table Theme"/>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qFormat/>
    <w:uiPriority w:val="0"/>
    <w:rPr>
      <w:b/>
      <w:bCs/>
    </w:rPr>
  </w:style>
  <w:style w:type="character" w:styleId="29">
    <w:name w:val="Emphasis"/>
    <w:qFormat/>
    <w:uiPriority w:val="20"/>
    <w:rPr>
      <w:rFonts w:cs="Times New Roman"/>
      <w:i/>
      <w:iCs/>
    </w:rPr>
  </w:style>
  <w:style w:type="character" w:styleId="30">
    <w:name w:val="HTML Definition"/>
    <w:qFormat/>
    <w:uiPriority w:val="0"/>
  </w:style>
  <w:style w:type="character" w:styleId="31">
    <w:name w:val="Hyperlink"/>
    <w:basedOn w:val="27"/>
    <w:unhideWhenUsed/>
    <w:qFormat/>
    <w:uiPriority w:val="99"/>
    <w:rPr>
      <w:color w:val="0000FF" w:themeColor="hyperlink"/>
      <w:u w:val="single"/>
      <w14:textFill>
        <w14:solidFill>
          <w14:schemeClr w14:val="hlink"/>
        </w14:solidFill>
      </w14:textFill>
    </w:rPr>
  </w:style>
  <w:style w:type="character" w:customStyle="1" w:styleId="32">
    <w:name w:val="正文文本缩进 Char"/>
    <w:link w:val="9"/>
    <w:qFormat/>
    <w:uiPriority w:val="99"/>
    <w:rPr>
      <w:kern w:val="2"/>
      <w:sz w:val="21"/>
      <w:szCs w:val="24"/>
    </w:rPr>
  </w:style>
  <w:style w:type="character" w:customStyle="1" w:styleId="33">
    <w:name w:val="副标题 Char"/>
    <w:link w:val="16"/>
    <w:qFormat/>
    <w:uiPriority w:val="11"/>
    <w:rPr>
      <w:rFonts w:ascii="Cambria" w:hAnsi="Cambria" w:cs="Times New Roman"/>
      <w:b/>
      <w:bCs/>
      <w:kern w:val="28"/>
      <w:szCs w:val="32"/>
    </w:rPr>
  </w:style>
  <w:style w:type="character" w:customStyle="1" w:styleId="34">
    <w:name w:val="页眉 Char"/>
    <w:link w:val="14"/>
    <w:qFormat/>
    <w:uiPriority w:val="0"/>
    <w:rPr>
      <w:rFonts w:ascii="Times New Roman" w:hAnsi="Times New Roman" w:cs="Times New Roman"/>
      <w:kern w:val="2"/>
      <w:sz w:val="18"/>
      <w:szCs w:val="18"/>
    </w:rPr>
  </w:style>
  <w:style w:type="character" w:customStyle="1" w:styleId="35">
    <w:name w:val="正文文本缩进 2 Char"/>
    <w:link w:val="2"/>
    <w:qFormat/>
    <w:uiPriority w:val="0"/>
    <w:rPr>
      <w:rFonts w:ascii="Times New Roman" w:hAnsi="Times New Roman" w:cs="Times New Roman"/>
      <w:kern w:val="2"/>
      <w:sz w:val="21"/>
      <w:szCs w:val="24"/>
    </w:rPr>
  </w:style>
  <w:style w:type="character" w:customStyle="1" w:styleId="36">
    <w:name w:val="纯文本 Char"/>
    <w:link w:val="11"/>
    <w:qFormat/>
    <w:uiPriority w:val="0"/>
    <w:rPr>
      <w:rFonts w:ascii="宋体" w:hAnsi="Courier New" w:cs="Courier New"/>
      <w:kern w:val="2"/>
      <w:sz w:val="21"/>
      <w:szCs w:val="21"/>
    </w:rPr>
  </w:style>
  <w:style w:type="character" w:customStyle="1" w:styleId="37">
    <w:name w:val="批注框文本 Char"/>
    <w:link w:val="12"/>
    <w:qFormat/>
    <w:uiPriority w:val="0"/>
    <w:rPr>
      <w:kern w:val="2"/>
      <w:sz w:val="18"/>
      <w:szCs w:val="18"/>
    </w:rPr>
  </w:style>
  <w:style w:type="paragraph" w:customStyle="1" w:styleId="38">
    <w:name w:val="表体"/>
    <w:basedOn w:val="1"/>
    <w:qFormat/>
    <w:uiPriority w:val="0"/>
    <w:pPr>
      <w:adjustRightInd w:val="0"/>
      <w:snapToGrid w:val="0"/>
      <w:spacing w:beforeLines="20" w:afterLines="20"/>
      <w:jc w:val="center"/>
    </w:pPr>
  </w:style>
  <w:style w:type="paragraph" w:customStyle="1" w:styleId="39">
    <w:name w:val="Default"/>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paragraph" w:customStyle="1" w:styleId="40">
    <w:name w:val="列出段落1"/>
    <w:basedOn w:val="1"/>
    <w:unhideWhenUsed/>
    <w:qFormat/>
    <w:uiPriority w:val="99"/>
    <w:pPr>
      <w:ind w:firstLine="420" w:firstLineChars="200"/>
    </w:pPr>
  </w:style>
  <w:style w:type="paragraph" w:customStyle="1" w:styleId="41">
    <w:name w:val="正文内容"/>
    <w:qFormat/>
    <w:uiPriority w:val="0"/>
    <w:pPr>
      <w:widowControl w:val="0"/>
      <w:snapToGrid w:val="0"/>
      <w:spacing w:before="60" w:after="60" w:line="480" w:lineRule="exact"/>
      <w:ind w:firstLine="200" w:firstLineChars="200"/>
      <w:jc w:val="both"/>
    </w:pPr>
    <w:rPr>
      <w:rFonts w:ascii="Times New Roman" w:hAnsi="Times New Roman" w:eastAsia="Times New Roman" w:cs="Times New Roman"/>
      <w:kern w:val="2"/>
      <w:sz w:val="24"/>
      <w:szCs w:val="24"/>
      <w:lang w:val="en-US" w:eastAsia="zh-CN" w:bidi="ar-SA"/>
    </w:rPr>
  </w:style>
  <w:style w:type="paragraph" w:customStyle="1" w:styleId="42">
    <w:name w:val="Char Char Char Char"/>
    <w:basedOn w:val="1"/>
    <w:qFormat/>
    <w:uiPriority w:val="0"/>
  </w:style>
  <w:style w:type="paragraph" w:customStyle="1" w:styleId="43">
    <w:name w:val="样式 10 磅"/>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4">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45">
    <w:name w:val="正文样式"/>
    <w:basedOn w:val="1"/>
    <w:qFormat/>
    <w:uiPriority w:val="0"/>
    <w:pPr>
      <w:ind w:firstLine="560"/>
    </w:pPr>
    <w:rPr>
      <w:rFonts w:cs="宋体"/>
      <w:szCs w:val="20"/>
    </w:rPr>
  </w:style>
  <w:style w:type="paragraph" w:customStyle="1" w:styleId="46">
    <w:name w:val="图文框"/>
    <w:basedOn w:val="1"/>
    <w:qFormat/>
    <w:uiPriority w:val="0"/>
    <w:pPr>
      <w:tabs>
        <w:tab w:val="left" w:pos="0"/>
      </w:tabs>
      <w:autoSpaceDE w:val="0"/>
      <w:autoSpaceDN w:val="0"/>
      <w:adjustRightInd w:val="0"/>
      <w:snapToGrid w:val="0"/>
      <w:ind w:left="1" w:leftChars="-40" w:right="-107" w:rightChars="-51" w:hanging="85" w:hangingChars="47"/>
      <w:jc w:val="center"/>
      <w:textAlignment w:val="baseline"/>
    </w:pPr>
    <w:rPr>
      <w:rFonts w:ascii="宋体" w:hAnsi="宋体"/>
      <w:color w:val="000000"/>
      <w:sz w:val="18"/>
      <w:szCs w:val="21"/>
    </w:rPr>
  </w:style>
  <w:style w:type="paragraph" w:customStyle="1" w:styleId="47">
    <w:name w:val="表格内正文"/>
    <w:basedOn w:val="1"/>
    <w:qFormat/>
    <w:uiPriority w:val="0"/>
    <w:rPr>
      <w:rFonts w:hAnsi="宋体"/>
      <w:kern w:val="18"/>
    </w:rPr>
  </w:style>
  <w:style w:type="paragraph" w:customStyle="1" w:styleId="48">
    <w:name w:val="环科院表格标题"/>
    <w:basedOn w:val="1"/>
    <w:qFormat/>
    <w:uiPriority w:val="0"/>
    <w:pPr>
      <w:spacing w:beforeLines="50"/>
      <w:jc w:val="center"/>
    </w:pPr>
    <w:rPr>
      <w:rFonts w:eastAsia="黑体"/>
      <w:b/>
      <w:bCs/>
      <w:sz w:val="24"/>
    </w:rPr>
  </w:style>
  <w:style w:type="paragraph" w:customStyle="1" w:styleId="49">
    <w:name w:val="Table Paragraph"/>
    <w:basedOn w:val="1"/>
    <w:qFormat/>
    <w:uiPriority w:val="1"/>
    <w:pPr>
      <w:autoSpaceDE w:val="0"/>
      <w:autoSpaceDN w:val="0"/>
      <w:adjustRightInd w:val="0"/>
      <w:jc w:val="left"/>
    </w:pPr>
    <w:rPr>
      <w:kern w:val="0"/>
    </w:rPr>
  </w:style>
  <w:style w:type="paragraph" w:customStyle="1" w:styleId="50">
    <w:name w:val="表格-内容"/>
    <w:basedOn w:val="1"/>
    <w:qFormat/>
    <w:uiPriority w:val="0"/>
    <w:pPr>
      <w:spacing w:line="312" w:lineRule="exact"/>
      <w:jc w:val="center"/>
    </w:pPr>
    <w:rPr>
      <w:rFonts w:ascii="宋体" w:hAnsi="宋体"/>
      <w:szCs w:val="21"/>
    </w:rPr>
  </w:style>
  <w:style w:type="paragraph" w:customStyle="1" w:styleId="51">
    <w:name w:val="表格名称"/>
    <w:basedOn w:val="1"/>
    <w:qFormat/>
    <w:uiPriority w:val="0"/>
    <w:pPr>
      <w:spacing w:beforeLines="50"/>
      <w:jc w:val="center"/>
    </w:pPr>
    <w:rPr>
      <w:b/>
      <w:bCs/>
      <w:szCs w:val="21"/>
    </w:rPr>
  </w:style>
  <w:style w:type="character" w:customStyle="1" w:styleId="52">
    <w:name w:val="标题 1 Char"/>
    <w:basedOn w:val="27"/>
    <w:link w:val="3"/>
    <w:qFormat/>
    <w:uiPriority w:val="0"/>
    <w:rPr>
      <w:rFonts w:ascii="Times New Roman" w:hAnsi="Times New Roman" w:cs="Times New Roman"/>
      <w:b/>
      <w:bCs/>
      <w:kern w:val="44"/>
      <w:sz w:val="44"/>
      <w:szCs w:val="44"/>
    </w:rPr>
  </w:style>
  <w:style w:type="paragraph" w:customStyle="1" w:styleId="53">
    <w:name w:val="表格内字体"/>
    <w:basedOn w:val="21"/>
    <w:qFormat/>
    <w:uiPriority w:val="0"/>
    <w:pPr>
      <w:spacing w:before="0" w:after="0"/>
      <w:jc w:val="both"/>
      <w:outlineLvl w:val="9"/>
    </w:pPr>
    <w:rPr>
      <w:rFonts w:ascii="Times New Roman" w:hAnsi="宋体" w:cs="Arial"/>
      <w:b w:val="0"/>
      <w:color w:val="000000"/>
      <w:szCs w:val="21"/>
    </w:rPr>
  </w:style>
  <w:style w:type="character" w:customStyle="1" w:styleId="54">
    <w:name w:val="标题 Char"/>
    <w:basedOn w:val="27"/>
    <w:link w:val="21"/>
    <w:qFormat/>
    <w:uiPriority w:val="0"/>
    <w:rPr>
      <w:rFonts w:asciiTheme="majorHAnsi" w:hAnsiTheme="majorHAnsi" w:cstheme="majorBidi"/>
      <w:b/>
      <w:bCs/>
      <w:kern w:val="2"/>
      <w:sz w:val="32"/>
      <w:szCs w:val="32"/>
    </w:rPr>
  </w:style>
  <w:style w:type="paragraph" w:customStyle="1" w:styleId="55">
    <w:name w:val="TOC 标题1"/>
    <w:basedOn w:val="3"/>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table" w:customStyle="1" w:styleId="56">
    <w:name w:val="网格型1"/>
    <w:basedOn w:val="24"/>
    <w:qFormat/>
    <w:uiPriority w:val="99"/>
    <w:rPr>
      <w:rFonts w:ascii="Times New Roman" w:hAnsi="Times New Roman"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57">
    <w:name w:val="表格中文字 Char"/>
    <w:link w:val="58"/>
    <w:qFormat/>
    <w:uiPriority w:val="0"/>
    <w:rPr>
      <w:kern w:val="18"/>
      <w:sz w:val="21"/>
      <w:szCs w:val="21"/>
    </w:rPr>
  </w:style>
  <w:style w:type="paragraph" w:customStyle="1" w:styleId="58">
    <w:name w:val="表格中文字"/>
    <w:basedOn w:val="1"/>
    <w:link w:val="57"/>
    <w:qFormat/>
    <w:uiPriority w:val="0"/>
    <w:pPr>
      <w:adjustRightInd w:val="0"/>
      <w:snapToGrid w:val="0"/>
      <w:jc w:val="center"/>
    </w:pPr>
    <w:rPr>
      <w:rFonts w:ascii="Calibri" w:hAnsi="Calibri" w:cs="Arial"/>
      <w:kern w:val="18"/>
      <w:szCs w:val="21"/>
    </w:rPr>
  </w:style>
  <w:style w:type="character" w:customStyle="1" w:styleId="59">
    <w:name w:val="正文首行缩进 2 Char"/>
    <w:link w:val="23"/>
    <w:qFormat/>
    <w:uiPriority w:val="0"/>
    <w:rPr>
      <w:kern w:val="2"/>
      <w:sz w:val="28"/>
      <w:szCs w:val="24"/>
    </w:rPr>
  </w:style>
  <w:style w:type="character" w:customStyle="1" w:styleId="60">
    <w:name w:val="正文首行缩进 2 Char1"/>
    <w:basedOn w:val="32"/>
    <w:qFormat/>
    <w:uiPriority w:val="0"/>
    <w:rPr>
      <w:rFonts w:ascii="Times New Roman" w:hAnsi="Times New Roman" w:cs="Times New Roman"/>
      <w:kern w:val="2"/>
      <w:sz w:val="21"/>
      <w:szCs w:val="24"/>
    </w:rPr>
  </w:style>
  <w:style w:type="paragraph" w:customStyle="1" w:styleId="61">
    <w:name w:val="样式 正文文本文本正文正文文字 Char Char Char Char + 居中 首行缩进:  0 厘米 段前: 6 磅"/>
    <w:basedOn w:val="8"/>
    <w:qFormat/>
    <w:uiPriority w:val="99"/>
    <w:pPr>
      <w:adjustRightInd w:val="0"/>
      <w:snapToGrid w:val="0"/>
      <w:spacing w:before="120" w:after="0"/>
      <w:jc w:val="center"/>
    </w:pPr>
    <w:rPr>
      <w:w w:val="90"/>
      <w:kern w:val="0"/>
      <w:sz w:val="20"/>
      <w:szCs w:val="20"/>
    </w:rPr>
  </w:style>
  <w:style w:type="character" w:customStyle="1" w:styleId="62">
    <w:name w:val="正文文本缩进 Char1"/>
    <w:basedOn w:val="27"/>
    <w:semiHidden/>
    <w:qFormat/>
    <w:locked/>
    <w:uiPriority w:val="99"/>
    <w:rPr>
      <w:rFonts w:cs="Times New Roman"/>
      <w:sz w:val="20"/>
    </w:rPr>
  </w:style>
  <w:style w:type="paragraph" w:customStyle="1" w:styleId="63">
    <w:name w:val="TOC 标题2"/>
    <w:basedOn w:val="3"/>
    <w:next w:val="1"/>
    <w:semiHidden/>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paragraph" w:customStyle="1" w:styleId="64">
    <w:name w:val="WPSOffice手动目录 1"/>
    <w:qFormat/>
    <w:uiPriority w:val="0"/>
    <w:rPr>
      <w:rFonts w:ascii="Calibri" w:hAnsi="Calibri" w:eastAsia="宋体" w:cs="Arial"/>
      <w:lang w:val="en-US" w:eastAsia="zh-CN" w:bidi="ar-SA"/>
    </w:rPr>
  </w:style>
  <w:style w:type="paragraph" w:customStyle="1" w:styleId="65">
    <w:name w:val="WPSOffice手动目录 2"/>
    <w:qFormat/>
    <w:uiPriority w:val="0"/>
    <w:pPr>
      <w:ind w:left="200" w:leftChars="200"/>
    </w:pPr>
    <w:rPr>
      <w:rFonts w:ascii="Calibri" w:hAnsi="Calibri" w:eastAsia="宋体" w:cs="Arial"/>
      <w:lang w:val="en-US" w:eastAsia="zh-CN" w:bidi="ar-SA"/>
    </w:rPr>
  </w:style>
  <w:style w:type="paragraph" w:customStyle="1" w:styleId="66">
    <w:name w:val="表格正文"/>
    <w:basedOn w:val="1"/>
    <w:next w:val="1"/>
    <w:qFormat/>
    <w:uiPriority w:val="0"/>
    <w:pPr>
      <w:adjustRightInd w:val="0"/>
      <w:snapToGrid w:val="0"/>
      <w:jc w:val="center"/>
      <w:textAlignment w:val="baseline"/>
    </w:pPr>
    <w:rPr>
      <w:rFonts w:ascii="宋体" w:hAnsi="宋体"/>
      <w:snapToGrid w:val="0"/>
      <w:spacing w:val="4"/>
      <w:w w:val="90"/>
      <w:kern w:val="0"/>
      <w:szCs w:val="24"/>
    </w:rPr>
  </w:style>
  <w:style w:type="paragraph" w:customStyle="1" w:styleId="67">
    <w:name w:val="表格居中"/>
    <w:basedOn w:val="17"/>
    <w:next w:val="1"/>
    <w:qFormat/>
    <w:uiPriority w:val="0"/>
    <w:pPr>
      <w:ind w:left="0" w:firstLine="0" w:firstLineChars="0"/>
      <w:contextualSpacing/>
      <w:jc w:val="center"/>
    </w:pPr>
    <w:rPr>
      <w:rFonts w:eastAsia="仿宋_GB2312"/>
      <w:szCs w:val="21"/>
    </w:rPr>
  </w:style>
  <w:style w:type="paragraph" w:customStyle="1" w:styleId="68">
    <w:name w:val="表格1"/>
    <w:basedOn w:val="1"/>
    <w:qFormat/>
    <w:uiPriority w:val="0"/>
    <w:pPr>
      <w:jc w:val="center"/>
    </w:pPr>
    <w:rPr>
      <w:rFonts w:eastAsia="仿宋_GB2312"/>
      <w:szCs w:val="21"/>
      <w:lang w:bidi="th-TH"/>
    </w:rPr>
  </w:style>
  <w:style w:type="paragraph" w:customStyle="1" w:styleId="69">
    <w:name w:val="样式 文本正文 + 首行缩进:  2 字符3"/>
    <w:basedOn w:val="1"/>
    <w:qFormat/>
    <w:uiPriority w:val="0"/>
    <w:pPr>
      <w:autoSpaceDE w:val="0"/>
      <w:autoSpaceDN w:val="0"/>
      <w:adjustRightInd w:val="0"/>
      <w:spacing w:line="360" w:lineRule="auto"/>
      <w:ind w:firstLine="496" w:firstLineChars="200"/>
      <w:textAlignment w:val="baseline"/>
    </w:pPr>
    <w:rPr>
      <w:rFonts w:ascii="宋体" w:hAnsi="宋体" w:cs="宋体"/>
      <w:snapToGrid w:val="0"/>
      <w:color w:val="000000"/>
      <w:kern w:val="21"/>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8" Type="http://schemas.openxmlformats.org/officeDocument/2006/relationships/fontTable" Target="fontTable.xml"/><Relationship Id="rId77" Type="http://schemas.openxmlformats.org/officeDocument/2006/relationships/customXml" Target="../customXml/item2.xml"/><Relationship Id="rId76" Type="http://schemas.openxmlformats.org/officeDocument/2006/relationships/numbering" Target="numbering.xml"/><Relationship Id="rId75" Type="http://schemas.openxmlformats.org/officeDocument/2006/relationships/customXml" Target="../customXml/item1.xml"/><Relationship Id="rId74" Type="http://schemas.openxmlformats.org/officeDocument/2006/relationships/image" Target="media/image62.png"/><Relationship Id="rId73" Type="http://schemas.openxmlformats.org/officeDocument/2006/relationships/image" Target="media/image61.pn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footer" Target="footer3.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jpe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footer" Target="footer2.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jpeg"/><Relationship Id="rId46" Type="http://schemas.openxmlformats.org/officeDocument/2006/relationships/image" Target="media/image34.jpeg"/><Relationship Id="rId45" Type="http://schemas.openxmlformats.org/officeDocument/2006/relationships/image" Target="media/image33.jpeg"/><Relationship Id="rId44" Type="http://schemas.openxmlformats.org/officeDocument/2006/relationships/image" Target="media/image32.jpeg"/><Relationship Id="rId43" Type="http://schemas.openxmlformats.org/officeDocument/2006/relationships/image" Target="media/image31.jpeg"/><Relationship Id="rId42" Type="http://schemas.openxmlformats.org/officeDocument/2006/relationships/image" Target="media/image30.jpeg"/><Relationship Id="rId41" Type="http://schemas.openxmlformats.org/officeDocument/2006/relationships/image" Target="media/image29.jpeg"/><Relationship Id="rId40" Type="http://schemas.openxmlformats.org/officeDocument/2006/relationships/image" Target="media/image28.jpeg"/><Relationship Id="rId4" Type="http://schemas.openxmlformats.org/officeDocument/2006/relationships/header" Target="head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jpeg"/><Relationship Id="rId27" Type="http://schemas.openxmlformats.org/officeDocument/2006/relationships/image" Target="media/image15.jpeg"/><Relationship Id="rId26" Type="http://schemas.openxmlformats.org/officeDocument/2006/relationships/image" Target="media/image14.pn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jpe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wmf"/><Relationship Id="rId16" Type="http://schemas.openxmlformats.org/officeDocument/2006/relationships/control" Target="activeX/activeX4.xml"/><Relationship Id="rId15" Type="http://schemas.openxmlformats.org/officeDocument/2006/relationships/image" Target="media/image4.wmf"/><Relationship Id="rId14" Type="http://schemas.openxmlformats.org/officeDocument/2006/relationships/control" Target="activeX/activeX3.xml"/><Relationship Id="rId13" Type="http://schemas.openxmlformats.org/officeDocument/2006/relationships/image" Target="media/image3.wmf"/><Relationship Id="rId12" Type="http://schemas.openxmlformats.org/officeDocument/2006/relationships/control" Target="activeX/activeX2.xml"/><Relationship Id="rId11" Type="http://schemas.openxmlformats.org/officeDocument/2006/relationships/image" Target="media/image2.wmf"/><Relationship Id="rId10" Type="http://schemas.openxmlformats.org/officeDocument/2006/relationships/control" Target="activeX/activeX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S004\AppData\Roaming\Kingsoft\wps\addons\pool\win-i386\knewfileruby_1.0.0.10\template\wps\0.docx"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activeX1.xml><?xml version="1.0" encoding="utf-8"?>
<ax:ocx xmlns:ax="http://schemas.microsoft.com/office/2006/activeX" xmlns:r="http://schemas.openxmlformats.org/officeDocument/2006/relationships" ax:classid="{8BD21D40-EC42-11CE-9E0D-00AA006002F3}" r:id="rId1" ax:persistence="persistStorage"/>
</file>

<file path=word/activeX/activeX2.xml><?xml version="1.0" encoding="utf-8"?>
<ax:ocx xmlns:ax="http://schemas.microsoft.com/office/2006/activeX" xmlns:r="http://schemas.openxmlformats.org/officeDocument/2006/relationships" ax:classid="{8BD21D40-EC42-11CE-9E0D-00AA006002F3}" r:id="rId1" ax:persistence="persistStorage"/>
</file>

<file path=word/activeX/activeX3.xml><?xml version="1.0" encoding="utf-8"?>
<ax:ocx xmlns:ax="http://schemas.microsoft.com/office/2006/activeX" xmlns:r="http://schemas.openxmlformats.org/officeDocument/2006/relationships" ax:classid="{8BD21D40-EC42-11CE-9E0D-00AA006002F3}" r:id="rId1" ax:persistence="persistStorage"/>
</file>

<file path=word/activeX/activeX4.xml><?xml version="1.0" encoding="utf-8"?>
<ax:ocx xmlns:ax="http://schemas.microsoft.com/office/2006/activeX" xmlns:r="http://schemas.openxmlformats.org/officeDocument/2006/relationships" ax:classid="{8BD21D40-EC42-11CE-9E0D-00AA006002F3}" r:id="rId1" ax:persistence="persistStorag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dk1"/>
        </a:lnRef>
        <a:fillRef idx="0">
          <a:schemeClr val="dk1"/>
        </a:fillRef>
        <a:effectRef idx="0">
          <a:schemeClr val="dk1"/>
        </a:effectRef>
        <a:fontRef idx="minor">
          <a:schemeClr val="tx1"/>
        </a:fontRef>
      </a:style>
    </a:lnDef>
    <a:txDef>
      <a:spPr>
        <a:solidFill>
          <a:sysClr val="window" lastClr="FFFFFF"/>
        </a:solidFill>
        <a:ln w="6350">
          <a:solidFill>
            <a:prstClr val="black"/>
          </a:solidFill>
        </a:ln>
      </a:spPr>
      <a:bodyPr rot="0" spcFirstLastPara="0" vert="horz" wrap="square" lIns="91440" tIns="45720" rIns="91440" bIns="45720" numCol="1" spcCol="0" rtlCol="0" fromWordArt="0" anchor="t" anchorCtr="0" forceAA="0" compatLnSpc="1">
        <a:noAutofit/>
      </a:bodyPr>
      <a:lstStyle/>
      <a:style>
        <a:lnRef idx="0">
          <a:schemeClr val="accent1"/>
        </a:lnRef>
        <a:fillRef idx="0">
          <a:schemeClr val="accent1"/>
        </a:fillRef>
        <a:effectRef idx="0">
          <a:schemeClr val="accent1"/>
        </a:effectRef>
        <a:fontRef idx="minor">
          <a:schemeClr val="dk1"/>
        </a:fontRef>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Info spid="_x0000_s1035"/>
    <customShpInfo spid="_x0000_s1034"/>
    <customShpInfo spid="_x0000_s1033"/>
    <customShpInfo spid="_x0000_s1032"/>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9FE2B2A-A8EE-4703-AE44-85F17179C40C}">
  <ds:schemaRefs/>
</ds:datastoreItem>
</file>

<file path=docProps/app.xml><?xml version="1.0" encoding="utf-8"?>
<Properties xmlns="http://schemas.openxmlformats.org/officeDocument/2006/extended-properties" xmlns:vt="http://schemas.openxmlformats.org/officeDocument/2006/docPropsVTypes">
  <Template>0.docx</Template>
  <Company>微软中国</Company>
  <Pages>85</Pages>
  <Words>3650</Words>
  <Characters>20810</Characters>
  <Lines>173</Lines>
  <Paragraphs>48</Paragraphs>
  <TotalTime>4</TotalTime>
  <ScaleCrop>false</ScaleCrop>
  <LinksUpToDate>false</LinksUpToDate>
  <CharactersWithSpaces>24412</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2019-08-02T06:58:00Z</dcterms:created>
  <dc:creator>1413947278</dc:creator>
  <cp:lastModifiedBy>Administrator</cp:lastModifiedBy>
  <cp:lastPrinted>2021-01-13T08:26:00Z</cp:lastPrinted>
  <dcterms:modified xsi:type="dcterms:W3CDTF">2021-04-20T06:05:28Z</dcterms:modified>
  <cp:revision>1365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ies>
</file>